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37364" w:rsidRPr="00024F84" w:rsidRDefault="00956508" w:rsidP="00937364">
      <w:pPr>
        <w:pBdr>
          <w:bottom w:val="single" w:sz="4" w:space="1" w:color="005EA1" w:themeColor="accent1"/>
        </w:pBdr>
        <w:spacing w:before="6000"/>
        <w:jc w:val="right"/>
        <w:rPr>
          <w:rFonts w:asciiTheme="minorHAnsi" w:hAnsiTheme="minorHAnsi"/>
          <w:color w:val="9CA0A3" w:themeColor="accent4"/>
          <w:sz w:val="52"/>
          <w:szCs w:val="76"/>
        </w:rPr>
      </w:pPr>
      <w:bookmarkStart w:id="0" w:name="_GoBack"/>
      <w:bookmarkEnd w:id="0"/>
      <w:r w:rsidRPr="00024F84">
        <w:rPr>
          <w:rFonts w:asciiTheme="minorHAnsi" w:hAnsiTheme="minorHAnsi"/>
          <w:color w:val="9CA0A3" w:themeColor="accent4"/>
          <w:sz w:val="52"/>
          <w:szCs w:val="76"/>
        </w:rPr>
        <w:t>PSP 74 &amp; 75 Sunbury South &amp; Lancefield Road</w:t>
      </w:r>
    </w:p>
    <w:p w:rsidR="00937364" w:rsidRPr="00024F84" w:rsidRDefault="00937364" w:rsidP="00937364">
      <w:pPr>
        <w:jc w:val="right"/>
        <w:rPr>
          <w:rFonts w:asciiTheme="minorHAnsi" w:hAnsiTheme="minorHAnsi"/>
          <w:color w:val="008BD2" w:themeColor="accent2"/>
          <w:sz w:val="40"/>
          <w:szCs w:val="40"/>
        </w:rPr>
      </w:pPr>
      <w:r w:rsidRPr="00024F84">
        <w:rPr>
          <w:rFonts w:asciiTheme="minorHAnsi" w:hAnsiTheme="minorHAnsi"/>
          <w:noProof/>
          <w:color w:val="9CA0A3" w:themeColor="accent4"/>
          <w:sz w:val="28"/>
          <w:szCs w:val="28"/>
        </w:rPr>
        <w:drawing>
          <wp:inline distT="0" distB="0" distL="0" distR="0" wp14:anchorId="348004C5" wp14:editId="2E43D129">
            <wp:extent cx="1629187" cy="666301"/>
            <wp:effectExtent l="0" t="0" r="0"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PA_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29187" cy="666301"/>
                    </a:xfrm>
                    <a:prstGeom prst="rect">
                      <a:avLst/>
                    </a:prstGeom>
                  </pic:spPr>
                </pic:pic>
              </a:graphicData>
            </a:graphic>
          </wp:inline>
        </w:drawing>
      </w:r>
    </w:p>
    <w:p w:rsidR="00937364" w:rsidRPr="00024F84" w:rsidRDefault="004A1F7E" w:rsidP="00937364">
      <w:pPr>
        <w:jc w:val="right"/>
        <w:rPr>
          <w:rFonts w:asciiTheme="minorHAnsi" w:hAnsiTheme="minorHAnsi"/>
          <w:color w:val="008BD2" w:themeColor="accent2"/>
          <w:sz w:val="32"/>
          <w:szCs w:val="32"/>
        </w:rPr>
      </w:pPr>
      <w:r w:rsidRPr="00024F84">
        <w:rPr>
          <w:rFonts w:asciiTheme="minorHAnsi" w:hAnsiTheme="minorHAnsi"/>
          <w:color w:val="008BD2" w:themeColor="accent2"/>
          <w:sz w:val="32"/>
          <w:szCs w:val="32"/>
        </w:rPr>
        <w:t>Amendments C207 and C208 to the Hume Planning Scheme</w:t>
      </w:r>
    </w:p>
    <w:p w:rsidR="00AA0774" w:rsidRPr="00024F84" w:rsidRDefault="00AA0774" w:rsidP="00AA0774">
      <w:pPr>
        <w:jc w:val="right"/>
        <w:rPr>
          <w:rFonts w:asciiTheme="minorHAnsi" w:hAnsiTheme="minorHAnsi"/>
          <w:color w:val="008BD2" w:themeColor="accent2"/>
          <w:sz w:val="32"/>
          <w:szCs w:val="32"/>
        </w:rPr>
      </w:pPr>
      <w:r w:rsidRPr="00024F84">
        <w:rPr>
          <w:rFonts w:asciiTheme="minorHAnsi" w:hAnsiTheme="minorHAnsi"/>
          <w:color w:val="008BD2" w:themeColor="accent2"/>
          <w:sz w:val="32"/>
          <w:szCs w:val="32"/>
        </w:rPr>
        <w:t>Part B Submission</w:t>
      </w:r>
      <w:r w:rsidR="00FB4EFD">
        <w:rPr>
          <w:rFonts w:asciiTheme="minorHAnsi" w:hAnsiTheme="minorHAnsi"/>
          <w:color w:val="008BD2" w:themeColor="accent2"/>
          <w:sz w:val="32"/>
          <w:szCs w:val="32"/>
        </w:rPr>
        <w:t xml:space="preserve"> – Response to Panel directions and key issues</w:t>
      </w:r>
      <w:r w:rsidRPr="00024F84">
        <w:rPr>
          <w:rFonts w:asciiTheme="minorHAnsi" w:hAnsiTheme="minorHAnsi"/>
          <w:color w:val="008BD2" w:themeColor="accent2"/>
          <w:sz w:val="32"/>
          <w:szCs w:val="32"/>
        </w:rPr>
        <w:t xml:space="preserve"> </w:t>
      </w:r>
    </w:p>
    <w:p w:rsidR="00937364" w:rsidRPr="00024F84" w:rsidRDefault="00956508" w:rsidP="00937364">
      <w:pPr>
        <w:jc w:val="right"/>
        <w:rPr>
          <w:rFonts w:asciiTheme="minorHAnsi" w:hAnsiTheme="minorHAnsi"/>
          <w:color w:val="9CA0A3" w:themeColor="accent4"/>
        </w:rPr>
      </w:pPr>
      <w:r w:rsidRPr="00024F84">
        <w:rPr>
          <w:rFonts w:asciiTheme="minorHAnsi" w:hAnsiTheme="minorHAnsi"/>
          <w:color w:val="9CA0A3" w:themeColor="accent4"/>
          <w:sz w:val="28"/>
          <w:szCs w:val="28"/>
        </w:rPr>
        <w:t>August 2017</w:t>
      </w:r>
    </w:p>
    <w:p w:rsidR="00937364" w:rsidRPr="00024F84" w:rsidRDefault="00937364" w:rsidP="00937364">
      <w:pPr>
        <w:rPr>
          <w:rFonts w:asciiTheme="minorHAnsi" w:hAnsiTheme="minorHAnsi"/>
        </w:rPr>
      </w:pPr>
    </w:p>
    <w:p w:rsidR="00937364" w:rsidRPr="00024F84" w:rsidRDefault="00937364" w:rsidP="00937364">
      <w:pPr>
        <w:rPr>
          <w:rFonts w:asciiTheme="minorHAnsi" w:hAnsiTheme="minorHAnsi"/>
        </w:rPr>
        <w:sectPr w:rsidR="00937364" w:rsidRPr="00024F84" w:rsidSect="00AA5F37">
          <w:pgSz w:w="11901" w:h="16846" w:code="9"/>
          <w:pgMar w:top="1701" w:right="1134" w:bottom="851" w:left="1985" w:header="283" w:footer="0" w:gutter="0"/>
          <w:cols w:space="720"/>
          <w:titlePg/>
          <w:docGrid w:linePitch="299"/>
        </w:sectPr>
      </w:pPr>
    </w:p>
    <w:p w:rsidR="00937364" w:rsidRPr="00024F84" w:rsidRDefault="00937364" w:rsidP="00937364">
      <w:pPr>
        <w:rPr>
          <w:rFonts w:asciiTheme="minorHAnsi" w:hAnsiTheme="minorHAnsi"/>
        </w:rPr>
      </w:pPr>
    </w:p>
    <w:p w:rsidR="00937364" w:rsidRPr="00024F84" w:rsidRDefault="00937364" w:rsidP="00937364">
      <w:pPr>
        <w:rPr>
          <w:rFonts w:asciiTheme="minorHAnsi" w:hAnsiTheme="minorHAnsi"/>
        </w:rPr>
      </w:pPr>
    </w:p>
    <w:p w:rsidR="00937364" w:rsidRPr="00024F84" w:rsidRDefault="00937364" w:rsidP="00937364">
      <w:pPr>
        <w:rPr>
          <w:rFonts w:asciiTheme="minorHAnsi" w:hAnsiTheme="minorHAnsi"/>
        </w:rPr>
        <w:sectPr w:rsidR="00937364" w:rsidRPr="00024F84" w:rsidSect="00545D48">
          <w:pgSz w:w="11901" w:h="16846" w:code="9"/>
          <w:pgMar w:top="1701" w:right="1134" w:bottom="851" w:left="1985" w:header="283" w:footer="0" w:gutter="0"/>
          <w:cols w:space="720"/>
          <w:titlePg/>
          <w:docGrid w:linePitch="299"/>
        </w:sectPr>
      </w:pPr>
    </w:p>
    <w:p w:rsidR="00937364" w:rsidRPr="00024F84" w:rsidRDefault="00937364" w:rsidP="00937364">
      <w:pPr>
        <w:pStyle w:val="HeadingContents"/>
        <w:rPr>
          <w:rFonts w:asciiTheme="minorHAnsi" w:hAnsiTheme="minorHAnsi"/>
        </w:rPr>
      </w:pPr>
      <w:r w:rsidRPr="00024F84">
        <w:rPr>
          <w:rFonts w:asciiTheme="minorHAnsi" w:hAnsiTheme="minorHAnsi"/>
        </w:rPr>
        <w:lastRenderedPageBreak/>
        <w:t>CONTENTS</w:t>
      </w:r>
    </w:p>
    <w:p w:rsidR="00871402" w:rsidRDefault="00937364">
      <w:pPr>
        <w:pStyle w:val="TOC1"/>
        <w:tabs>
          <w:tab w:val="left" w:pos="360"/>
          <w:tab w:val="right" w:leader="dot" w:pos="8488"/>
        </w:tabs>
        <w:rPr>
          <w:rFonts w:asciiTheme="minorHAnsi" w:eastAsiaTheme="minorEastAsia" w:hAnsiTheme="minorHAnsi" w:cstheme="minorBidi"/>
          <w:noProof/>
          <w:sz w:val="22"/>
          <w:szCs w:val="22"/>
        </w:rPr>
      </w:pPr>
      <w:r w:rsidRPr="00024F84">
        <w:rPr>
          <w:rFonts w:asciiTheme="minorHAnsi" w:hAnsiTheme="minorHAnsi"/>
          <w:sz w:val="22"/>
          <w:lang w:val="en-US"/>
        </w:rPr>
        <w:fldChar w:fldCharType="begin"/>
      </w:r>
      <w:r w:rsidRPr="00024F84">
        <w:rPr>
          <w:rFonts w:asciiTheme="minorHAnsi" w:hAnsiTheme="minorHAnsi"/>
          <w:sz w:val="22"/>
          <w:lang w:val="en-US"/>
        </w:rPr>
        <w:instrText xml:space="preserve"> TOC \o "1-2" \h \z </w:instrText>
      </w:r>
      <w:r w:rsidRPr="00024F84">
        <w:rPr>
          <w:rFonts w:asciiTheme="minorHAnsi" w:hAnsiTheme="minorHAnsi"/>
          <w:sz w:val="22"/>
          <w:lang w:val="en-US"/>
        </w:rPr>
        <w:fldChar w:fldCharType="separate"/>
      </w:r>
      <w:hyperlink w:anchor="_Toc491027638" w:history="1">
        <w:r w:rsidR="00871402" w:rsidRPr="00F34E51">
          <w:rPr>
            <w:rStyle w:val="Hyperlink"/>
            <w:rFonts w:ascii="VIC SemiBold" w:hAnsi="VIC SemiBold"/>
            <w:noProof/>
          </w:rPr>
          <w:t>1</w:t>
        </w:r>
        <w:r w:rsidR="00871402">
          <w:rPr>
            <w:rFonts w:asciiTheme="minorHAnsi" w:eastAsiaTheme="minorEastAsia" w:hAnsiTheme="minorHAnsi" w:cstheme="minorBidi"/>
            <w:noProof/>
            <w:sz w:val="22"/>
            <w:szCs w:val="22"/>
          </w:rPr>
          <w:tab/>
        </w:r>
        <w:r w:rsidR="00871402" w:rsidRPr="00F34E51">
          <w:rPr>
            <w:rStyle w:val="Hyperlink"/>
            <w:noProof/>
          </w:rPr>
          <w:t>Introduction</w:t>
        </w:r>
        <w:r w:rsidR="00871402">
          <w:rPr>
            <w:noProof/>
            <w:webHidden/>
          </w:rPr>
          <w:tab/>
        </w:r>
        <w:r w:rsidR="00871402">
          <w:rPr>
            <w:noProof/>
            <w:webHidden/>
          </w:rPr>
          <w:fldChar w:fldCharType="begin"/>
        </w:r>
        <w:r w:rsidR="00871402">
          <w:rPr>
            <w:noProof/>
            <w:webHidden/>
          </w:rPr>
          <w:instrText xml:space="preserve"> PAGEREF _Toc491027638 \h </w:instrText>
        </w:r>
        <w:r w:rsidR="00871402">
          <w:rPr>
            <w:noProof/>
            <w:webHidden/>
          </w:rPr>
        </w:r>
        <w:r w:rsidR="00871402">
          <w:rPr>
            <w:noProof/>
            <w:webHidden/>
          </w:rPr>
          <w:fldChar w:fldCharType="separate"/>
        </w:r>
        <w:r w:rsidR="00AE1A69">
          <w:rPr>
            <w:noProof/>
            <w:webHidden/>
          </w:rPr>
          <w:t>1</w:t>
        </w:r>
        <w:r w:rsidR="00871402">
          <w:rPr>
            <w:noProof/>
            <w:webHidden/>
          </w:rPr>
          <w:fldChar w:fldCharType="end"/>
        </w:r>
      </w:hyperlink>
    </w:p>
    <w:p w:rsidR="00871402" w:rsidRDefault="002B6D8D">
      <w:pPr>
        <w:pStyle w:val="TOC1"/>
        <w:tabs>
          <w:tab w:val="left" w:pos="360"/>
          <w:tab w:val="right" w:leader="dot" w:pos="8488"/>
        </w:tabs>
        <w:rPr>
          <w:rFonts w:asciiTheme="minorHAnsi" w:eastAsiaTheme="minorEastAsia" w:hAnsiTheme="minorHAnsi" w:cstheme="minorBidi"/>
          <w:noProof/>
          <w:sz w:val="22"/>
          <w:szCs w:val="22"/>
        </w:rPr>
      </w:pPr>
      <w:hyperlink w:anchor="_Toc491027639" w:history="1">
        <w:r w:rsidR="00871402" w:rsidRPr="00F34E51">
          <w:rPr>
            <w:rStyle w:val="Hyperlink"/>
            <w:rFonts w:ascii="VIC SemiBold" w:hAnsi="VIC SemiBold"/>
            <w:noProof/>
          </w:rPr>
          <w:t>2</w:t>
        </w:r>
        <w:r w:rsidR="00871402">
          <w:rPr>
            <w:rFonts w:asciiTheme="minorHAnsi" w:eastAsiaTheme="minorEastAsia" w:hAnsiTheme="minorHAnsi" w:cstheme="minorBidi"/>
            <w:noProof/>
            <w:sz w:val="22"/>
            <w:szCs w:val="22"/>
          </w:rPr>
          <w:tab/>
        </w:r>
        <w:r w:rsidR="00871402" w:rsidRPr="00F34E51">
          <w:rPr>
            <w:rStyle w:val="Hyperlink"/>
            <w:noProof/>
          </w:rPr>
          <w:t>Response to Panel directions</w:t>
        </w:r>
        <w:r w:rsidR="00871402">
          <w:rPr>
            <w:noProof/>
            <w:webHidden/>
          </w:rPr>
          <w:tab/>
        </w:r>
        <w:r w:rsidR="00871402">
          <w:rPr>
            <w:noProof/>
            <w:webHidden/>
          </w:rPr>
          <w:fldChar w:fldCharType="begin"/>
        </w:r>
        <w:r w:rsidR="00871402">
          <w:rPr>
            <w:noProof/>
            <w:webHidden/>
          </w:rPr>
          <w:instrText xml:space="preserve"> PAGEREF _Toc491027639 \h </w:instrText>
        </w:r>
        <w:r w:rsidR="00871402">
          <w:rPr>
            <w:noProof/>
            <w:webHidden/>
          </w:rPr>
        </w:r>
        <w:r w:rsidR="00871402">
          <w:rPr>
            <w:noProof/>
            <w:webHidden/>
          </w:rPr>
          <w:fldChar w:fldCharType="separate"/>
        </w:r>
        <w:r w:rsidR="00AE1A69">
          <w:rPr>
            <w:noProof/>
            <w:webHidden/>
          </w:rPr>
          <w:t>3</w:t>
        </w:r>
        <w:r w:rsidR="00871402">
          <w:rPr>
            <w:noProof/>
            <w:webHidden/>
          </w:rPr>
          <w:fldChar w:fldCharType="end"/>
        </w:r>
      </w:hyperlink>
    </w:p>
    <w:p w:rsidR="00871402" w:rsidRDefault="002B6D8D">
      <w:pPr>
        <w:pStyle w:val="TOC2"/>
        <w:tabs>
          <w:tab w:val="left" w:pos="880"/>
          <w:tab w:val="right" w:leader="dot" w:pos="8488"/>
        </w:tabs>
        <w:rPr>
          <w:rFonts w:asciiTheme="minorHAnsi" w:eastAsiaTheme="minorEastAsia" w:hAnsiTheme="minorHAnsi" w:cstheme="minorBidi"/>
          <w:noProof/>
          <w:sz w:val="22"/>
          <w:szCs w:val="22"/>
        </w:rPr>
      </w:pPr>
      <w:hyperlink w:anchor="_Toc491027640" w:history="1">
        <w:r w:rsidR="00871402" w:rsidRPr="00F34E51">
          <w:rPr>
            <w:rStyle w:val="Hyperlink"/>
            <w:rFonts w:ascii="VIC SemiBold" w:hAnsi="VIC SemiBold"/>
            <w:noProof/>
          </w:rPr>
          <w:t>2.1</w:t>
        </w:r>
        <w:r w:rsidR="00871402">
          <w:rPr>
            <w:rFonts w:asciiTheme="minorHAnsi" w:eastAsiaTheme="minorEastAsia" w:hAnsiTheme="minorHAnsi" w:cstheme="minorBidi"/>
            <w:noProof/>
            <w:sz w:val="22"/>
            <w:szCs w:val="22"/>
          </w:rPr>
          <w:tab/>
        </w:r>
        <w:r w:rsidR="00871402" w:rsidRPr="00F34E51">
          <w:rPr>
            <w:rStyle w:val="Hyperlink"/>
            <w:noProof/>
          </w:rPr>
          <w:t>Infrastructure Contributions Plan</w:t>
        </w:r>
        <w:r w:rsidR="00871402">
          <w:rPr>
            <w:noProof/>
            <w:webHidden/>
          </w:rPr>
          <w:tab/>
        </w:r>
        <w:r w:rsidR="00871402">
          <w:rPr>
            <w:noProof/>
            <w:webHidden/>
          </w:rPr>
          <w:fldChar w:fldCharType="begin"/>
        </w:r>
        <w:r w:rsidR="00871402">
          <w:rPr>
            <w:noProof/>
            <w:webHidden/>
          </w:rPr>
          <w:instrText xml:space="preserve"> PAGEREF _Toc491027640 \h </w:instrText>
        </w:r>
        <w:r w:rsidR="00871402">
          <w:rPr>
            <w:noProof/>
            <w:webHidden/>
          </w:rPr>
        </w:r>
        <w:r w:rsidR="00871402">
          <w:rPr>
            <w:noProof/>
            <w:webHidden/>
          </w:rPr>
          <w:fldChar w:fldCharType="separate"/>
        </w:r>
        <w:r w:rsidR="00AE1A69">
          <w:rPr>
            <w:noProof/>
            <w:webHidden/>
          </w:rPr>
          <w:t>3</w:t>
        </w:r>
        <w:r w:rsidR="00871402">
          <w:rPr>
            <w:noProof/>
            <w:webHidden/>
          </w:rPr>
          <w:fldChar w:fldCharType="end"/>
        </w:r>
      </w:hyperlink>
    </w:p>
    <w:p w:rsidR="00871402" w:rsidRDefault="002B6D8D">
      <w:pPr>
        <w:pStyle w:val="TOC2"/>
        <w:tabs>
          <w:tab w:val="left" w:pos="880"/>
          <w:tab w:val="right" w:leader="dot" w:pos="8488"/>
        </w:tabs>
        <w:rPr>
          <w:rFonts w:asciiTheme="minorHAnsi" w:eastAsiaTheme="minorEastAsia" w:hAnsiTheme="minorHAnsi" w:cstheme="minorBidi"/>
          <w:noProof/>
          <w:sz w:val="22"/>
          <w:szCs w:val="22"/>
        </w:rPr>
      </w:pPr>
      <w:hyperlink w:anchor="_Toc491027641" w:history="1">
        <w:r w:rsidR="00871402" w:rsidRPr="00F34E51">
          <w:rPr>
            <w:rStyle w:val="Hyperlink"/>
            <w:rFonts w:ascii="VIC SemiBold" w:hAnsi="VIC SemiBold"/>
            <w:noProof/>
          </w:rPr>
          <w:t>2.2</w:t>
        </w:r>
        <w:r w:rsidR="00871402">
          <w:rPr>
            <w:rFonts w:asciiTheme="minorHAnsi" w:eastAsiaTheme="minorEastAsia" w:hAnsiTheme="minorHAnsi" w:cstheme="minorBidi"/>
            <w:noProof/>
            <w:sz w:val="22"/>
            <w:szCs w:val="22"/>
          </w:rPr>
          <w:tab/>
        </w:r>
        <w:r w:rsidR="00871402" w:rsidRPr="00F34E51">
          <w:rPr>
            <w:rStyle w:val="Hyperlink"/>
            <w:noProof/>
          </w:rPr>
          <w:t>Applied residential zones</w:t>
        </w:r>
        <w:r w:rsidR="00871402">
          <w:rPr>
            <w:noProof/>
            <w:webHidden/>
          </w:rPr>
          <w:tab/>
        </w:r>
        <w:r w:rsidR="00871402">
          <w:rPr>
            <w:noProof/>
            <w:webHidden/>
          </w:rPr>
          <w:fldChar w:fldCharType="begin"/>
        </w:r>
        <w:r w:rsidR="00871402">
          <w:rPr>
            <w:noProof/>
            <w:webHidden/>
          </w:rPr>
          <w:instrText xml:space="preserve"> PAGEREF _Toc491027641 \h </w:instrText>
        </w:r>
        <w:r w:rsidR="00871402">
          <w:rPr>
            <w:noProof/>
            <w:webHidden/>
          </w:rPr>
        </w:r>
        <w:r w:rsidR="00871402">
          <w:rPr>
            <w:noProof/>
            <w:webHidden/>
          </w:rPr>
          <w:fldChar w:fldCharType="separate"/>
        </w:r>
        <w:r w:rsidR="00AE1A69">
          <w:rPr>
            <w:noProof/>
            <w:webHidden/>
          </w:rPr>
          <w:t>5</w:t>
        </w:r>
        <w:r w:rsidR="00871402">
          <w:rPr>
            <w:noProof/>
            <w:webHidden/>
          </w:rPr>
          <w:fldChar w:fldCharType="end"/>
        </w:r>
      </w:hyperlink>
    </w:p>
    <w:p w:rsidR="00871402" w:rsidRDefault="002B6D8D">
      <w:pPr>
        <w:pStyle w:val="TOC2"/>
        <w:tabs>
          <w:tab w:val="left" w:pos="880"/>
          <w:tab w:val="right" w:leader="dot" w:pos="8488"/>
        </w:tabs>
        <w:rPr>
          <w:rFonts w:asciiTheme="minorHAnsi" w:eastAsiaTheme="minorEastAsia" w:hAnsiTheme="minorHAnsi" w:cstheme="minorBidi"/>
          <w:noProof/>
          <w:sz w:val="22"/>
          <w:szCs w:val="22"/>
        </w:rPr>
      </w:pPr>
      <w:hyperlink w:anchor="_Toc491027642" w:history="1">
        <w:r w:rsidR="00871402" w:rsidRPr="00F34E51">
          <w:rPr>
            <w:rStyle w:val="Hyperlink"/>
            <w:rFonts w:ascii="VIC SemiBold" w:hAnsi="VIC SemiBold"/>
            <w:noProof/>
          </w:rPr>
          <w:t>2.3</w:t>
        </w:r>
        <w:r w:rsidR="00871402">
          <w:rPr>
            <w:rFonts w:asciiTheme="minorHAnsi" w:eastAsiaTheme="minorEastAsia" w:hAnsiTheme="minorHAnsi" w:cstheme="minorBidi"/>
            <w:noProof/>
            <w:sz w:val="22"/>
            <w:szCs w:val="22"/>
          </w:rPr>
          <w:tab/>
        </w:r>
        <w:r w:rsidR="00871402" w:rsidRPr="00F34E51">
          <w:rPr>
            <w:rStyle w:val="Hyperlink"/>
            <w:noProof/>
          </w:rPr>
          <w:t>Cultural heritage assessments</w:t>
        </w:r>
        <w:r w:rsidR="00871402">
          <w:rPr>
            <w:noProof/>
            <w:webHidden/>
          </w:rPr>
          <w:tab/>
        </w:r>
        <w:r w:rsidR="00871402">
          <w:rPr>
            <w:noProof/>
            <w:webHidden/>
          </w:rPr>
          <w:fldChar w:fldCharType="begin"/>
        </w:r>
        <w:r w:rsidR="00871402">
          <w:rPr>
            <w:noProof/>
            <w:webHidden/>
          </w:rPr>
          <w:instrText xml:space="preserve"> PAGEREF _Toc491027642 \h </w:instrText>
        </w:r>
        <w:r w:rsidR="00871402">
          <w:rPr>
            <w:noProof/>
            <w:webHidden/>
          </w:rPr>
        </w:r>
        <w:r w:rsidR="00871402">
          <w:rPr>
            <w:noProof/>
            <w:webHidden/>
          </w:rPr>
          <w:fldChar w:fldCharType="separate"/>
        </w:r>
        <w:r w:rsidR="00AE1A69">
          <w:rPr>
            <w:noProof/>
            <w:webHidden/>
          </w:rPr>
          <w:t>8</w:t>
        </w:r>
        <w:r w:rsidR="00871402">
          <w:rPr>
            <w:noProof/>
            <w:webHidden/>
          </w:rPr>
          <w:fldChar w:fldCharType="end"/>
        </w:r>
      </w:hyperlink>
    </w:p>
    <w:p w:rsidR="00871402" w:rsidRDefault="002B6D8D">
      <w:pPr>
        <w:pStyle w:val="TOC2"/>
        <w:tabs>
          <w:tab w:val="left" w:pos="880"/>
          <w:tab w:val="right" w:leader="dot" w:pos="8488"/>
        </w:tabs>
        <w:rPr>
          <w:rFonts w:asciiTheme="minorHAnsi" w:eastAsiaTheme="minorEastAsia" w:hAnsiTheme="minorHAnsi" w:cstheme="minorBidi"/>
          <w:noProof/>
          <w:sz w:val="22"/>
          <w:szCs w:val="22"/>
        </w:rPr>
      </w:pPr>
      <w:hyperlink w:anchor="_Toc491027643" w:history="1">
        <w:r w:rsidR="00871402" w:rsidRPr="00F34E51">
          <w:rPr>
            <w:rStyle w:val="Hyperlink"/>
            <w:rFonts w:ascii="VIC SemiBold" w:hAnsi="VIC SemiBold"/>
            <w:noProof/>
          </w:rPr>
          <w:t>2.4</w:t>
        </w:r>
        <w:r w:rsidR="00871402">
          <w:rPr>
            <w:rFonts w:asciiTheme="minorHAnsi" w:eastAsiaTheme="minorEastAsia" w:hAnsiTheme="minorHAnsi" w:cstheme="minorBidi"/>
            <w:noProof/>
            <w:sz w:val="22"/>
            <w:szCs w:val="22"/>
          </w:rPr>
          <w:tab/>
        </w:r>
        <w:r w:rsidR="00871402" w:rsidRPr="00F34E51">
          <w:rPr>
            <w:rStyle w:val="Hyperlink"/>
            <w:noProof/>
          </w:rPr>
          <w:t>Earth Rings, Cannon Gully and Zig Zag Track, Emu Bottom wetlands locations</w:t>
        </w:r>
        <w:r w:rsidR="00871402">
          <w:rPr>
            <w:noProof/>
            <w:webHidden/>
          </w:rPr>
          <w:tab/>
        </w:r>
        <w:r w:rsidR="00871402">
          <w:rPr>
            <w:noProof/>
            <w:webHidden/>
          </w:rPr>
          <w:fldChar w:fldCharType="begin"/>
        </w:r>
        <w:r w:rsidR="00871402">
          <w:rPr>
            <w:noProof/>
            <w:webHidden/>
          </w:rPr>
          <w:instrText xml:space="preserve"> PAGEREF _Toc491027643 \h </w:instrText>
        </w:r>
        <w:r w:rsidR="00871402">
          <w:rPr>
            <w:noProof/>
            <w:webHidden/>
          </w:rPr>
        </w:r>
        <w:r w:rsidR="00871402">
          <w:rPr>
            <w:noProof/>
            <w:webHidden/>
          </w:rPr>
          <w:fldChar w:fldCharType="separate"/>
        </w:r>
        <w:r w:rsidR="00AE1A69">
          <w:rPr>
            <w:noProof/>
            <w:webHidden/>
          </w:rPr>
          <w:t>11</w:t>
        </w:r>
        <w:r w:rsidR="00871402">
          <w:rPr>
            <w:noProof/>
            <w:webHidden/>
          </w:rPr>
          <w:fldChar w:fldCharType="end"/>
        </w:r>
      </w:hyperlink>
    </w:p>
    <w:p w:rsidR="00871402" w:rsidRDefault="002B6D8D">
      <w:pPr>
        <w:pStyle w:val="TOC2"/>
        <w:tabs>
          <w:tab w:val="left" w:pos="880"/>
          <w:tab w:val="right" w:leader="dot" w:pos="8488"/>
        </w:tabs>
        <w:rPr>
          <w:rFonts w:asciiTheme="minorHAnsi" w:eastAsiaTheme="minorEastAsia" w:hAnsiTheme="minorHAnsi" w:cstheme="minorBidi"/>
          <w:noProof/>
          <w:sz w:val="22"/>
          <w:szCs w:val="22"/>
        </w:rPr>
      </w:pPr>
      <w:hyperlink w:anchor="_Toc491027644" w:history="1">
        <w:r w:rsidR="00871402" w:rsidRPr="00F34E51">
          <w:rPr>
            <w:rStyle w:val="Hyperlink"/>
            <w:rFonts w:ascii="VIC SemiBold" w:hAnsi="VIC SemiBold"/>
            <w:noProof/>
          </w:rPr>
          <w:t>2.5</w:t>
        </w:r>
        <w:r w:rsidR="00871402">
          <w:rPr>
            <w:rFonts w:asciiTheme="minorHAnsi" w:eastAsiaTheme="minorEastAsia" w:hAnsiTheme="minorHAnsi" w:cstheme="minorBidi"/>
            <w:noProof/>
            <w:sz w:val="22"/>
            <w:szCs w:val="22"/>
          </w:rPr>
          <w:tab/>
        </w:r>
        <w:r w:rsidR="00871402" w:rsidRPr="00F34E51">
          <w:rPr>
            <w:rStyle w:val="Hyperlink"/>
            <w:noProof/>
          </w:rPr>
          <w:t>Jacksons Creek crossing alignments</w:t>
        </w:r>
        <w:r w:rsidR="00871402">
          <w:rPr>
            <w:noProof/>
            <w:webHidden/>
          </w:rPr>
          <w:tab/>
        </w:r>
        <w:r w:rsidR="00871402">
          <w:rPr>
            <w:noProof/>
            <w:webHidden/>
          </w:rPr>
          <w:fldChar w:fldCharType="begin"/>
        </w:r>
        <w:r w:rsidR="00871402">
          <w:rPr>
            <w:noProof/>
            <w:webHidden/>
          </w:rPr>
          <w:instrText xml:space="preserve"> PAGEREF _Toc491027644 \h </w:instrText>
        </w:r>
        <w:r w:rsidR="00871402">
          <w:rPr>
            <w:noProof/>
            <w:webHidden/>
          </w:rPr>
        </w:r>
        <w:r w:rsidR="00871402">
          <w:rPr>
            <w:noProof/>
            <w:webHidden/>
          </w:rPr>
          <w:fldChar w:fldCharType="separate"/>
        </w:r>
        <w:r w:rsidR="00AE1A69">
          <w:rPr>
            <w:noProof/>
            <w:webHidden/>
          </w:rPr>
          <w:t>11</w:t>
        </w:r>
        <w:r w:rsidR="00871402">
          <w:rPr>
            <w:noProof/>
            <w:webHidden/>
          </w:rPr>
          <w:fldChar w:fldCharType="end"/>
        </w:r>
      </w:hyperlink>
    </w:p>
    <w:p w:rsidR="00871402" w:rsidRDefault="002B6D8D">
      <w:pPr>
        <w:pStyle w:val="TOC2"/>
        <w:tabs>
          <w:tab w:val="left" w:pos="880"/>
          <w:tab w:val="right" w:leader="dot" w:pos="8488"/>
        </w:tabs>
        <w:rPr>
          <w:rFonts w:asciiTheme="minorHAnsi" w:eastAsiaTheme="minorEastAsia" w:hAnsiTheme="minorHAnsi" w:cstheme="minorBidi"/>
          <w:noProof/>
          <w:sz w:val="22"/>
          <w:szCs w:val="22"/>
        </w:rPr>
      </w:pPr>
      <w:hyperlink w:anchor="_Toc491027645" w:history="1">
        <w:r w:rsidR="00871402" w:rsidRPr="00F34E51">
          <w:rPr>
            <w:rStyle w:val="Hyperlink"/>
            <w:rFonts w:ascii="VIC SemiBold" w:hAnsi="VIC SemiBold"/>
            <w:noProof/>
          </w:rPr>
          <w:t>2.6</w:t>
        </w:r>
        <w:r w:rsidR="00871402">
          <w:rPr>
            <w:rFonts w:asciiTheme="minorHAnsi" w:eastAsiaTheme="minorEastAsia" w:hAnsiTheme="minorHAnsi" w:cstheme="minorBidi"/>
            <w:noProof/>
            <w:sz w:val="22"/>
            <w:szCs w:val="22"/>
          </w:rPr>
          <w:tab/>
        </w:r>
        <w:r w:rsidR="00871402" w:rsidRPr="00F34E51">
          <w:rPr>
            <w:rStyle w:val="Hyperlink"/>
            <w:noProof/>
          </w:rPr>
          <w:t>Integrated water management requirements process</w:t>
        </w:r>
        <w:r w:rsidR="00871402">
          <w:rPr>
            <w:noProof/>
            <w:webHidden/>
          </w:rPr>
          <w:tab/>
        </w:r>
        <w:r w:rsidR="00871402">
          <w:rPr>
            <w:noProof/>
            <w:webHidden/>
          </w:rPr>
          <w:fldChar w:fldCharType="begin"/>
        </w:r>
        <w:r w:rsidR="00871402">
          <w:rPr>
            <w:noProof/>
            <w:webHidden/>
          </w:rPr>
          <w:instrText xml:space="preserve"> PAGEREF _Toc491027645 \h </w:instrText>
        </w:r>
        <w:r w:rsidR="00871402">
          <w:rPr>
            <w:noProof/>
            <w:webHidden/>
          </w:rPr>
        </w:r>
        <w:r w:rsidR="00871402">
          <w:rPr>
            <w:noProof/>
            <w:webHidden/>
          </w:rPr>
          <w:fldChar w:fldCharType="separate"/>
        </w:r>
        <w:r w:rsidR="00AE1A69">
          <w:rPr>
            <w:noProof/>
            <w:webHidden/>
          </w:rPr>
          <w:t>12</w:t>
        </w:r>
        <w:r w:rsidR="00871402">
          <w:rPr>
            <w:noProof/>
            <w:webHidden/>
          </w:rPr>
          <w:fldChar w:fldCharType="end"/>
        </w:r>
      </w:hyperlink>
    </w:p>
    <w:p w:rsidR="00871402" w:rsidRDefault="002B6D8D">
      <w:pPr>
        <w:pStyle w:val="TOC2"/>
        <w:tabs>
          <w:tab w:val="left" w:pos="880"/>
          <w:tab w:val="right" w:leader="dot" w:pos="8488"/>
        </w:tabs>
        <w:rPr>
          <w:rFonts w:asciiTheme="minorHAnsi" w:eastAsiaTheme="minorEastAsia" w:hAnsiTheme="minorHAnsi" w:cstheme="minorBidi"/>
          <w:noProof/>
          <w:sz w:val="22"/>
          <w:szCs w:val="22"/>
        </w:rPr>
      </w:pPr>
      <w:hyperlink w:anchor="_Toc491027646" w:history="1">
        <w:r w:rsidR="00871402" w:rsidRPr="00F34E51">
          <w:rPr>
            <w:rStyle w:val="Hyperlink"/>
            <w:rFonts w:ascii="VIC SemiBold" w:hAnsi="VIC SemiBold"/>
            <w:noProof/>
          </w:rPr>
          <w:t>2.7</w:t>
        </w:r>
        <w:r w:rsidR="00871402">
          <w:rPr>
            <w:rFonts w:asciiTheme="minorHAnsi" w:eastAsiaTheme="minorEastAsia" w:hAnsiTheme="minorHAnsi" w:cstheme="minorBidi"/>
            <w:noProof/>
            <w:sz w:val="22"/>
            <w:szCs w:val="22"/>
          </w:rPr>
          <w:tab/>
        </w:r>
        <w:r w:rsidR="00871402" w:rsidRPr="00F34E51">
          <w:rPr>
            <w:rStyle w:val="Hyperlink"/>
            <w:noProof/>
          </w:rPr>
          <w:t>Balbethan Residential Concept Plan status</w:t>
        </w:r>
        <w:r w:rsidR="00871402">
          <w:rPr>
            <w:noProof/>
            <w:webHidden/>
          </w:rPr>
          <w:tab/>
        </w:r>
        <w:r w:rsidR="00871402">
          <w:rPr>
            <w:noProof/>
            <w:webHidden/>
          </w:rPr>
          <w:fldChar w:fldCharType="begin"/>
        </w:r>
        <w:r w:rsidR="00871402">
          <w:rPr>
            <w:noProof/>
            <w:webHidden/>
          </w:rPr>
          <w:instrText xml:space="preserve"> PAGEREF _Toc491027646 \h </w:instrText>
        </w:r>
        <w:r w:rsidR="00871402">
          <w:rPr>
            <w:noProof/>
            <w:webHidden/>
          </w:rPr>
        </w:r>
        <w:r w:rsidR="00871402">
          <w:rPr>
            <w:noProof/>
            <w:webHidden/>
          </w:rPr>
          <w:fldChar w:fldCharType="separate"/>
        </w:r>
        <w:r w:rsidR="00AE1A69">
          <w:rPr>
            <w:noProof/>
            <w:webHidden/>
          </w:rPr>
          <w:t>13</w:t>
        </w:r>
        <w:r w:rsidR="00871402">
          <w:rPr>
            <w:noProof/>
            <w:webHidden/>
          </w:rPr>
          <w:fldChar w:fldCharType="end"/>
        </w:r>
      </w:hyperlink>
    </w:p>
    <w:p w:rsidR="00871402" w:rsidRDefault="002B6D8D">
      <w:pPr>
        <w:pStyle w:val="TOC2"/>
        <w:tabs>
          <w:tab w:val="left" w:pos="880"/>
          <w:tab w:val="right" w:leader="dot" w:pos="8488"/>
        </w:tabs>
        <w:rPr>
          <w:rFonts w:asciiTheme="minorHAnsi" w:eastAsiaTheme="minorEastAsia" w:hAnsiTheme="minorHAnsi" w:cstheme="minorBidi"/>
          <w:noProof/>
          <w:sz w:val="22"/>
          <w:szCs w:val="22"/>
        </w:rPr>
      </w:pPr>
      <w:hyperlink w:anchor="_Toc491027647" w:history="1">
        <w:r w:rsidR="00871402" w:rsidRPr="00F34E51">
          <w:rPr>
            <w:rStyle w:val="Hyperlink"/>
            <w:rFonts w:ascii="VIC SemiBold" w:hAnsi="VIC SemiBold"/>
            <w:noProof/>
          </w:rPr>
          <w:t>2.8</w:t>
        </w:r>
        <w:r w:rsidR="00871402">
          <w:rPr>
            <w:rFonts w:asciiTheme="minorHAnsi" w:eastAsiaTheme="minorEastAsia" w:hAnsiTheme="minorHAnsi" w:cstheme="minorBidi"/>
            <w:noProof/>
            <w:sz w:val="22"/>
            <w:szCs w:val="22"/>
          </w:rPr>
          <w:tab/>
        </w:r>
        <w:r w:rsidR="00871402" w:rsidRPr="00F34E51">
          <w:rPr>
            <w:rStyle w:val="Hyperlink"/>
            <w:noProof/>
          </w:rPr>
          <w:t>Section 96A application assessments</w:t>
        </w:r>
        <w:r w:rsidR="00871402">
          <w:rPr>
            <w:noProof/>
            <w:webHidden/>
          </w:rPr>
          <w:tab/>
        </w:r>
        <w:r w:rsidR="00871402">
          <w:rPr>
            <w:noProof/>
            <w:webHidden/>
          </w:rPr>
          <w:fldChar w:fldCharType="begin"/>
        </w:r>
        <w:r w:rsidR="00871402">
          <w:rPr>
            <w:noProof/>
            <w:webHidden/>
          </w:rPr>
          <w:instrText xml:space="preserve"> PAGEREF _Toc491027647 \h </w:instrText>
        </w:r>
        <w:r w:rsidR="00871402">
          <w:rPr>
            <w:noProof/>
            <w:webHidden/>
          </w:rPr>
        </w:r>
        <w:r w:rsidR="00871402">
          <w:rPr>
            <w:noProof/>
            <w:webHidden/>
          </w:rPr>
          <w:fldChar w:fldCharType="separate"/>
        </w:r>
        <w:r w:rsidR="00AE1A69">
          <w:rPr>
            <w:noProof/>
            <w:webHidden/>
          </w:rPr>
          <w:t>14</w:t>
        </w:r>
        <w:r w:rsidR="00871402">
          <w:rPr>
            <w:noProof/>
            <w:webHidden/>
          </w:rPr>
          <w:fldChar w:fldCharType="end"/>
        </w:r>
      </w:hyperlink>
    </w:p>
    <w:p w:rsidR="00871402" w:rsidRDefault="002B6D8D">
      <w:pPr>
        <w:pStyle w:val="TOC2"/>
        <w:tabs>
          <w:tab w:val="left" w:pos="880"/>
          <w:tab w:val="right" w:leader="dot" w:pos="8488"/>
        </w:tabs>
        <w:rPr>
          <w:rFonts w:asciiTheme="minorHAnsi" w:eastAsiaTheme="minorEastAsia" w:hAnsiTheme="minorHAnsi" w:cstheme="minorBidi"/>
          <w:noProof/>
          <w:sz w:val="22"/>
          <w:szCs w:val="22"/>
        </w:rPr>
      </w:pPr>
      <w:hyperlink w:anchor="_Toc491027648" w:history="1">
        <w:r w:rsidR="00871402" w:rsidRPr="00F34E51">
          <w:rPr>
            <w:rStyle w:val="Hyperlink"/>
            <w:rFonts w:ascii="VIC SemiBold" w:hAnsi="VIC SemiBold"/>
            <w:noProof/>
          </w:rPr>
          <w:t>2.9</w:t>
        </w:r>
        <w:r w:rsidR="00871402">
          <w:rPr>
            <w:rFonts w:asciiTheme="minorHAnsi" w:eastAsiaTheme="minorEastAsia" w:hAnsiTheme="minorHAnsi" w:cstheme="minorBidi"/>
            <w:noProof/>
            <w:sz w:val="22"/>
            <w:szCs w:val="22"/>
          </w:rPr>
          <w:tab/>
        </w:r>
        <w:r w:rsidR="00871402" w:rsidRPr="00F34E51">
          <w:rPr>
            <w:rStyle w:val="Hyperlink"/>
            <w:noProof/>
          </w:rPr>
          <w:t>Deletion of HO358</w:t>
        </w:r>
        <w:r w:rsidR="00871402">
          <w:rPr>
            <w:noProof/>
            <w:webHidden/>
          </w:rPr>
          <w:tab/>
        </w:r>
        <w:r w:rsidR="00871402">
          <w:rPr>
            <w:noProof/>
            <w:webHidden/>
          </w:rPr>
          <w:fldChar w:fldCharType="begin"/>
        </w:r>
        <w:r w:rsidR="00871402">
          <w:rPr>
            <w:noProof/>
            <w:webHidden/>
          </w:rPr>
          <w:instrText xml:space="preserve"> PAGEREF _Toc491027648 \h </w:instrText>
        </w:r>
        <w:r w:rsidR="00871402">
          <w:rPr>
            <w:noProof/>
            <w:webHidden/>
          </w:rPr>
        </w:r>
        <w:r w:rsidR="00871402">
          <w:rPr>
            <w:noProof/>
            <w:webHidden/>
          </w:rPr>
          <w:fldChar w:fldCharType="separate"/>
        </w:r>
        <w:r w:rsidR="00AE1A69">
          <w:rPr>
            <w:noProof/>
            <w:webHidden/>
          </w:rPr>
          <w:t>21</w:t>
        </w:r>
        <w:r w:rsidR="00871402">
          <w:rPr>
            <w:noProof/>
            <w:webHidden/>
          </w:rPr>
          <w:fldChar w:fldCharType="end"/>
        </w:r>
      </w:hyperlink>
    </w:p>
    <w:p w:rsidR="00871402" w:rsidRDefault="002B6D8D">
      <w:pPr>
        <w:pStyle w:val="TOC2"/>
        <w:tabs>
          <w:tab w:val="left" w:pos="880"/>
          <w:tab w:val="right" w:leader="dot" w:pos="8488"/>
        </w:tabs>
        <w:rPr>
          <w:rFonts w:asciiTheme="minorHAnsi" w:eastAsiaTheme="minorEastAsia" w:hAnsiTheme="minorHAnsi" w:cstheme="minorBidi"/>
          <w:noProof/>
          <w:sz w:val="22"/>
          <w:szCs w:val="22"/>
        </w:rPr>
      </w:pPr>
      <w:hyperlink w:anchor="_Toc491027649" w:history="1">
        <w:r w:rsidR="00871402" w:rsidRPr="00F34E51">
          <w:rPr>
            <w:rStyle w:val="Hyperlink"/>
            <w:rFonts w:ascii="VIC SemiBold" w:hAnsi="VIC SemiBold"/>
            <w:noProof/>
          </w:rPr>
          <w:t>2.10</w:t>
        </w:r>
        <w:r w:rsidR="00871402">
          <w:rPr>
            <w:rFonts w:asciiTheme="minorHAnsi" w:eastAsiaTheme="minorEastAsia" w:hAnsiTheme="minorHAnsi" w:cstheme="minorBidi"/>
            <w:noProof/>
            <w:sz w:val="22"/>
            <w:szCs w:val="22"/>
          </w:rPr>
          <w:tab/>
        </w:r>
        <w:r w:rsidR="00871402" w:rsidRPr="00F34E51">
          <w:rPr>
            <w:rStyle w:val="Hyperlink"/>
            <w:noProof/>
          </w:rPr>
          <w:t>Integrated water network submissions</w:t>
        </w:r>
        <w:r w:rsidR="00871402">
          <w:rPr>
            <w:noProof/>
            <w:webHidden/>
          </w:rPr>
          <w:tab/>
        </w:r>
        <w:r w:rsidR="00871402">
          <w:rPr>
            <w:noProof/>
            <w:webHidden/>
          </w:rPr>
          <w:fldChar w:fldCharType="begin"/>
        </w:r>
        <w:r w:rsidR="00871402">
          <w:rPr>
            <w:noProof/>
            <w:webHidden/>
          </w:rPr>
          <w:instrText xml:space="preserve"> PAGEREF _Toc491027649 \h </w:instrText>
        </w:r>
        <w:r w:rsidR="00871402">
          <w:rPr>
            <w:noProof/>
            <w:webHidden/>
          </w:rPr>
        </w:r>
        <w:r w:rsidR="00871402">
          <w:rPr>
            <w:noProof/>
            <w:webHidden/>
          </w:rPr>
          <w:fldChar w:fldCharType="separate"/>
        </w:r>
        <w:r w:rsidR="00AE1A69">
          <w:rPr>
            <w:noProof/>
            <w:webHidden/>
          </w:rPr>
          <w:t>22</w:t>
        </w:r>
        <w:r w:rsidR="00871402">
          <w:rPr>
            <w:noProof/>
            <w:webHidden/>
          </w:rPr>
          <w:fldChar w:fldCharType="end"/>
        </w:r>
      </w:hyperlink>
    </w:p>
    <w:p w:rsidR="00871402" w:rsidRDefault="002B6D8D">
      <w:pPr>
        <w:pStyle w:val="TOC1"/>
        <w:tabs>
          <w:tab w:val="left" w:pos="360"/>
          <w:tab w:val="right" w:leader="dot" w:pos="8488"/>
        </w:tabs>
        <w:rPr>
          <w:rFonts w:asciiTheme="minorHAnsi" w:eastAsiaTheme="minorEastAsia" w:hAnsiTheme="minorHAnsi" w:cstheme="minorBidi"/>
          <w:noProof/>
          <w:sz w:val="22"/>
          <w:szCs w:val="22"/>
        </w:rPr>
      </w:pPr>
      <w:hyperlink w:anchor="_Toc491027650" w:history="1">
        <w:r w:rsidR="00871402" w:rsidRPr="00F34E51">
          <w:rPr>
            <w:rStyle w:val="Hyperlink"/>
            <w:rFonts w:ascii="VIC SemiBold" w:hAnsi="VIC SemiBold"/>
            <w:noProof/>
          </w:rPr>
          <w:t>3</w:t>
        </w:r>
        <w:r w:rsidR="00871402">
          <w:rPr>
            <w:rFonts w:asciiTheme="minorHAnsi" w:eastAsiaTheme="minorEastAsia" w:hAnsiTheme="minorHAnsi" w:cstheme="minorBidi"/>
            <w:noProof/>
            <w:sz w:val="22"/>
            <w:szCs w:val="22"/>
          </w:rPr>
          <w:tab/>
        </w:r>
        <w:r w:rsidR="00871402" w:rsidRPr="00F34E51">
          <w:rPr>
            <w:rStyle w:val="Hyperlink"/>
            <w:noProof/>
          </w:rPr>
          <w:t>Key issues raised in submissions</w:t>
        </w:r>
        <w:r w:rsidR="00871402">
          <w:rPr>
            <w:noProof/>
            <w:webHidden/>
          </w:rPr>
          <w:tab/>
        </w:r>
        <w:r w:rsidR="00871402">
          <w:rPr>
            <w:noProof/>
            <w:webHidden/>
          </w:rPr>
          <w:fldChar w:fldCharType="begin"/>
        </w:r>
        <w:r w:rsidR="00871402">
          <w:rPr>
            <w:noProof/>
            <w:webHidden/>
          </w:rPr>
          <w:instrText xml:space="preserve"> PAGEREF _Toc491027650 \h </w:instrText>
        </w:r>
        <w:r w:rsidR="00871402">
          <w:rPr>
            <w:noProof/>
            <w:webHidden/>
          </w:rPr>
        </w:r>
        <w:r w:rsidR="00871402">
          <w:rPr>
            <w:noProof/>
            <w:webHidden/>
          </w:rPr>
          <w:fldChar w:fldCharType="separate"/>
        </w:r>
        <w:r w:rsidR="00AE1A69">
          <w:rPr>
            <w:noProof/>
            <w:webHidden/>
          </w:rPr>
          <w:t>24</w:t>
        </w:r>
        <w:r w:rsidR="00871402">
          <w:rPr>
            <w:noProof/>
            <w:webHidden/>
          </w:rPr>
          <w:fldChar w:fldCharType="end"/>
        </w:r>
      </w:hyperlink>
    </w:p>
    <w:p w:rsidR="00871402" w:rsidRDefault="002B6D8D">
      <w:pPr>
        <w:pStyle w:val="TOC2"/>
        <w:tabs>
          <w:tab w:val="left" w:pos="880"/>
          <w:tab w:val="right" w:leader="dot" w:pos="8488"/>
        </w:tabs>
        <w:rPr>
          <w:rFonts w:asciiTheme="minorHAnsi" w:eastAsiaTheme="minorEastAsia" w:hAnsiTheme="minorHAnsi" w:cstheme="minorBidi"/>
          <w:noProof/>
          <w:sz w:val="22"/>
          <w:szCs w:val="22"/>
        </w:rPr>
      </w:pPr>
      <w:hyperlink w:anchor="_Toc491027651" w:history="1">
        <w:r w:rsidR="00871402" w:rsidRPr="00F34E51">
          <w:rPr>
            <w:rStyle w:val="Hyperlink"/>
            <w:rFonts w:ascii="VIC SemiBold" w:hAnsi="VIC SemiBold"/>
            <w:noProof/>
          </w:rPr>
          <w:t>3.1</w:t>
        </w:r>
        <w:r w:rsidR="00871402">
          <w:rPr>
            <w:rFonts w:asciiTheme="minorHAnsi" w:eastAsiaTheme="minorEastAsia" w:hAnsiTheme="minorHAnsi" w:cstheme="minorBidi"/>
            <w:noProof/>
            <w:sz w:val="22"/>
            <w:szCs w:val="22"/>
          </w:rPr>
          <w:tab/>
        </w:r>
        <w:r w:rsidR="00871402" w:rsidRPr="00F34E51">
          <w:rPr>
            <w:rStyle w:val="Hyperlink"/>
            <w:noProof/>
          </w:rPr>
          <w:t>Landfill buffer</w:t>
        </w:r>
        <w:r w:rsidR="00871402">
          <w:rPr>
            <w:noProof/>
            <w:webHidden/>
          </w:rPr>
          <w:tab/>
        </w:r>
        <w:r w:rsidR="00871402">
          <w:rPr>
            <w:noProof/>
            <w:webHidden/>
          </w:rPr>
          <w:fldChar w:fldCharType="begin"/>
        </w:r>
        <w:r w:rsidR="00871402">
          <w:rPr>
            <w:noProof/>
            <w:webHidden/>
          </w:rPr>
          <w:instrText xml:space="preserve"> PAGEREF _Toc491027651 \h </w:instrText>
        </w:r>
        <w:r w:rsidR="00871402">
          <w:rPr>
            <w:noProof/>
            <w:webHidden/>
          </w:rPr>
        </w:r>
        <w:r w:rsidR="00871402">
          <w:rPr>
            <w:noProof/>
            <w:webHidden/>
          </w:rPr>
          <w:fldChar w:fldCharType="separate"/>
        </w:r>
        <w:r w:rsidR="00AE1A69">
          <w:rPr>
            <w:noProof/>
            <w:webHidden/>
          </w:rPr>
          <w:t>24</w:t>
        </w:r>
        <w:r w:rsidR="00871402">
          <w:rPr>
            <w:noProof/>
            <w:webHidden/>
          </w:rPr>
          <w:fldChar w:fldCharType="end"/>
        </w:r>
      </w:hyperlink>
    </w:p>
    <w:p w:rsidR="00871402" w:rsidRDefault="002B6D8D">
      <w:pPr>
        <w:pStyle w:val="TOC2"/>
        <w:tabs>
          <w:tab w:val="left" w:pos="880"/>
          <w:tab w:val="right" w:leader="dot" w:pos="8488"/>
        </w:tabs>
        <w:rPr>
          <w:rFonts w:asciiTheme="minorHAnsi" w:eastAsiaTheme="minorEastAsia" w:hAnsiTheme="minorHAnsi" w:cstheme="minorBidi"/>
          <w:noProof/>
          <w:sz w:val="22"/>
          <w:szCs w:val="22"/>
        </w:rPr>
      </w:pPr>
      <w:hyperlink w:anchor="_Toc491027652" w:history="1">
        <w:r w:rsidR="00871402" w:rsidRPr="00F34E51">
          <w:rPr>
            <w:rStyle w:val="Hyperlink"/>
            <w:rFonts w:ascii="VIC SemiBold" w:hAnsi="VIC SemiBold"/>
            <w:noProof/>
          </w:rPr>
          <w:t>3.2</w:t>
        </w:r>
        <w:r w:rsidR="00871402">
          <w:rPr>
            <w:rFonts w:asciiTheme="minorHAnsi" w:eastAsiaTheme="minorEastAsia" w:hAnsiTheme="minorHAnsi" w:cstheme="minorBidi"/>
            <w:noProof/>
            <w:sz w:val="22"/>
            <w:szCs w:val="22"/>
          </w:rPr>
          <w:tab/>
        </w:r>
        <w:r w:rsidR="00871402" w:rsidRPr="00F34E51">
          <w:rPr>
            <w:rStyle w:val="Hyperlink"/>
            <w:noProof/>
          </w:rPr>
          <w:t>Composting facility buffer</w:t>
        </w:r>
        <w:r w:rsidR="00871402">
          <w:rPr>
            <w:noProof/>
            <w:webHidden/>
          </w:rPr>
          <w:tab/>
        </w:r>
        <w:r w:rsidR="00871402">
          <w:rPr>
            <w:noProof/>
            <w:webHidden/>
          </w:rPr>
          <w:fldChar w:fldCharType="begin"/>
        </w:r>
        <w:r w:rsidR="00871402">
          <w:rPr>
            <w:noProof/>
            <w:webHidden/>
          </w:rPr>
          <w:instrText xml:space="preserve"> PAGEREF _Toc491027652 \h </w:instrText>
        </w:r>
        <w:r w:rsidR="00871402">
          <w:rPr>
            <w:noProof/>
            <w:webHidden/>
          </w:rPr>
        </w:r>
        <w:r w:rsidR="00871402">
          <w:rPr>
            <w:noProof/>
            <w:webHidden/>
          </w:rPr>
          <w:fldChar w:fldCharType="separate"/>
        </w:r>
        <w:r w:rsidR="00AE1A69">
          <w:rPr>
            <w:noProof/>
            <w:webHidden/>
          </w:rPr>
          <w:t>32</w:t>
        </w:r>
        <w:r w:rsidR="00871402">
          <w:rPr>
            <w:noProof/>
            <w:webHidden/>
          </w:rPr>
          <w:fldChar w:fldCharType="end"/>
        </w:r>
      </w:hyperlink>
    </w:p>
    <w:p w:rsidR="00871402" w:rsidRDefault="002B6D8D">
      <w:pPr>
        <w:pStyle w:val="TOC2"/>
        <w:tabs>
          <w:tab w:val="left" w:pos="880"/>
          <w:tab w:val="right" w:leader="dot" w:pos="8488"/>
        </w:tabs>
        <w:rPr>
          <w:rFonts w:asciiTheme="minorHAnsi" w:eastAsiaTheme="minorEastAsia" w:hAnsiTheme="minorHAnsi" w:cstheme="minorBidi"/>
          <w:noProof/>
          <w:sz w:val="22"/>
          <w:szCs w:val="22"/>
        </w:rPr>
      </w:pPr>
      <w:hyperlink w:anchor="_Toc491027653" w:history="1">
        <w:r w:rsidR="00871402" w:rsidRPr="00F34E51">
          <w:rPr>
            <w:rStyle w:val="Hyperlink"/>
            <w:rFonts w:ascii="VIC SemiBold" w:hAnsi="VIC SemiBold"/>
            <w:noProof/>
          </w:rPr>
          <w:t>3.3</w:t>
        </w:r>
        <w:r w:rsidR="00871402">
          <w:rPr>
            <w:rFonts w:asciiTheme="minorHAnsi" w:eastAsiaTheme="minorEastAsia" w:hAnsiTheme="minorHAnsi" w:cstheme="minorBidi"/>
            <w:noProof/>
            <w:sz w:val="22"/>
            <w:szCs w:val="22"/>
          </w:rPr>
          <w:tab/>
        </w:r>
        <w:r w:rsidR="00871402" w:rsidRPr="00F34E51">
          <w:rPr>
            <w:rStyle w:val="Hyperlink"/>
            <w:noProof/>
          </w:rPr>
          <w:t>Quarry buffer</w:t>
        </w:r>
        <w:r w:rsidR="00871402">
          <w:rPr>
            <w:noProof/>
            <w:webHidden/>
          </w:rPr>
          <w:tab/>
        </w:r>
        <w:r w:rsidR="00871402">
          <w:rPr>
            <w:noProof/>
            <w:webHidden/>
          </w:rPr>
          <w:fldChar w:fldCharType="begin"/>
        </w:r>
        <w:r w:rsidR="00871402">
          <w:rPr>
            <w:noProof/>
            <w:webHidden/>
          </w:rPr>
          <w:instrText xml:space="preserve"> PAGEREF _Toc491027653 \h </w:instrText>
        </w:r>
        <w:r w:rsidR="00871402">
          <w:rPr>
            <w:noProof/>
            <w:webHidden/>
          </w:rPr>
        </w:r>
        <w:r w:rsidR="00871402">
          <w:rPr>
            <w:noProof/>
            <w:webHidden/>
          </w:rPr>
          <w:fldChar w:fldCharType="separate"/>
        </w:r>
        <w:r w:rsidR="00AE1A69">
          <w:rPr>
            <w:noProof/>
            <w:webHidden/>
          </w:rPr>
          <w:t>39</w:t>
        </w:r>
        <w:r w:rsidR="00871402">
          <w:rPr>
            <w:noProof/>
            <w:webHidden/>
          </w:rPr>
          <w:fldChar w:fldCharType="end"/>
        </w:r>
      </w:hyperlink>
    </w:p>
    <w:p w:rsidR="00871402" w:rsidRDefault="002B6D8D">
      <w:pPr>
        <w:pStyle w:val="TOC2"/>
        <w:tabs>
          <w:tab w:val="left" w:pos="880"/>
          <w:tab w:val="right" w:leader="dot" w:pos="8488"/>
        </w:tabs>
        <w:rPr>
          <w:rFonts w:asciiTheme="minorHAnsi" w:eastAsiaTheme="minorEastAsia" w:hAnsiTheme="minorHAnsi" w:cstheme="minorBidi"/>
          <w:noProof/>
          <w:sz w:val="22"/>
          <w:szCs w:val="22"/>
        </w:rPr>
      </w:pPr>
      <w:hyperlink w:anchor="_Toc491027654" w:history="1">
        <w:r w:rsidR="00871402" w:rsidRPr="00F34E51">
          <w:rPr>
            <w:rStyle w:val="Hyperlink"/>
            <w:rFonts w:ascii="VIC SemiBold" w:hAnsi="VIC SemiBold"/>
            <w:noProof/>
          </w:rPr>
          <w:t>3.4</w:t>
        </w:r>
        <w:r w:rsidR="00871402">
          <w:rPr>
            <w:rFonts w:asciiTheme="minorHAnsi" w:eastAsiaTheme="minorEastAsia" w:hAnsiTheme="minorHAnsi" w:cstheme="minorBidi"/>
            <w:noProof/>
            <w:sz w:val="22"/>
            <w:szCs w:val="22"/>
          </w:rPr>
          <w:tab/>
        </w:r>
        <w:r w:rsidR="00871402" w:rsidRPr="00F34E51">
          <w:rPr>
            <w:rStyle w:val="Hyperlink"/>
            <w:noProof/>
          </w:rPr>
          <w:t>Racecourse Road site</w:t>
        </w:r>
        <w:r w:rsidR="00871402">
          <w:rPr>
            <w:noProof/>
            <w:webHidden/>
          </w:rPr>
          <w:tab/>
        </w:r>
        <w:r w:rsidR="00871402">
          <w:rPr>
            <w:noProof/>
            <w:webHidden/>
          </w:rPr>
          <w:fldChar w:fldCharType="begin"/>
        </w:r>
        <w:r w:rsidR="00871402">
          <w:rPr>
            <w:noProof/>
            <w:webHidden/>
          </w:rPr>
          <w:instrText xml:space="preserve"> PAGEREF _Toc491027654 \h </w:instrText>
        </w:r>
        <w:r w:rsidR="00871402">
          <w:rPr>
            <w:noProof/>
            <w:webHidden/>
          </w:rPr>
        </w:r>
        <w:r w:rsidR="00871402">
          <w:rPr>
            <w:noProof/>
            <w:webHidden/>
          </w:rPr>
          <w:fldChar w:fldCharType="separate"/>
        </w:r>
        <w:r w:rsidR="00AE1A69">
          <w:rPr>
            <w:noProof/>
            <w:webHidden/>
          </w:rPr>
          <w:t>40</w:t>
        </w:r>
        <w:r w:rsidR="00871402">
          <w:rPr>
            <w:noProof/>
            <w:webHidden/>
          </w:rPr>
          <w:fldChar w:fldCharType="end"/>
        </w:r>
      </w:hyperlink>
    </w:p>
    <w:p w:rsidR="00871402" w:rsidRDefault="002B6D8D">
      <w:pPr>
        <w:pStyle w:val="TOC2"/>
        <w:tabs>
          <w:tab w:val="left" w:pos="880"/>
          <w:tab w:val="right" w:leader="dot" w:pos="8488"/>
        </w:tabs>
        <w:rPr>
          <w:rFonts w:asciiTheme="minorHAnsi" w:eastAsiaTheme="minorEastAsia" w:hAnsiTheme="minorHAnsi" w:cstheme="minorBidi"/>
          <w:noProof/>
          <w:sz w:val="22"/>
          <w:szCs w:val="22"/>
        </w:rPr>
      </w:pPr>
      <w:hyperlink w:anchor="_Toc491027655" w:history="1">
        <w:r w:rsidR="00871402" w:rsidRPr="00F34E51">
          <w:rPr>
            <w:rStyle w:val="Hyperlink"/>
            <w:rFonts w:ascii="VIC SemiBold" w:hAnsi="VIC SemiBold"/>
            <w:noProof/>
          </w:rPr>
          <w:t>3.5</w:t>
        </w:r>
        <w:r w:rsidR="00871402">
          <w:rPr>
            <w:rFonts w:asciiTheme="minorHAnsi" w:eastAsiaTheme="minorEastAsia" w:hAnsiTheme="minorHAnsi" w:cstheme="minorBidi"/>
            <w:noProof/>
            <w:sz w:val="22"/>
            <w:szCs w:val="22"/>
          </w:rPr>
          <w:tab/>
        </w:r>
        <w:r w:rsidR="00871402" w:rsidRPr="00F34E51">
          <w:rPr>
            <w:rStyle w:val="Hyperlink"/>
            <w:noProof/>
          </w:rPr>
          <w:t>Regional transport impacts</w:t>
        </w:r>
        <w:r w:rsidR="00871402">
          <w:rPr>
            <w:noProof/>
            <w:webHidden/>
          </w:rPr>
          <w:tab/>
        </w:r>
        <w:r w:rsidR="00871402">
          <w:rPr>
            <w:noProof/>
            <w:webHidden/>
          </w:rPr>
          <w:fldChar w:fldCharType="begin"/>
        </w:r>
        <w:r w:rsidR="00871402">
          <w:rPr>
            <w:noProof/>
            <w:webHidden/>
          </w:rPr>
          <w:instrText xml:space="preserve"> PAGEREF _Toc491027655 \h </w:instrText>
        </w:r>
        <w:r w:rsidR="00871402">
          <w:rPr>
            <w:noProof/>
            <w:webHidden/>
          </w:rPr>
        </w:r>
        <w:r w:rsidR="00871402">
          <w:rPr>
            <w:noProof/>
            <w:webHidden/>
          </w:rPr>
          <w:fldChar w:fldCharType="separate"/>
        </w:r>
        <w:r w:rsidR="00AE1A69">
          <w:rPr>
            <w:noProof/>
            <w:webHidden/>
          </w:rPr>
          <w:t>42</w:t>
        </w:r>
        <w:r w:rsidR="00871402">
          <w:rPr>
            <w:noProof/>
            <w:webHidden/>
          </w:rPr>
          <w:fldChar w:fldCharType="end"/>
        </w:r>
      </w:hyperlink>
    </w:p>
    <w:p w:rsidR="00871402" w:rsidRDefault="002B6D8D">
      <w:pPr>
        <w:pStyle w:val="TOC2"/>
        <w:tabs>
          <w:tab w:val="left" w:pos="880"/>
          <w:tab w:val="right" w:leader="dot" w:pos="8488"/>
        </w:tabs>
        <w:rPr>
          <w:rFonts w:asciiTheme="minorHAnsi" w:eastAsiaTheme="minorEastAsia" w:hAnsiTheme="minorHAnsi" w:cstheme="minorBidi"/>
          <w:noProof/>
          <w:sz w:val="22"/>
          <w:szCs w:val="22"/>
        </w:rPr>
      </w:pPr>
      <w:hyperlink w:anchor="_Toc491027656" w:history="1">
        <w:r w:rsidR="00871402" w:rsidRPr="00F34E51">
          <w:rPr>
            <w:rStyle w:val="Hyperlink"/>
            <w:rFonts w:ascii="VIC SemiBold" w:hAnsi="VIC SemiBold"/>
            <w:noProof/>
          </w:rPr>
          <w:t>3.6</w:t>
        </w:r>
        <w:r w:rsidR="00871402">
          <w:rPr>
            <w:rFonts w:asciiTheme="minorHAnsi" w:eastAsiaTheme="minorEastAsia" w:hAnsiTheme="minorHAnsi" w:cstheme="minorBidi"/>
            <w:noProof/>
            <w:sz w:val="22"/>
            <w:szCs w:val="22"/>
          </w:rPr>
          <w:tab/>
        </w:r>
        <w:r w:rsidR="00871402" w:rsidRPr="00F34E51">
          <w:rPr>
            <w:rStyle w:val="Hyperlink"/>
            <w:noProof/>
          </w:rPr>
          <w:t>Regionally significant landscape values</w:t>
        </w:r>
        <w:r w:rsidR="00871402">
          <w:rPr>
            <w:noProof/>
            <w:webHidden/>
          </w:rPr>
          <w:tab/>
        </w:r>
        <w:r w:rsidR="00871402">
          <w:rPr>
            <w:noProof/>
            <w:webHidden/>
          </w:rPr>
          <w:fldChar w:fldCharType="begin"/>
        </w:r>
        <w:r w:rsidR="00871402">
          <w:rPr>
            <w:noProof/>
            <w:webHidden/>
          </w:rPr>
          <w:instrText xml:space="preserve"> PAGEREF _Toc491027656 \h </w:instrText>
        </w:r>
        <w:r w:rsidR="00871402">
          <w:rPr>
            <w:noProof/>
            <w:webHidden/>
          </w:rPr>
        </w:r>
        <w:r w:rsidR="00871402">
          <w:rPr>
            <w:noProof/>
            <w:webHidden/>
          </w:rPr>
          <w:fldChar w:fldCharType="separate"/>
        </w:r>
        <w:r w:rsidR="00AE1A69">
          <w:rPr>
            <w:noProof/>
            <w:webHidden/>
          </w:rPr>
          <w:t>45</w:t>
        </w:r>
        <w:r w:rsidR="00871402">
          <w:rPr>
            <w:noProof/>
            <w:webHidden/>
          </w:rPr>
          <w:fldChar w:fldCharType="end"/>
        </w:r>
      </w:hyperlink>
    </w:p>
    <w:p w:rsidR="00871402" w:rsidRDefault="002B6D8D">
      <w:pPr>
        <w:pStyle w:val="TOC2"/>
        <w:tabs>
          <w:tab w:val="left" w:pos="880"/>
          <w:tab w:val="right" w:leader="dot" w:pos="8488"/>
        </w:tabs>
        <w:rPr>
          <w:rFonts w:asciiTheme="minorHAnsi" w:eastAsiaTheme="minorEastAsia" w:hAnsiTheme="minorHAnsi" w:cstheme="minorBidi"/>
          <w:noProof/>
          <w:sz w:val="22"/>
          <w:szCs w:val="22"/>
        </w:rPr>
      </w:pPr>
      <w:hyperlink w:anchor="_Toc491027657" w:history="1">
        <w:r w:rsidR="00871402" w:rsidRPr="00F34E51">
          <w:rPr>
            <w:rStyle w:val="Hyperlink"/>
            <w:rFonts w:ascii="VIC SemiBold" w:hAnsi="VIC SemiBold"/>
            <w:noProof/>
          </w:rPr>
          <w:t>3.7</w:t>
        </w:r>
        <w:r w:rsidR="00871402">
          <w:rPr>
            <w:rFonts w:asciiTheme="minorHAnsi" w:eastAsiaTheme="minorEastAsia" w:hAnsiTheme="minorHAnsi" w:cstheme="minorBidi"/>
            <w:noProof/>
            <w:sz w:val="22"/>
            <w:szCs w:val="22"/>
          </w:rPr>
          <w:tab/>
        </w:r>
        <w:r w:rsidR="00871402" w:rsidRPr="00F34E51">
          <w:rPr>
            <w:rStyle w:val="Hyperlink"/>
            <w:noProof/>
          </w:rPr>
          <w:t>Drainage and waterway overview</w:t>
        </w:r>
        <w:r w:rsidR="00871402">
          <w:rPr>
            <w:noProof/>
            <w:webHidden/>
          </w:rPr>
          <w:tab/>
        </w:r>
        <w:r w:rsidR="00871402">
          <w:rPr>
            <w:noProof/>
            <w:webHidden/>
          </w:rPr>
          <w:fldChar w:fldCharType="begin"/>
        </w:r>
        <w:r w:rsidR="00871402">
          <w:rPr>
            <w:noProof/>
            <w:webHidden/>
          </w:rPr>
          <w:instrText xml:space="preserve"> PAGEREF _Toc491027657 \h </w:instrText>
        </w:r>
        <w:r w:rsidR="00871402">
          <w:rPr>
            <w:noProof/>
            <w:webHidden/>
          </w:rPr>
        </w:r>
        <w:r w:rsidR="00871402">
          <w:rPr>
            <w:noProof/>
            <w:webHidden/>
          </w:rPr>
          <w:fldChar w:fldCharType="separate"/>
        </w:r>
        <w:r w:rsidR="00AE1A69">
          <w:rPr>
            <w:noProof/>
            <w:webHidden/>
          </w:rPr>
          <w:t>46</w:t>
        </w:r>
        <w:r w:rsidR="00871402">
          <w:rPr>
            <w:noProof/>
            <w:webHidden/>
          </w:rPr>
          <w:fldChar w:fldCharType="end"/>
        </w:r>
      </w:hyperlink>
    </w:p>
    <w:p w:rsidR="00871402" w:rsidRDefault="002B6D8D">
      <w:pPr>
        <w:pStyle w:val="TOC2"/>
        <w:tabs>
          <w:tab w:val="left" w:pos="880"/>
          <w:tab w:val="right" w:leader="dot" w:pos="8488"/>
        </w:tabs>
        <w:rPr>
          <w:rFonts w:asciiTheme="minorHAnsi" w:eastAsiaTheme="minorEastAsia" w:hAnsiTheme="minorHAnsi" w:cstheme="minorBidi"/>
          <w:noProof/>
          <w:sz w:val="22"/>
          <w:szCs w:val="22"/>
        </w:rPr>
      </w:pPr>
      <w:hyperlink w:anchor="_Toc491027658" w:history="1">
        <w:r w:rsidR="00871402" w:rsidRPr="00F34E51">
          <w:rPr>
            <w:rStyle w:val="Hyperlink"/>
            <w:rFonts w:ascii="VIC SemiBold" w:hAnsi="VIC SemiBold"/>
            <w:noProof/>
          </w:rPr>
          <w:t>3.8</w:t>
        </w:r>
        <w:r w:rsidR="00871402">
          <w:rPr>
            <w:rFonts w:asciiTheme="minorHAnsi" w:eastAsiaTheme="minorEastAsia" w:hAnsiTheme="minorHAnsi" w:cstheme="minorBidi"/>
            <w:noProof/>
            <w:sz w:val="22"/>
            <w:szCs w:val="22"/>
          </w:rPr>
          <w:tab/>
        </w:r>
        <w:r w:rsidR="00871402" w:rsidRPr="00F34E51">
          <w:rPr>
            <w:rStyle w:val="Hyperlink"/>
            <w:noProof/>
          </w:rPr>
          <w:t>Concept plans and additional cross-sections</w:t>
        </w:r>
        <w:r w:rsidR="00871402">
          <w:rPr>
            <w:noProof/>
            <w:webHidden/>
          </w:rPr>
          <w:tab/>
        </w:r>
        <w:r w:rsidR="00871402">
          <w:rPr>
            <w:noProof/>
            <w:webHidden/>
          </w:rPr>
          <w:fldChar w:fldCharType="begin"/>
        </w:r>
        <w:r w:rsidR="00871402">
          <w:rPr>
            <w:noProof/>
            <w:webHidden/>
          </w:rPr>
          <w:instrText xml:space="preserve"> PAGEREF _Toc491027658 \h </w:instrText>
        </w:r>
        <w:r w:rsidR="00871402">
          <w:rPr>
            <w:noProof/>
            <w:webHidden/>
          </w:rPr>
        </w:r>
        <w:r w:rsidR="00871402">
          <w:rPr>
            <w:noProof/>
            <w:webHidden/>
          </w:rPr>
          <w:fldChar w:fldCharType="separate"/>
        </w:r>
        <w:r w:rsidR="00AE1A69">
          <w:rPr>
            <w:noProof/>
            <w:webHidden/>
          </w:rPr>
          <w:t>49</w:t>
        </w:r>
        <w:r w:rsidR="00871402">
          <w:rPr>
            <w:noProof/>
            <w:webHidden/>
          </w:rPr>
          <w:fldChar w:fldCharType="end"/>
        </w:r>
      </w:hyperlink>
    </w:p>
    <w:p w:rsidR="00871402" w:rsidRDefault="002B6D8D">
      <w:pPr>
        <w:pStyle w:val="TOC2"/>
        <w:tabs>
          <w:tab w:val="left" w:pos="880"/>
          <w:tab w:val="right" w:leader="dot" w:pos="8488"/>
        </w:tabs>
        <w:rPr>
          <w:rFonts w:asciiTheme="minorHAnsi" w:eastAsiaTheme="minorEastAsia" w:hAnsiTheme="minorHAnsi" w:cstheme="minorBidi"/>
          <w:noProof/>
          <w:sz w:val="22"/>
          <w:szCs w:val="22"/>
        </w:rPr>
      </w:pPr>
      <w:hyperlink w:anchor="_Toc491027659" w:history="1">
        <w:r w:rsidR="00871402" w:rsidRPr="00F34E51">
          <w:rPr>
            <w:rStyle w:val="Hyperlink"/>
            <w:rFonts w:ascii="VIC SemiBold" w:hAnsi="VIC SemiBold"/>
            <w:noProof/>
          </w:rPr>
          <w:t>3.9</w:t>
        </w:r>
        <w:r w:rsidR="00871402">
          <w:rPr>
            <w:rFonts w:asciiTheme="minorHAnsi" w:eastAsiaTheme="minorEastAsia" w:hAnsiTheme="minorHAnsi" w:cstheme="minorBidi"/>
            <w:noProof/>
            <w:sz w:val="22"/>
            <w:szCs w:val="22"/>
          </w:rPr>
          <w:tab/>
        </w:r>
        <w:r w:rsidR="00871402" w:rsidRPr="00F34E51">
          <w:rPr>
            <w:rStyle w:val="Hyperlink"/>
            <w:noProof/>
          </w:rPr>
          <w:t>Creek corridor interfaces</w:t>
        </w:r>
        <w:r w:rsidR="00871402">
          <w:rPr>
            <w:noProof/>
            <w:webHidden/>
          </w:rPr>
          <w:tab/>
        </w:r>
        <w:r w:rsidR="00871402">
          <w:rPr>
            <w:noProof/>
            <w:webHidden/>
          </w:rPr>
          <w:fldChar w:fldCharType="begin"/>
        </w:r>
        <w:r w:rsidR="00871402">
          <w:rPr>
            <w:noProof/>
            <w:webHidden/>
          </w:rPr>
          <w:instrText xml:space="preserve"> PAGEREF _Toc491027659 \h </w:instrText>
        </w:r>
        <w:r w:rsidR="00871402">
          <w:rPr>
            <w:noProof/>
            <w:webHidden/>
          </w:rPr>
        </w:r>
        <w:r w:rsidR="00871402">
          <w:rPr>
            <w:noProof/>
            <w:webHidden/>
          </w:rPr>
          <w:fldChar w:fldCharType="separate"/>
        </w:r>
        <w:r w:rsidR="00AE1A69">
          <w:rPr>
            <w:noProof/>
            <w:webHidden/>
          </w:rPr>
          <w:t>52</w:t>
        </w:r>
        <w:r w:rsidR="00871402">
          <w:rPr>
            <w:noProof/>
            <w:webHidden/>
          </w:rPr>
          <w:fldChar w:fldCharType="end"/>
        </w:r>
      </w:hyperlink>
    </w:p>
    <w:p w:rsidR="00871402" w:rsidRDefault="002B6D8D">
      <w:pPr>
        <w:pStyle w:val="TOC1"/>
        <w:tabs>
          <w:tab w:val="left" w:pos="360"/>
          <w:tab w:val="right" w:leader="dot" w:pos="8488"/>
        </w:tabs>
        <w:rPr>
          <w:rFonts w:asciiTheme="minorHAnsi" w:eastAsiaTheme="minorEastAsia" w:hAnsiTheme="minorHAnsi" w:cstheme="minorBidi"/>
          <w:noProof/>
          <w:sz w:val="22"/>
          <w:szCs w:val="22"/>
        </w:rPr>
      </w:pPr>
      <w:hyperlink w:anchor="_Toc491027660" w:history="1">
        <w:r w:rsidR="00871402" w:rsidRPr="00F34E51">
          <w:rPr>
            <w:rStyle w:val="Hyperlink"/>
            <w:rFonts w:ascii="VIC SemiBold" w:hAnsi="VIC SemiBold"/>
            <w:noProof/>
          </w:rPr>
          <w:t>4</w:t>
        </w:r>
        <w:r w:rsidR="00871402">
          <w:rPr>
            <w:rFonts w:asciiTheme="minorHAnsi" w:eastAsiaTheme="minorEastAsia" w:hAnsiTheme="minorHAnsi" w:cstheme="minorBidi"/>
            <w:noProof/>
            <w:sz w:val="22"/>
            <w:szCs w:val="22"/>
          </w:rPr>
          <w:tab/>
        </w:r>
        <w:r w:rsidR="00871402" w:rsidRPr="00F34E51">
          <w:rPr>
            <w:rStyle w:val="Hyperlink"/>
            <w:noProof/>
          </w:rPr>
          <w:t>Removal of restrictive covenants</w:t>
        </w:r>
        <w:r w:rsidR="00871402">
          <w:rPr>
            <w:noProof/>
            <w:webHidden/>
          </w:rPr>
          <w:tab/>
        </w:r>
        <w:r w:rsidR="00871402">
          <w:rPr>
            <w:noProof/>
            <w:webHidden/>
          </w:rPr>
          <w:fldChar w:fldCharType="begin"/>
        </w:r>
        <w:r w:rsidR="00871402">
          <w:rPr>
            <w:noProof/>
            <w:webHidden/>
          </w:rPr>
          <w:instrText xml:space="preserve"> PAGEREF _Toc491027660 \h </w:instrText>
        </w:r>
        <w:r w:rsidR="00871402">
          <w:rPr>
            <w:noProof/>
            <w:webHidden/>
          </w:rPr>
        </w:r>
        <w:r w:rsidR="00871402">
          <w:rPr>
            <w:noProof/>
            <w:webHidden/>
          </w:rPr>
          <w:fldChar w:fldCharType="separate"/>
        </w:r>
        <w:r w:rsidR="00AE1A69">
          <w:rPr>
            <w:noProof/>
            <w:webHidden/>
          </w:rPr>
          <w:t>54</w:t>
        </w:r>
        <w:r w:rsidR="00871402">
          <w:rPr>
            <w:noProof/>
            <w:webHidden/>
          </w:rPr>
          <w:fldChar w:fldCharType="end"/>
        </w:r>
      </w:hyperlink>
    </w:p>
    <w:p w:rsidR="009F357A" w:rsidRPr="00024F84" w:rsidRDefault="00937364" w:rsidP="009F357A">
      <w:pPr>
        <w:pStyle w:val="HeadingContents"/>
        <w:rPr>
          <w:rFonts w:asciiTheme="minorHAnsi" w:hAnsiTheme="minorHAnsi"/>
        </w:rPr>
      </w:pPr>
      <w:r w:rsidRPr="00024F84">
        <w:rPr>
          <w:rFonts w:asciiTheme="minorHAnsi" w:hAnsiTheme="minorHAnsi"/>
          <w:sz w:val="22"/>
          <w:lang w:val="en-US" w:eastAsia="en-AU"/>
        </w:rPr>
        <w:fldChar w:fldCharType="end"/>
      </w:r>
    </w:p>
    <w:p w:rsidR="008654AB" w:rsidRPr="00024F84" w:rsidRDefault="008654AB" w:rsidP="00A32C18">
      <w:pPr>
        <w:rPr>
          <w:rFonts w:asciiTheme="minorHAnsi" w:hAnsiTheme="minorHAnsi"/>
        </w:rPr>
      </w:pPr>
      <w:r w:rsidRPr="00024F84">
        <w:rPr>
          <w:rFonts w:asciiTheme="minorHAnsi" w:hAnsiTheme="minorHAnsi"/>
        </w:rPr>
        <w:t xml:space="preserve"> </w:t>
      </w:r>
    </w:p>
    <w:p w:rsidR="00937364" w:rsidRPr="00024F84" w:rsidRDefault="00937364" w:rsidP="00937364">
      <w:pPr>
        <w:rPr>
          <w:rFonts w:asciiTheme="minorHAnsi" w:hAnsiTheme="minorHAnsi"/>
        </w:rPr>
      </w:pPr>
      <w:r w:rsidRPr="00024F84">
        <w:rPr>
          <w:rFonts w:asciiTheme="minorHAnsi" w:hAnsiTheme="minorHAnsi"/>
        </w:rPr>
        <w:br w:type="page"/>
      </w:r>
    </w:p>
    <w:p w:rsidR="00937364" w:rsidRPr="00024F84" w:rsidRDefault="00937364" w:rsidP="00937364">
      <w:pPr>
        <w:rPr>
          <w:rFonts w:asciiTheme="minorHAnsi" w:hAnsiTheme="minorHAnsi"/>
        </w:rPr>
      </w:pPr>
    </w:p>
    <w:p w:rsidR="00937364" w:rsidRPr="00024F84" w:rsidRDefault="00937364" w:rsidP="00987CB7">
      <w:pPr>
        <w:rPr>
          <w:rFonts w:asciiTheme="minorHAnsi" w:hAnsiTheme="minorHAnsi"/>
        </w:rPr>
        <w:sectPr w:rsidR="00937364" w:rsidRPr="00024F84" w:rsidSect="00337B9D">
          <w:headerReference w:type="even" r:id="rId8"/>
          <w:headerReference w:type="default" r:id="rId9"/>
          <w:footerReference w:type="even" r:id="rId10"/>
          <w:footerReference w:type="default" r:id="rId11"/>
          <w:pgSz w:w="11901" w:h="16846" w:code="9"/>
          <w:pgMar w:top="1701" w:right="1418" w:bottom="851" w:left="1985" w:header="284" w:footer="0" w:gutter="0"/>
          <w:cols w:space="720"/>
          <w:docGrid w:linePitch="299"/>
        </w:sectPr>
      </w:pPr>
    </w:p>
    <w:p w:rsidR="00937364" w:rsidRPr="00024F84" w:rsidRDefault="00956508" w:rsidP="00937364">
      <w:pPr>
        <w:pStyle w:val="Heading1"/>
        <w:spacing w:line="240" w:lineRule="auto"/>
        <w:rPr>
          <w:rFonts w:asciiTheme="minorHAnsi" w:hAnsiTheme="minorHAnsi"/>
        </w:rPr>
      </w:pPr>
      <w:bookmarkStart w:id="1" w:name="_Toc491027638"/>
      <w:r w:rsidRPr="00024F84">
        <w:rPr>
          <w:rFonts w:asciiTheme="minorHAnsi" w:hAnsiTheme="minorHAnsi"/>
        </w:rPr>
        <w:lastRenderedPageBreak/>
        <w:t>Introduction</w:t>
      </w:r>
      <w:bookmarkEnd w:id="1"/>
    </w:p>
    <w:p w:rsidR="00B05910" w:rsidRPr="00024F84" w:rsidRDefault="00B05910" w:rsidP="00956508">
      <w:pPr>
        <w:rPr>
          <w:rFonts w:asciiTheme="minorHAnsi" w:hAnsiTheme="minorHAnsi"/>
          <w:sz w:val="22"/>
          <w:lang w:eastAsia="en-US"/>
        </w:rPr>
      </w:pPr>
      <w:r w:rsidRPr="00024F84">
        <w:rPr>
          <w:rFonts w:asciiTheme="minorHAnsi" w:hAnsiTheme="minorHAnsi"/>
          <w:sz w:val="22"/>
          <w:lang w:eastAsia="en-US"/>
        </w:rPr>
        <w:t>This submission is made on behalf of the Vic</w:t>
      </w:r>
      <w:r w:rsidR="004325F6" w:rsidRPr="00024F84">
        <w:rPr>
          <w:rFonts w:asciiTheme="minorHAnsi" w:hAnsiTheme="minorHAnsi"/>
          <w:sz w:val="22"/>
          <w:lang w:eastAsia="en-US"/>
        </w:rPr>
        <w:t>torian Planning Authority (</w:t>
      </w:r>
      <w:r w:rsidR="004325F6" w:rsidRPr="00B26A64">
        <w:rPr>
          <w:rFonts w:asciiTheme="minorHAnsi" w:hAnsiTheme="minorHAnsi"/>
          <w:b/>
          <w:sz w:val="22"/>
          <w:lang w:eastAsia="en-US"/>
        </w:rPr>
        <w:t>VPA</w:t>
      </w:r>
      <w:r w:rsidR="004325F6" w:rsidRPr="00024F84">
        <w:rPr>
          <w:rFonts w:asciiTheme="minorHAnsi" w:hAnsiTheme="minorHAnsi"/>
          <w:sz w:val="22"/>
          <w:lang w:eastAsia="en-US"/>
        </w:rPr>
        <w:t>) in respect of Amendment</w:t>
      </w:r>
      <w:r w:rsidR="005747B2">
        <w:rPr>
          <w:rFonts w:asciiTheme="minorHAnsi" w:hAnsiTheme="minorHAnsi"/>
          <w:sz w:val="22"/>
          <w:lang w:eastAsia="en-US"/>
        </w:rPr>
        <w:t>s</w:t>
      </w:r>
      <w:r w:rsidR="004325F6" w:rsidRPr="00024F84">
        <w:rPr>
          <w:rFonts w:asciiTheme="minorHAnsi" w:hAnsiTheme="minorHAnsi"/>
          <w:sz w:val="22"/>
          <w:lang w:eastAsia="en-US"/>
        </w:rPr>
        <w:t xml:space="preserve"> C207 and C208 (</w:t>
      </w:r>
      <w:r w:rsidR="004325F6" w:rsidRPr="00B26A64">
        <w:rPr>
          <w:rFonts w:asciiTheme="minorHAnsi" w:hAnsiTheme="minorHAnsi"/>
          <w:b/>
          <w:sz w:val="22"/>
          <w:lang w:eastAsia="en-US"/>
        </w:rPr>
        <w:t>Amendments</w:t>
      </w:r>
      <w:r w:rsidR="004325F6" w:rsidRPr="00024F84">
        <w:rPr>
          <w:rFonts w:asciiTheme="minorHAnsi" w:hAnsiTheme="minorHAnsi"/>
          <w:sz w:val="22"/>
          <w:lang w:eastAsia="en-US"/>
        </w:rPr>
        <w:t>) to the Hume Planning Scheme (</w:t>
      </w:r>
      <w:r w:rsidR="004325F6" w:rsidRPr="00B26A64">
        <w:rPr>
          <w:rFonts w:asciiTheme="minorHAnsi" w:hAnsiTheme="minorHAnsi"/>
          <w:b/>
          <w:sz w:val="22"/>
          <w:lang w:eastAsia="en-US"/>
        </w:rPr>
        <w:t>Scheme</w:t>
      </w:r>
      <w:r w:rsidR="004325F6" w:rsidRPr="00024F84">
        <w:rPr>
          <w:rFonts w:asciiTheme="minorHAnsi" w:hAnsiTheme="minorHAnsi"/>
          <w:sz w:val="22"/>
          <w:lang w:eastAsia="en-US"/>
        </w:rPr>
        <w:t>).</w:t>
      </w:r>
    </w:p>
    <w:p w:rsidR="00BF4064" w:rsidRPr="00024F84" w:rsidRDefault="004325F6" w:rsidP="00956508">
      <w:pPr>
        <w:rPr>
          <w:rFonts w:asciiTheme="minorHAnsi" w:hAnsiTheme="minorHAnsi"/>
          <w:sz w:val="22"/>
          <w:lang w:eastAsia="en-US"/>
        </w:rPr>
      </w:pPr>
      <w:r w:rsidRPr="00024F84">
        <w:rPr>
          <w:rFonts w:asciiTheme="minorHAnsi" w:hAnsiTheme="minorHAnsi"/>
          <w:sz w:val="22"/>
          <w:lang w:eastAsia="en-US"/>
        </w:rPr>
        <w:t>This Part B submission is to be read together with the Part A submission circulated on 7 August 2017.</w:t>
      </w:r>
    </w:p>
    <w:p w:rsidR="00956508" w:rsidRPr="00024F84" w:rsidRDefault="004325F6" w:rsidP="00956508">
      <w:pPr>
        <w:rPr>
          <w:rFonts w:asciiTheme="minorHAnsi" w:hAnsiTheme="minorHAnsi"/>
          <w:sz w:val="22"/>
          <w:lang w:eastAsia="en-US"/>
        </w:rPr>
      </w:pPr>
      <w:r w:rsidRPr="00024F84">
        <w:rPr>
          <w:rFonts w:asciiTheme="minorHAnsi" w:hAnsiTheme="minorHAnsi"/>
          <w:sz w:val="22"/>
          <w:lang w:eastAsia="en-US"/>
        </w:rPr>
        <w:t xml:space="preserve">It addresses the matters raised in direction </w:t>
      </w:r>
      <w:r w:rsidR="001D7B00" w:rsidRPr="00024F84">
        <w:rPr>
          <w:rFonts w:asciiTheme="minorHAnsi" w:hAnsiTheme="minorHAnsi"/>
          <w:sz w:val="22"/>
          <w:lang w:eastAsia="en-US"/>
        </w:rPr>
        <w:t>28 of the Panel’</w:t>
      </w:r>
      <w:r w:rsidR="00987B7F" w:rsidRPr="00024F84">
        <w:rPr>
          <w:rFonts w:asciiTheme="minorHAnsi" w:hAnsiTheme="minorHAnsi"/>
          <w:sz w:val="22"/>
          <w:lang w:eastAsia="en-US"/>
        </w:rPr>
        <w:t>s directions dated 12 July 2017, namely:</w:t>
      </w:r>
    </w:p>
    <w:p w:rsidR="00987B7F" w:rsidRPr="00024F84" w:rsidRDefault="0013673B" w:rsidP="00467C80">
      <w:pPr>
        <w:pStyle w:val="ListParagraph"/>
        <w:numPr>
          <w:ilvl w:val="0"/>
          <w:numId w:val="13"/>
        </w:numPr>
        <w:rPr>
          <w:i/>
        </w:rPr>
      </w:pPr>
      <w:r w:rsidRPr="00024F84">
        <w:rPr>
          <w:i/>
        </w:rPr>
        <w:t>A summary of the key issues raised in submissions.</w:t>
      </w:r>
    </w:p>
    <w:p w:rsidR="0013673B" w:rsidRPr="00024F84" w:rsidRDefault="0013673B" w:rsidP="00467C80">
      <w:pPr>
        <w:pStyle w:val="ListParagraph"/>
        <w:numPr>
          <w:ilvl w:val="0"/>
          <w:numId w:val="13"/>
        </w:numPr>
        <w:rPr>
          <w:i/>
        </w:rPr>
      </w:pPr>
      <w:r w:rsidRPr="00024F84">
        <w:rPr>
          <w:i/>
        </w:rPr>
        <w:t>Response to evidence tabled.</w:t>
      </w:r>
    </w:p>
    <w:p w:rsidR="0013673B" w:rsidRPr="00024F84" w:rsidRDefault="002F58E2" w:rsidP="00467C80">
      <w:pPr>
        <w:pStyle w:val="ListParagraph"/>
        <w:numPr>
          <w:ilvl w:val="0"/>
          <w:numId w:val="13"/>
        </w:numPr>
        <w:rPr>
          <w:i/>
        </w:rPr>
      </w:pPr>
      <w:r w:rsidRPr="00024F84">
        <w:rPr>
          <w:i/>
        </w:rPr>
        <w:t>Its [VPA’s] final position on the Amendments.</w:t>
      </w:r>
    </w:p>
    <w:p w:rsidR="002F58E2" w:rsidRPr="00024F84" w:rsidRDefault="002F58E2" w:rsidP="00467C80">
      <w:pPr>
        <w:pStyle w:val="ListParagraph"/>
        <w:numPr>
          <w:ilvl w:val="0"/>
          <w:numId w:val="13"/>
        </w:numPr>
        <w:rPr>
          <w:i/>
        </w:rPr>
      </w:pPr>
      <w:r w:rsidRPr="00024F84">
        <w:rPr>
          <w:i/>
        </w:rPr>
        <w:t>Provide an understanding of what is proposed with respect to progressing the Development Contributions Plan/Infrastructure Contributions Plan.</w:t>
      </w:r>
    </w:p>
    <w:p w:rsidR="002F58E2" w:rsidRPr="00024F84" w:rsidRDefault="002F58E2" w:rsidP="00467C80">
      <w:pPr>
        <w:pStyle w:val="ListParagraph"/>
        <w:numPr>
          <w:ilvl w:val="0"/>
          <w:numId w:val="13"/>
        </w:numPr>
        <w:rPr>
          <w:i/>
        </w:rPr>
      </w:pPr>
      <w:r w:rsidRPr="00024F84">
        <w:rPr>
          <w:i/>
        </w:rPr>
        <w:t>Provide an update on the position to be adopted on using the RGZ as the applied zone for ‘all other land’ in the UGZ.</w:t>
      </w:r>
    </w:p>
    <w:p w:rsidR="002F58E2" w:rsidRPr="00024F84" w:rsidRDefault="002F58E2" w:rsidP="00467C80">
      <w:pPr>
        <w:pStyle w:val="ListParagraph"/>
        <w:numPr>
          <w:ilvl w:val="0"/>
          <w:numId w:val="13"/>
        </w:numPr>
        <w:rPr>
          <w:i/>
        </w:rPr>
      </w:pPr>
      <w:r w:rsidRPr="00024F84">
        <w:rPr>
          <w:i/>
        </w:rPr>
        <w:t>Provide a summary of the culture heritage assessments (aboriginal and post-contact settlement) and how the requirements in the PSPs will provide protection for the identified sites and areas of cultural and environmental significance e.g. the Earth Rings, Cannon Gully and Zig Zag Track, Emu Bottom wetlands.</w:t>
      </w:r>
    </w:p>
    <w:p w:rsidR="002F58E2" w:rsidRPr="00024F84" w:rsidRDefault="002F58E2" w:rsidP="00467C80">
      <w:pPr>
        <w:pStyle w:val="ListParagraph"/>
        <w:numPr>
          <w:ilvl w:val="0"/>
          <w:numId w:val="13"/>
        </w:numPr>
        <w:rPr>
          <w:i/>
        </w:rPr>
      </w:pPr>
      <w:r w:rsidRPr="00024F84">
        <w:rPr>
          <w:i/>
        </w:rPr>
        <w:t>Provide a map showing the location of the Earth Rings, Cannon Gully and Zig Zag Track, Emu Bottom wetlands.</w:t>
      </w:r>
    </w:p>
    <w:p w:rsidR="002F58E2" w:rsidRPr="00024F84" w:rsidRDefault="002F58E2" w:rsidP="00467C80">
      <w:pPr>
        <w:pStyle w:val="ListParagraph"/>
        <w:numPr>
          <w:ilvl w:val="0"/>
          <w:numId w:val="13"/>
        </w:numPr>
        <w:rPr>
          <w:i/>
        </w:rPr>
      </w:pPr>
      <w:r w:rsidRPr="00024F84">
        <w:rPr>
          <w:i/>
        </w:rPr>
        <w:t>Provide confirmation of the alignment of the two proposed crossings of Jacksons Creek and an update on consultation with the Wurundjeri Council and the Hume City Council on the preferred alignments.</w:t>
      </w:r>
    </w:p>
    <w:p w:rsidR="002F58E2" w:rsidRPr="00024F84" w:rsidRDefault="002F58E2" w:rsidP="00467C80">
      <w:pPr>
        <w:pStyle w:val="ListParagraph"/>
        <w:numPr>
          <w:ilvl w:val="0"/>
          <w:numId w:val="13"/>
        </w:numPr>
        <w:rPr>
          <w:i/>
        </w:rPr>
      </w:pPr>
      <w:r w:rsidRPr="00024F84">
        <w:rPr>
          <w:i/>
        </w:rPr>
        <w:t>Provide an explanation of the process to determine the Integrated Water Management requirements in the PSPs following the findings outlined in the Stormwater Management Strategy prepared by Alluvium (November 2014).</w:t>
      </w:r>
    </w:p>
    <w:p w:rsidR="002F58E2" w:rsidRPr="00024F84" w:rsidRDefault="002F58E2" w:rsidP="00467C80">
      <w:pPr>
        <w:pStyle w:val="ListParagraph"/>
        <w:numPr>
          <w:ilvl w:val="0"/>
          <w:numId w:val="13"/>
        </w:numPr>
        <w:rPr>
          <w:i/>
        </w:rPr>
      </w:pPr>
      <w:r w:rsidRPr="00024F84">
        <w:rPr>
          <w:i/>
        </w:rPr>
        <w:t xml:space="preserve">Clarify the status of the </w:t>
      </w:r>
      <w:proofErr w:type="spellStart"/>
      <w:r w:rsidRPr="00024F84">
        <w:rPr>
          <w:i/>
        </w:rPr>
        <w:t>Balbethan</w:t>
      </w:r>
      <w:proofErr w:type="spellEnd"/>
      <w:r w:rsidRPr="00024F84">
        <w:rPr>
          <w:i/>
        </w:rPr>
        <w:t xml:space="preserve"> Residential Concept Plan.</w:t>
      </w:r>
    </w:p>
    <w:p w:rsidR="002F58E2" w:rsidRPr="00024F84" w:rsidRDefault="002F58E2" w:rsidP="00467C80">
      <w:pPr>
        <w:pStyle w:val="ListParagraph"/>
        <w:numPr>
          <w:ilvl w:val="0"/>
          <w:numId w:val="13"/>
        </w:numPr>
        <w:rPr>
          <w:i/>
        </w:rPr>
      </w:pPr>
      <w:r w:rsidRPr="00024F84">
        <w:rPr>
          <w:i/>
        </w:rPr>
        <w:t>An assessment of the three s96A applications.</w:t>
      </w:r>
    </w:p>
    <w:p w:rsidR="002F58E2" w:rsidRPr="00024F84" w:rsidRDefault="002F58E2" w:rsidP="00467C80">
      <w:pPr>
        <w:pStyle w:val="ListParagraph"/>
        <w:numPr>
          <w:ilvl w:val="0"/>
          <w:numId w:val="13"/>
        </w:numPr>
        <w:rPr>
          <w:i/>
        </w:rPr>
      </w:pPr>
      <w:r w:rsidRPr="00024F84">
        <w:rPr>
          <w:i/>
        </w:rPr>
        <w:t>An explanation of the deletion of HO358.</w:t>
      </w:r>
    </w:p>
    <w:p w:rsidR="002F58E2" w:rsidRPr="00024F84" w:rsidRDefault="002F58E2" w:rsidP="00467C80">
      <w:pPr>
        <w:pStyle w:val="ListParagraph"/>
        <w:numPr>
          <w:ilvl w:val="0"/>
          <w:numId w:val="13"/>
        </w:numPr>
        <w:rPr>
          <w:i/>
        </w:rPr>
      </w:pPr>
      <w:r w:rsidRPr="00024F84">
        <w:rPr>
          <w:i/>
        </w:rPr>
        <w:t>A response to the submissions of Melbourne Water, Western Water and DELWP with respect to the integrated water network.</w:t>
      </w:r>
    </w:p>
    <w:p w:rsidR="00976661" w:rsidRDefault="00976661" w:rsidP="00956508">
      <w:pPr>
        <w:rPr>
          <w:rFonts w:asciiTheme="minorHAnsi" w:hAnsiTheme="minorHAnsi"/>
          <w:sz w:val="22"/>
          <w:lang w:eastAsia="en-US"/>
        </w:rPr>
      </w:pPr>
      <w:r w:rsidRPr="00976661">
        <w:rPr>
          <w:rFonts w:asciiTheme="minorHAnsi" w:hAnsiTheme="minorHAnsi"/>
          <w:sz w:val="22"/>
          <w:lang w:eastAsia="en-US"/>
        </w:rPr>
        <w:t xml:space="preserve">Item </w:t>
      </w:r>
      <w:r>
        <w:rPr>
          <w:rFonts w:asciiTheme="minorHAnsi" w:hAnsiTheme="minorHAnsi"/>
          <w:sz w:val="22"/>
          <w:lang w:eastAsia="en-US"/>
        </w:rPr>
        <w:t xml:space="preserve">(a) is addressed </w:t>
      </w:r>
      <w:r w:rsidR="002D050F">
        <w:rPr>
          <w:rFonts w:asciiTheme="minorHAnsi" w:hAnsiTheme="minorHAnsi"/>
          <w:sz w:val="22"/>
          <w:lang w:eastAsia="en-US"/>
        </w:rPr>
        <w:t>in section</w:t>
      </w:r>
      <w:r w:rsidR="009B715B">
        <w:rPr>
          <w:rFonts w:asciiTheme="minorHAnsi" w:hAnsiTheme="minorHAnsi"/>
          <w:sz w:val="22"/>
          <w:lang w:eastAsia="en-US"/>
        </w:rPr>
        <w:t xml:space="preserve"> 3 </w:t>
      </w:r>
      <w:r w:rsidR="009C161E">
        <w:rPr>
          <w:rFonts w:asciiTheme="minorHAnsi" w:hAnsiTheme="minorHAnsi"/>
          <w:sz w:val="22"/>
          <w:lang w:eastAsia="en-US"/>
        </w:rPr>
        <w:t xml:space="preserve">of </w:t>
      </w:r>
      <w:r w:rsidR="0040486F">
        <w:rPr>
          <w:rFonts w:asciiTheme="minorHAnsi" w:hAnsiTheme="minorHAnsi"/>
          <w:sz w:val="22"/>
          <w:lang w:eastAsia="en-US"/>
        </w:rPr>
        <w:t>this submission</w:t>
      </w:r>
      <w:r w:rsidR="009C76EC">
        <w:rPr>
          <w:rFonts w:asciiTheme="minorHAnsi" w:hAnsiTheme="minorHAnsi"/>
          <w:sz w:val="22"/>
          <w:lang w:eastAsia="en-US"/>
        </w:rPr>
        <w:t xml:space="preserve">, save for where the issues raised in submissions </w:t>
      </w:r>
      <w:r w:rsidR="00890DA3">
        <w:rPr>
          <w:rFonts w:asciiTheme="minorHAnsi" w:hAnsiTheme="minorHAnsi"/>
          <w:sz w:val="22"/>
          <w:lang w:eastAsia="en-US"/>
        </w:rPr>
        <w:t xml:space="preserve">are </w:t>
      </w:r>
      <w:r w:rsidR="003D7410">
        <w:rPr>
          <w:rFonts w:asciiTheme="minorHAnsi" w:hAnsiTheme="minorHAnsi"/>
          <w:sz w:val="22"/>
          <w:lang w:eastAsia="en-US"/>
        </w:rPr>
        <w:t>also identified in</w:t>
      </w:r>
      <w:r w:rsidR="00890DA3">
        <w:rPr>
          <w:rFonts w:asciiTheme="minorHAnsi" w:hAnsiTheme="minorHAnsi"/>
          <w:sz w:val="22"/>
          <w:lang w:eastAsia="en-US"/>
        </w:rPr>
        <w:t xml:space="preserve"> items (d) to (m)</w:t>
      </w:r>
      <w:r w:rsidR="003D7410">
        <w:rPr>
          <w:rFonts w:asciiTheme="minorHAnsi" w:hAnsiTheme="minorHAnsi"/>
          <w:sz w:val="22"/>
          <w:lang w:eastAsia="en-US"/>
        </w:rPr>
        <w:t xml:space="preserve"> above</w:t>
      </w:r>
      <w:r w:rsidR="00890DA3">
        <w:rPr>
          <w:rFonts w:asciiTheme="minorHAnsi" w:hAnsiTheme="minorHAnsi"/>
          <w:sz w:val="22"/>
          <w:lang w:eastAsia="en-US"/>
        </w:rPr>
        <w:t>.</w:t>
      </w:r>
      <w:r w:rsidR="006E6D23">
        <w:rPr>
          <w:rFonts w:asciiTheme="minorHAnsi" w:hAnsiTheme="minorHAnsi"/>
          <w:sz w:val="22"/>
          <w:lang w:eastAsia="en-US"/>
        </w:rPr>
        <w:t xml:space="preserve">  </w:t>
      </w:r>
      <w:r w:rsidR="008A75A4">
        <w:rPr>
          <w:rFonts w:asciiTheme="minorHAnsi" w:hAnsiTheme="minorHAnsi"/>
          <w:sz w:val="22"/>
          <w:lang w:eastAsia="en-US"/>
        </w:rPr>
        <w:t>Items (d) to (m)</w:t>
      </w:r>
      <w:r w:rsidR="006E6D23">
        <w:rPr>
          <w:rFonts w:asciiTheme="minorHAnsi" w:hAnsiTheme="minorHAnsi"/>
          <w:sz w:val="22"/>
          <w:lang w:eastAsia="en-US"/>
        </w:rPr>
        <w:t xml:space="preserve"> are addressed in section 2 below.</w:t>
      </w:r>
    </w:p>
    <w:p w:rsidR="00890DA3" w:rsidRDefault="008C6C42" w:rsidP="00956508">
      <w:pPr>
        <w:rPr>
          <w:rFonts w:asciiTheme="minorHAnsi" w:hAnsiTheme="minorHAnsi"/>
          <w:sz w:val="22"/>
          <w:lang w:eastAsia="en-US"/>
        </w:rPr>
      </w:pPr>
      <w:r>
        <w:rPr>
          <w:rFonts w:asciiTheme="minorHAnsi" w:hAnsiTheme="minorHAnsi"/>
          <w:sz w:val="22"/>
          <w:lang w:eastAsia="en-US"/>
        </w:rPr>
        <w:t xml:space="preserve">Item (b) is addressed </w:t>
      </w:r>
      <w:r w:rsidR="00FE0A69">
        <w:rPr>
          <w:rFonts w:asciiTheme="minorHAnsi" w:hAnsiTheme="minorHAnsi"/>
          <w:sz w:val="22"/>
          <w:lang w:eastAsia="en-US"/>
        </w:rPr>
        <w:t>on an issue-by-issue basis</w:t>
      </w:r>
      <w:r w:rsidR="008A75A4">
        <w:rPr>
          <w:rFonts w:asciiTheme="minorHAnsi" w:hAnsiTheme="minorHAnsi"/>
          <w:sz w:val="22"/>
          <w:lang w:eastAsia="en-US"/>
        </w:rPr>
        <w:t xml:space="preserve"> within sections 2 and 3.</w:t>
      </w:r>
    </w:p>
    <w:p w:rsidR="00B22CC3" w:rsidRDefault="008A75A4" w:rsidP="00B22CC3">
      <w:pPr>
        <w:rPr>
          <w:rFonts w:asciiTheme="minorHAnsi" w:hAnsiTheme="minorHAnsi"/>
          <w:sz w:val="22"/>
          <w:lang w:eastAsia="en-US"/>
        </w:rPr>
      </w:pPr>
      <w:r>
        <w:rPr>
          <w:rFonts w:asciiTheme="minorHAnsi" w:hAnsiTheme="minorHAnsi"/>
          <w:sz w:val="22"/>
          <w:lang w:eastAsia="en-US"/>
        </w:rPr>
        <w:lastRenderedPageBreak/>
        <w:t>Section 4</w:t>
      </w:r>
      <w:r w:rsidR="00B22CC3">
        <w:rPr>
          <w:rFonts w:asciiTheme="minorHAnsi" w:hAnsiTheme="minorHAnsi"/>
          <w:sz w:val="22"/>
          <w:lang w:eastAsia="en-US"/>
        </w:rPr>
        <w:t xml:space="preserve"> of this submission addresses the proposed removal of restrictive covenants in Stockwell Drive.  This is not the subject of any unresolved submissions and has not been identified in the Panel’s directions, but is included for completeness.</w:t>
      </w:r>
      <w:r w:rsidR="00B22CC3">
        <w:rPr>
          <w:rStyle w:val="FootnoteReference"/>
          <w:rFonts w:asciiTheme="minorHAnsi" w:hAnsiTheme="minorHAnsi"/>
          <w:sz w:val="22"/>
          <w:lang w:eastAsia="en-US"/>
        </w:rPr>
        <w:footnoteReference w:id="1"/>
      </w:r>
    </w:p>
    <w:p w:rsidR="006E6D23" w:rsidRDefault="006E6D23" w:rsidP="00956508">
      <w:pPr>
        <w:rPr>
          <w:rFonts w:asciiTheme="minorHAnsi" w:hAnsiTheme="minorHAnsi"/>
          <w:sz w:val="22"/>
          <w:lang w:eastAsia="en-US"/>
        </w:rPr>
      </w:pPr>
      <w:r>
        <w:rPr>
          <w:rFonts w:asciiTheme="minorHAnsi" w:hAnsiTheme="minorHAnsi"/>
          <w:sz w:val="22"/>
          <w:lang w:eastAsia="en-US"/>
        </w:rPr>
        <w:t xml:space="preserve">With respect to </w:t>
      </w:r>
      <w:r w:rsidR="0090403B">
        <w:rPr>
          <w:rFonts w:asciiTheme="minorHAnsi" w:hAnsiTheme="minorHAnsi"/>
          <w:sz w:val="22"/>
          <w:lang w:eastAsia="en-US"/>
        </w:rPr>
        <w:t xml:space="preserve">item (c), this submission represents the VPA’s position </w:t>
      </w:r>
      <w:proofErr w:type="gramStart"/>
      <w:r w:rsidR="0090403B">
        <w:rPr>
          <w:rFonts w:asciiTheme="minorHAnsi" w:hAnsiTheme="minorHAnsi"/>
          <w:sz w:val="22"/>
          <w:lang w:eastAsia="en-US"/>
        </w:rPr>
        <w:t>at this time</w:t>
      </w:r>
      <w:proofErr w:type="gramEnd"/>
      <w:r w:rsidR="0090403B">
        <w:rPr>
          <w:rFonts w:asciiTheme="minorHAnsi" w:hAnsiTheme="minorHAnsi"/>
          <w:sz w:val="22"/>
          <w:lang w:eastAsia="en-US"/>
        </w:rPr>
        <w:t>.  The VPA considers it inevitable, given the nature and duration of this hearing, that further matters will be resolved, including in response to the expert evidence called.</w:t>
      </w:r>
      <w:r w:rsidR="004F37F1">
        <w:rPr>
          <w:rFonts w:asciiTheme="minorHAnsi" w:hAnsiTheme="minorHAnsi"/>
          <w:sz w:val="22"/>
          <w:lang w:eastAsia="en-US"/>
        </w:rPr>
        <w:t xml:space="preserve">  The VPA will seek the opportunity</w:t>
      </w:r>
      <w:r w:rsidR="00EE0BBB">
        <w:rPr>
          <w:rFonts w:asciiTheme="minorHAnsi" w:hAnsiTheme="minorHAnsi"/>
          <w:sz w:val="22"/>
          <w:lang w:eastAsia="en-US"/>
        </w:rPr>
        <w:t xml:space="preserve"> </w:t>
      </w:r>
      <w:r w:rsidR="004F37F1">
        <w:rPr>
          <w:rFonts w:asciiTheme="minorHAnsi" w:hAnsiTheme="minorHAnsi"/>
          <w:sz w:val="22"/>
          <w:lang w:eastAsia="en-US"/>
        </w:rPr>
        <w:t xml:space="preserve">to update the Panel in relation to </w:t>
      </w:r>
      <w:r w:rsidR="00EE0BBB">
        <w:rPr>
          <w:rFonts w:asciiTheme="minorHAnsi" w:hAnsiTheme="minorHAnsi"/>
          <w:sz w:val="22"/>
          <w:lang w:eastAsia="en-US"/>
        </w:rPr>
        <w:t>the resolution of matters at appropriate junctures in the hearing.</w:t>
      </w:r>
    </w:p>
    <w:p w:rsidR="00F664F7" w:rsidRDefault="00F664F7" w:rsidP="00956508">
      <w:pPr>
        <w:rPr>
          <w:rFonts w:asciiTheme="minorHAnsi" w:hAnsiTheme="minorHAnsi"/>
          <w:sz w:val="22"/>
          <w:lang w:eastAsia="en-US"/>
        </w:rPr>
      </w:pPr>
      <w:r>
        <w:rPr>
          <w:rFonts w:asciiTheme="minorHAnsi" w:hAnsiTheme="minorHAnsi"/>
          <w:sz w:val="22"/>
          <w:lang w:eastAsia="en-US"/>
        </w:rPr>
        <w:t>In making this submission, the VPA relies on the expert evidence of:</w:t>
      </w:r>
    </w:p>
    <w:p w:rsidR="00F664F7" w:rsidRDefault="0020013B" w:rsidP="003340E2">
      <w:pPr>
        <w:pStyle w:val="ListParagraph"/>
        <w:numPr>
          <w:ilvl w:val="0"/>
          <w:numId w:val="16"/>
        </w:numPr>
      </w:pPr>
      <w:r>
        <w:t xml:space="preserve">Patrick Clarke of </w:t>
      </w:r>
      <w:proofErr w:type="spellStart"/>
      <w:r>
        <w:t>Senversa</w:t>
      </w:r>
      <w:proofErr w:type="spellEnd"/>
      <w:r>
        <w:t xml:space="preserve"> in relation to landfill gas;</w:t>
      </w:r>
    </w:p>
    <w:p w:rsidR="0020013B" w:rsidRDefault="0020013B" w:rsidP="003340E2">
      <w:pPr>
        <w:pStyle w:val="ListParagraph"/>
        <w:numPr>
          <w:ilvl w:val="0"/>
          <w:numId w:val="16"/>
        </w:numPr>
      </w:pPr>
      <w:r>
        <w:t>Peter Ramsay of Peter Ramsay &amp; Associates in relation to odour;</w:t>
      </w:r>
    </w:p>
    <w:p w:rsidR="0020013B" w:rsidRDefault="0020013B" w:rsidP="003340E2">
      <w:pPr>
        <w:pStyle w:val="ListParagraph"/>
        <w:numPr>
          <w:ilvl w:val="0"/>
          <w:numId w:val="16"/>
        </w:numPr>
      </w:pPr>
      <w:r>
        <w:t>Craig Czarny of Hansen Partnership in relation to urban design;</w:t>
      </w:r>
    </w:p>
    <w:p w:rsidR="0020013B" w:rsidRDefault="0020013B" w:rsidP="003340E2">
      <w:pPr>
        <w:pStyle w:val="ListParagraph"/>
        <w:numPr>
          <w:ilvl w:val="0"/>
          <w:numId w:val="16"/>
        </w:numPr>
      </w:pPr>
      <w:r>
        <w:t>Reece Humphreys of GTA Consultants in relation to traffic engineering;</w:t>
      </w:r>
    </w:p>
    <w:p w:rsidR="0020013B" w:rsidRDefault="0020013B" w:rsidP="003340E2">
      <w:pPr>
        <w:pStyle w:val="ListParagraph"/>
        <w:numPr>
          <w:ilvl w:val="0"/>
          <w:numId w:val="16"/>
        </w:numPr>
      </w:pPr>
      <w:r>
        <w:t>Dominic Blackham of Alluvium in relation to geomorphology;</w:t>
      </w:r>
    </w:p>
    <w:p w:rsidR="0020013B" w:rsidRDefault="00C44B66" w:rsidP="003340E2">
      <w:pPr>
        <w:pStyle w:val="ListParagraph"/>
        <w:numPr>
          <w:ilvl w:val="0"/>
          <w:numId w:val="16"/>
        </w:numPr>
      </w:pPr>
      <w:r>
        <w:t xml:space="preserve">Daniel Gilmore of </w:t>
      </w:r>
      <w:proofErr w:type="spellStart"/>
      <w:r>
        <w:t>Biosis</w:t>
      </w:r>
      <w:proofErr w:type="spellEnd"/>
      <w:r>
        <w:t xml:space="preserve"> in relation to ecology; and</w:t>
      </w:r>
    </w:p>
    <w:p w:rsidR="00C44B66" w:rsidRPr="00F664F7" w:rsidRDefault="00C44B66" w:rsidP="003340E2">
      <w:pPr>
        <w:pStyle w:val="ListParagraph"/>
        <w:numPr>
          <w:ilvl w:val="0"/>
          <w:numId w:val="16"/>
        </w:numPr>
      </w:pPr>
      <w:r>
        <w:t xml:space="preserve">Paul Clemson of </w:t>
      </w:r>
      <w:proofErr w:type="spellStart"/>
      <w:r>
        <w:t>Engeny</w:t>
      </w:r>
      <w:proofErr w:type="spellEnd"/>
      <w:r>
        <w:t xml:space="preserve"> Water Management in relation to drainage engineering.</w:t>
      </w:r>
    </w:p>
    <w:p w:rsidR="00956508" w:rsidRPr="00024F84" w:rsidRDefault="00956508" w:rsidP="00956508">
      <w:pPr>
        <w:rPr>
          <w:rFonts w:asciiTheme="minorHAnsi" w:hAnsiTheme="minorHAnsi"/>
          <w:b/>
          <w:lang w:eastAsia="en-US"/>
        </w:rPr>
      </w:pPr>
    </w:p>
    <w:p w:rsidR="00FC60A6" w:rsidRPr="00024F84" w:rsidRDefault="00295844" w:rsidP="00FC60A6">
      <w:pPr>
        <w:pStyle w:val="Heading1"/>
      </w:pPr>
      <w:bookmarkStart w:id="2" w:name="_Toc491027639"/>
      <w:r w:rsidRPr="00024F84">
        <w:lastRenderedPageBreak/>
        <w:t>Response to Panel directions</w:t>
      </w:r>
      <w:bookmarkEnd w:id="2"/>
    </w:p>
    <w:p w:rsidR="00FC60A6" w:rsidRDefault="00321D16" w:rsidP="00FC60A6">
      <w:pPr>
        <w:spacing w:after="120"/>
        <w:rPr>
          <w:rFonts w:asciiTheme="minorHAnsi" w:hAnsiTheme="minorHAnsi"/>
          <w:sz w:val="22"/>
        </w:rPr>
      </w:pPr>
      <w:r w:rsidRPr="00024F84">
        <w:rPr>
          <w:rFonts w:asciiTheme="minorHAnsi" w:hAnsiTheme="minorHAnsi"/>
          <w:sz w:val="22"/>
        </w:rPr>
        <w:t xml:space="preserve">This section responds to matters </w:t>
      </w:r>
      <w:r w:rsidR="0076427E" w:rsidRPr="00024F84">
        <w:rPr>
          <w:rFonts w:asciiTheme="minorHAnsi" w:hAnsiTheme="minorHAnsi"/>
          <w:sz w:val="22"/>
        </w:rPr>
        <w:t>(d</w:t>
      </w:r>
      <w:r w:rsidRPr="00024F84">
        <w:rPr>
          <w:rFonts w:asciiTheme="minorHAnsi" w:hAnsiTheme="minorHAnsi"/>
          <w:sz w:val="22"/>
        </w:rPr>
        <w:t>) to (m) in the Pan</w:t>
      </w:r>
      <w:r w:rsidR="00F155C2" w:rsidRPr="00024F84">
        <w:rPr>
          <w:rFonts w:asciiTheme="minorHAnsi" w:hAnsiTheme="minorHAnsi"/>
          <w:sz w:val="22"/>
        </w:rPr>
        <w:t xml:space="preserve">el’s </w:t>
      </w:r>
      <w:r w:rsidR="003F2ED5" w:rsidRPr="00024F84">
        <w:rPr>
          <w:rFonts w:asciiTheme="minorHAnsi" w:hAnsiTheme="minorHAnsi"/>
          <w:sz w:val="22"/>
        </w:rPr>
        <w:t>directions</w:t>
      </w:r>
      <w:r w:rsidR="00C342BA">
        <w:rPr>
          <w:rFonts w:asciiTheme="minorHAnsi" w:hAnsiTheme="minorHAnsi"/>
          <w:sz w:val="22"/>
        </w:rPr>
        <w:t xml:space="preserve"> </w:t>
      </w:r>
      <w:r w:rsidR="00B07D8E">
        <w:rPr>
          <w:rFonts w:asciiTheme="minorHAnsi" w:hAnsiTheme="minorHAnsi"/>
          <w:sz w:val="22"/>
        </w:rPr>
        <w:t>and issues raised by submitters that relate to those matters.</w:t>
      </w:r>
    </w:p>
    <w:p w:rsidR="003F2ED5" w:rsidRPr="00222BD4" w:rsidRDefault="003F2ED5" w:rsidP="0076427E">
      <w:pPr>
        <w:pStyle w:val="Heading2"/>
        <w:rPr>
          <w:rFonts w:asciiTheme="minorHAnsi" w:hAnsiTheme="minorHAnsi"/>
          <w:b/>
        </w:rPr>
      </w:pPr>
      <w:bookmarkStart w:id="3" w:name="_Toc491027640"/>
      <w:r w:rsidRPr="00222BD4">
        <w:rPr>
          <w:rFonts w:asciiTheme="minorHAnsi" w:hAnsiTheme="minorHAnsi"/>
          <w:b/>
        </w:rPr>
        <w:t>Infrastructure Contr</w:t>
      </w:r>
      <w:r w:rsidR="0076427E" w:rsidRPr="00222BD4">
        <w:rPr>
          <w:rFonts w:asciiTheme="minorHAnsi" w:hAnsiTheme="minorHAnsi"/>
          <w:b/>
        </w:rPr>
        <w:t>ibutions Plan</w:t>
      </w:r>
      <w:bookmarkEnd w:id="3"/>
    </w:p>
    <w:p w:rsidR="009D5799" w:rsidRDefault="009D5799" w:rsidP="009D5799">
      <w:pPr>
        <w:rPr>
          <w:rFonts w:asciiTheme="minorHAnsi" w:hAnsiTheme="minorHAnsi"/>
          <w:i/>
          <w:sz w:val="22"/>
          <w:lang w:eastAsia="en-US"/>
        </w:rPr>
      </w:pPr>
      <w:r>
        <w:rPr>
          <w:rFonts w:asciiTheme="minorHAnsi" w:hAnsiTheme="minorHAnsi"/>
          <w:i/>
          <w:sz w:val="22"/>
          <w:lang w:eastAsia="en-US"/>
        </w:rPr>
        <w:t xml:space="preserve">Sunbury South PSP (C207) – Submissions 57 (Hume City Council); </w:t>
      </w:r>
      <w:r w:rsidR="002F5272">
        <w:rPr>
          <w:rFonts w:asciiTheme="minorHAnsi" w:hAnsiTheme="minorHAnsi"/>
          <w:i/>
          <w:sz w:val="22"/>
          <w:lang w:eastAsia="en-US"/>
        </w:rPr>
        <w:t xml:space="preserve">71 (Villawood Properties); </w:t>
      </w:r>
      <w:r w:rsidR="004B16F4">
        <w:rPr>
          <w:rFonts w:asciiTheme="minorHAnsi" w:hAnsiTheme="minorHAnsi"/>
          <w:i/>
          <w:sz w:val="22"/>
          <w:lang w:eastAsia="en-US"/>
        </w:rPr>
        <w:t>75 (Capitol Property Group)</w:t>
      </w:r>
    </w:p>
    <w:p w:rsidR="004B16F4" w:rsidRDefault="004B16F4" w:rsidP="004B16F4">
      <w:pPr>
        <w:rPr>
          <w:rFonts w:asciiTheme="minorHAnsi" w:hAnsiTheme="minorHAnsi"/>
          <w:i/>
          <w:sz w:val="22"/>
          <w:lang w:eastAsia="en-US"/>
        </w:rPr>
      </w:pPr>
      <w:r>
        <w:rPr>
          <w:rFonts w:asciiTheme="minorHAnsi" w:hAnsiTheme="minorHAnsi"/>
          <w:i/>
          <w:sz w:val="22"/>
          <w:lang w:eastAsia="en-US"/>
        </w:rPr>
        <w:t>Lancefield Road PSP (C208) – Submission 54 (Hume City Council)</w:t>
      </w:r>
      <w:r w:rsidR="002F5272">
        <w:rPr>
          <w:rFonts w:asciiTheme="minorHAnsi" w:hAnsiTheme="minorHAnsi"/>
          <w:i/>
          <w:sz w:val="22"/>
          <w:lang w:eastAsia="en-US"/>
        </w:rPr>
        <w:t>; 71 (Villawood Properties)</w:t>
      </w:r>
    </w:p>
    <w:p w:rsidR="00297F25" w:rsidRDefault="00896F70" w:rsidP="006678B6">
      <w:pPr>
        <w:spacing w:after="120"/>
        <w:rPr>
          <w:rFonts w:asciiTheme="minorHAnsi" w:hAnsiTheme="minorHAnsi"/>
          <w:sz w:val="22"/>
        </w:rPr>
      </w:pPr>
      <w:r>
        <w:rPr>
          <w:rFonts w:asciiTheme="minorHAnsi" w:hAnsiTheme="minorHAnsi"/>
          <w:sz w:val="22"/>
        </w:rPr>
        <w:t xml:space="preserve">The </w:t>
      </w:r>
      <w:r w:rsidR="00F641F8">
        <w:rPr>
          <w:rFonts w:asciiTheme="minorHAnsi" w:hAnsiTheme="minorHAnsi"/>
          <w:sz w:val="22"/>
        </w:rPr>
        <w:t>new infrastructure contributions plan (</w:t>
      </w:r>
      <w:r w:rsidR="00F641F8">
        <w:rPr>
          <w:rFonts w:asciiTheme="minorHAnsi" w:hAnsiTheme="minorHAnsi"/>
          <w:b/>
          <w:sz w:val="22"/>
        </w:rPr>
        <w:t>ICP</w:t>
      </w:r>
      <w:r w:rsidR="00F641F8">
        <w:rPr>
          <w:rFonts w:asciiTheme="minorHAnsi" w:hAnsiTheme="minorHAnsi"/>
          <w:sz w:val="22"/>
        </w:rPr>
        <w:t xml:space="preserve">) system came into operation </w:t>
      </w:r>
      <w:r w:rsidR="006813CF">
        <w:rPr>
          <w:rFonts w:asciiTheme="minorHAnsi" w:hAnsiTheme="minorHAnsi"/>
          <w:sz w:val="22"/>
        </w:rPr>
        <w:t>on 1 June</w:t>
      </w:r>
      <w:r w:rsidR="00F641F8">
        <w:rPr>
          <w:rFonts w:asciiTheme="minorHAnsi" w:hAnsiTheme="minorHAnsi"/>
          <w:sz w:val="22"/>
        </w:rPr>
        <w:t xml:space="preserve"> 2016</w:t>
      </w:r>
      <w:r w:rsidR="00E82112">
        <w:rPr>
          <w:rFonts w:asciiTheme="minorHAnsi" w:hAnsiTheme="minorHAnsi"/>
          <w:sz w:val="22"/>
        </w:rPr>
        <w:t xml:space="preserve">, with the introduction of Part 3AB into the </w:t>
      </w:r>
      <w:r w:rsidR="00E82112">
        <w:rPr>
          <w:rFonts w:asciiTheme="minorHAnsi" w:hAnsiTheme="minorHAnsi"/>
          <w:i/>
          <w:sz w:val="22"/>
        </w:rPr>
        <w:t>Planning and Environment Act 1987</w:t>
      </w:r>
      <w:r w:rsidR="00E82112">
        <w:rPr>
          <w:rFonts w:asciiTheme="minorHAnsi" w:hAnsiTheme="minorHAnsi"/>
          <w:sz w:val="22"/>
        </w:rPr>
        <w:t xml:space="preserve"> (</w:t>
      </w:r>
      <w:r w:rsidR="00E82112">
        <w:rPr>
          <w:rFonts w:asciiTheme="minorHAnsi" w:hAnsiTheme="minorHAnsi"/>
          <w:b/>
          <w:sz w:val="22"/>
        </w:rPr>
        <w:t>P&amp;E Act</w:t>
      </w:r>
      <w:r w:rsidR="00E82112">
        <w:rPr>
          <w:rFonts w:asciiTheme="minorHAnsi" w:hAnsiTheme="minorHAnsi"/>
          <w:sz w:val="22"/>
        </w:rPr>
        <w:t>).</w:t>
      </w:r>
      <w:r w:rsidR="00297F25">
        <w:rPr>
          <w:rFonts w:asciiTheme="minorHAnsi" w:hAnsiTheme="minorHAnsi"/>
          <w:sz w:val="22"/>
        </w:rPr>
        <w:t xml:space="preserve">  </w:t>
      </w:r>
    </w:p>
    <w:p w:rsidR="006317D8" w:rsidRPr="00407B56" w:rsidRDefault="006317D8" w:rsidP="006317D8">
      <w:pPr>
        <w:spacing w:after="120"/>
        <w:rPr>
          <w:rFonts w:asciiTheme="minorHAnsi" w:hAnsiTheme="minorHAnsi"/>
          <w:sz w:val="22"/>
        </w:rPr>
      </w:pPr>
      <w:r>
        <w:rPr>
          <w:rFonts w:asciiTheme="minorHAnsi" w:hAnsiTheme="minorHAnsi"/>
          <w:sz w:val="22"/>
        </w:rPr>
        <w:t>Much of the detail governing the</w:t>
      </w:r>
      <w:r w:rsidR="00AD56E2">
        <w:rPr>
          <w:rFonts w:asciiTheme="minorHAnsi" w:hAnsiTheme="minorHAnsi"/>
          <w:sz w:val="22"/>
        </w:rPr>
        <w:t xml:space="preserve"> ICP system is contained in the</w:t>
      </w:r>
      <w:r>
        <w:rPr>
          <w:rFonts w:asciiTheme="minorHAnsi" w:hAnsiTheme="minorHAnsi"/>
          <w:sz w:val="22"/>
        </w:rPr>
        <w:t xml:space="preserve"> </w:t>
      </w:r>
      <w:r>
        <w:rPr>
          <w:rFonts w:asciiTheme="minorHAnsi" w:hAnsiTheme="minorHAnsi"/>
          <w:i/>
          <w:sz w:val="22"/>
        </w:rPr>
        <w:t xml:space="preserve">Ministerial Direction on the Preparation and Content of Infrastructure Contributions Plans </w:t>
      </w:r>
      <w:r>
        <w:rPr>
          <w:rFonts w:asciiTheme="minorHAnsi" w:hAnsiTheme="minorHAnsi"/>
          <w:sz w:val="22"/>
        </w:rPr>
        <w:t>(</w:t>
      </w:r>
      <w:r>
        <w:rPr>
          <w:rFonts w:asciiTheme="minorHAnsi" w:hAnsiTheme="minorHAnsi"/>
          <w:b/>
          <w:sz w:val="22"/>
        </w:rPr>
        <w:t>Ministerial Direction</w:t>
      </w:r>
      <w:r>
        <w:rPr>
          <w:rFonts w:asciiTheme="minorHAnsi" w:hAnsiTheme="minorHAnsi"/>
          <w:sz w:val="22"/>
        </w:rPr>
        <w:t xml:space="preserve">), </w:t>
      </w:r>
      <w:r w:rsidR="00AD56E2">
        <w:rPr>
          <w:rFonts w:asciiTheme="minorHAnsi" w:hAnsiTheme="minorHAnsi"/>
          <w:sz w:val="22"/>
        </w:rPr>
        <w:t xml:space="preserve">which was released on </w:t>
      </w:r>
      <w:r w:rsidR="00F76AAD">
        <w:rPr>
          <w:rFonts w:asciiTheme="minorHAnsi" w:hAnsiTheme="minorHAnsi"/>
          <w:sz w:val="22"/>
        </w:rPr>
        <w:t xml:space="preserve">27 </w:t>
      </w:r>
      <w:r w:rsidR="00396AA4">
        <w:rPr>
          <w:rFonts w:asciiTheme="minorHAnsi" w:hAnsiTheme="minorHAnsi"/>
          <w:sz w:val="22"/>
        </w:rPr>
        <w:t>October 2016</w:t>
      </w:r>
      <w:r w:rsidR="00407B56">
        <w:rPr>
          <w:rFonts w:asciiTheme="minorHAnsi" w:hAnsiTheme="minorHAnsi"/>
          <w:sz w:val="22"/>
        </w:rPr>
        <w:t xml:space="preserve"> together with the </w:t>
      </w:r>
      <w:r w:rsidR="00407B56">
        <w:rPr>
          <w:rFonts w:asciiTheme="minorHAnsi" w:hAnsiTheme="minorHAnsi"/>
          <w:i/>
          <w:sz w:val="22"/>
        </w:rPr>
        <w:t xml:space="preserve">Infrastructure Contributions Plan Guidelines </w:t>
      </w:r>
      <w:r w:rsidR="00407B56">
        <w:rPr>
          <w:rFonts w:asciiTheme="minorHAnsi" w:hAnsiTheme="minorHAnsi"/>
          <w:sz w:val="22"/>
        </w:rPr>
        <w:t>(</w:t>
      </w:r>
      <w:r w:rsidR="00407B56">
        <w:rPr>
          <w:rFonts w:asciiTheme="minorHAnsi" w:hAnsiTheme="minorHAnsi"/>
          <w:b/>
          <w:sz w:val="22"/>
        </w:rPr>
        <w:t>ICP Guidelines</w:t>
      </w:r>
      <w:r w:rsidR="00487362">
        <w:rPr>
          <w:rFonts w:asciiTheme="minorHAnsi" w:hAnsiTheme="minorHAnsi"/>
          <w:sz w:val="22"/>
        </w:rPr>
        <w:t>).</w:t>
      </w:r>
    </w:p>
    <w:p w:rsidR="00896F70" w:rsidRDefault="008107CF" w:rsidP="00A76B8A">
      <w:pPr>
        <w:spacing w:after="120"/>
        <w:rPr>
          <w:rFonts w:asciiTheme="minorHAnsi" w:hAnsiTheme="minorHAnsi"/>
          <w:sz w:val="22"/>
        </w:rPr>
      </w:pPr>
      <w:r>
        <w:rPr>
          <w:rFonts w:asciiTheme="minorHAnsi" w:hAnsiTheme="minorHAnsi"/>
          <w:sz w:val="22"/>
        </w:rPr>
        <w:t>The Amendments were exhibited shortly thereafter on 24 November 2016.</w:t>
      </w:r>
    </w:p>
    <w:p w:rsidR="007D140E" w:rsidRPr="00FA2A51" w:rsidRDefault="00B85FE9" w:rsidP="00CD3C98">
      <w:pPr>
        <w:spacing w:after="120"/>
        <w:rPr>
          <w:rFonts w:asciiTheme="minorHAnsi" w:hAnsiTheme="minorHAnsi"/>
          <w:i/>
          <w:sz w:val="22"/>
        </w:rPr>
      </w:pPr>
      <w:r>
        <w:rPr>
          <w:rFonts w:asciiTheme="minorHAnsi" w:hAnsiTheme="minorHAnsi"/>
          <w:sz w:val="22"/>
        </w:rPr>
        <w:t xml:space="preserve">Section 1.3 in each PSP </w:t>
      </w:r>
      <w:r w:rsidR="00FA2A51">
        <w:rPr>
          <w:rFonts w:asciiTheme="minorHAnsi" w:hAnsiTheme="minorHAnsi"/>
          <w:sz w:val="22"/>
        </w:rPr>
        <w:t>notes that</w:t>
      </w:r>
      <w:r>
        <w:rPr>
          <w:rFonts w:asciiTheme="minorHAnsi" w:hAnsiTheme="minorHAnsi"/>
          <w:sz w:val="22"/>
        </w:rPr>
        <w:t xml:space="preserve"> development proponents within the precinct will be bound by </w:t>
      </w:r>
      <w:r w:rsidR="00AA2D1F">
        <w:rPr>
          <w:rFonts w:asciiTheme="minorHAnsi" w:hAnsiTheme="minorHAnsi"/>
          <w:sz w:val="22"/>
        </w:rPr>
        <w:t xml:space="preserve">the Sunbury South ICP or Lancefield Road </w:t>
      </w:r>
      <w:r w:rsidR="00F07DAB">
        <w:rPr>
          <w:rFonts w:asciiTheme="minorHAnsi" w:hAnsiTheme="minorHAnsi"/>
          <w:sz w:val="22"/>
        </w:rPr>
        <w:t>IC</w:t>
      </w:r>
      <w:r w:rsidR="00AA2D1F">
        <w:rPr>
          <w:rFonts w:asciiTheme="minorHAnsi" w:hAnsiTheme="minorHAnsi"/>
          <w:sz w:val="22"/>
        </w:rPr>
        <w:t>P as relevant.</w:t>
      </w:r>
      <w:r w:rsidR="00AA2D1F">
        <w:rPr>
          <w:rStyle w:val="FootnoteReference"/>
          <w:rFonts w:asciiTheme="minorHAnsi" w:hAnsiTheme="minorHAnsi"/>
          <w:sz w:val="22"/>
        </w:rPr>
        <w:footnoteReference w:id="2"/>
      </w:r>
      <w:r w:rsidR="00FA2A51">
        <w:rPr>
          <w:rFonts w:asciiTheme="minorHAnsi" w:hAnsiTheme="minorHAnsi"/>
          <w:sz w:val="22"/>
        </w:rPr>
        <w:t xml:space="preserve">  This section </w:t>
      </w:r>
      <w:r w:rsidR="007D140E">
        <w:rPr>
          <w:rFonts w:asciiTheme="minorHAnsi" w:hAnsiTheme="minorHAnsi"/>
          <w:sz w:val="22"/>
        </w:rPr>
        <w:t>e</w:t>
      </w:r>
      <w:r w:rsidR="00F25B01">
        <w:rPr>
          <w:rFonts w:asciiTheme="minorHAnsi" w:hAnsiTheme="minorHAnsi"/>
          <w:sz w:val="22"/>
        </w:rPr>
        <w:t xml:space="preserve">xplains that the ICP will set out requirements for infrastructure funding across the precincts and will be a separate document incorporated in the Scheme.  </w:t>
      </w:r>
    </w:p>
    <w:p w:rsidR="00A87395" w:rsidRDefault="00A87395" w:rsidP="00A76B8A">
      <w:pPr>
        <w:spacing w:after="120"/>
        <w:rPr>
          <w:rFonts w:asciiTheme="minorHAnsi" w:hAnsiTheme="minorHAnsi"/>
          <w:sz w:val="22"/>
        </w:rPr>
      </w:pPr>
      <w:r>
        <w:rPr>
          <w:rFonts w:asciiTheme="minorHAnsi" w:hAnsiTheme="minorHAnsi"/>
          <w:sz w:val="22"/>
        </w:rPr>
        <w:t xml:space="preserve">Each </w:t>
      </w:r>
      <w:r w:rsidR="00724699">
        <w:rPr>
          <w:rFonts w:asciiTheme="minorHAnsi" w:hAnsiTheme="minorHAnsi"/>
          <w:sz w:val="22"/>
        </w:rPr>
        <w:t>PSP</w:t>
      </w:r>
      <w:r w:rsidR="00556736">
        <w:rPr>
          <w:rFonts w:asciiTheme="minorHAnsi" w:hAnsiTheme="minorHAnsi"/>
          <w:sz w:val="22"/>
        </w:rPr>
        <w:t xml:space="preserve"> also</w:t>
      </w:r>
      <w:r w:rsidR="00724699">
        <w:rPr>
          <w:rFonts w:asciiTheme="minorHAnsi" w:hAnsiTheme="minorHAnsi"/>
          <w:sz w:val="22"/>
        </w:rPr>
        <w:t xml:space="preserve"> includes Table 10 (</w:t>
      </w:r>
      <w:r w:rsidR="007B29F8">
        <w:rPr>
          <w:rFonts w:asciiTheme="minorHAnsi" w:hAnsiTheme="minorHAnsi"/>
          <w:sz w:val="22"/>
        </w:rPr>
        <w:t>Precinct Infrastructure Plan), which identifies which infrastructure projects are to be included in the ICP.</w:t>
      </w:r>
      <w:r w:rsidR="00A32CF5">
        <w:rPr>
          <w:rFonts w:asciiTheme="minorHAnsi" w:hAnsiTheme="minorHAnsi"/>
          <w:sz w:val="22"/>
        </w:rPr>
        <w:t xml:space="preserve">  The ICP items relate to land purchase and construction costs for </w:t>
      </w:r>
      <w:proofErr w:type="gramStart"/>
      <w:r w:rsidR="00A32CF5">
        <w:rPr>
          <w:rFonts w:asciiTheme="minorHAnsi" w:hAnsiTheme="minorHAnsi"/>
          <w:sz w:val="22"/>
        </w:rPr>
        <w:t>a number of</w:t>
      </w:r>
      <w:proofErr w:type="gramEnd"/>
      <w:r w:rsidR="00A32CF5">
        <w:rPr>
          <w:rFonts w:asciiTheme="minorHAnsi" w:hAnsiTheme="minorHAnsi"/>
          <w:sz w:val="22"/>
        </w:rPr>
        <w:t xml:space="preserve"> community centres, active recreation facilities, intersections, bridges, tunnels and roads.  The ICP also contributes funds towards the purchase of land associated with local parks.</w:t>
      </w:r>
    </w:p>
    <w:p w:rsidR="0092031B" w:rsidRDefault="0092031B" w:rsidP="00A76B8A">
      <w:pPr>
        <w:spacing w:after="120"/>
        <w:rPr>
          <w:rFonts w:asciiTheme="minorHAnsi" w:hAnsiTheme="minorHAnsi"/>
          <w:sz w:val="22"/>
        </w:rPr>
      </w:pPr>
      <w:r>
        <w:rPr>
          <w:rFonts w:asciiTheme="minorHAnsi" w:hAnsiTheme="minorHAnsi"/>
          <w:sz w:val="22"/>
        </w:rPr>
        <w:t>The VPA is satisfied that the items identified in Table 10 of each PSP for inclusion in the ICP are allowable items under the ICP Guidelines.</w:t>
      </w:r>
    </w:p>
    <w:p w:rsidR="00A32CF5" w:rsidRDefault="00A32CF5" w:rsidP="00A76B8A">
      <w:pPr>
        <w:spacing w:after="120"/>
        <w:rPr>
          <w:rFonts w:asciiTheme="minorHAnsi" w:hAnsiTheme="minorHAnsi"/>
          <w:sz w:val="22"/>
        </w:rPr>
      </w:pPr>
      <w:r>
        <w:rPr>
          <w:rFonts w:asciiTheme="minorHAnsi" w:hAnsiTheme="minorHAnsi"/>
          <w:sz w:val="22"/>
        </w:rPr>
        <w:t>The VPA anticipates apportioning a percentage of costs associated with the Sunbury Ring Road into the Sunbury North and West PSPs</w:t>
      </w:r>
      <w:proofErr w:type="gramStart"/>
      <w:r>
        <w:rPr>
          <w:rFonts w:asciiTheme="minorHAnsi" w:hAnsiTheme="minorHAnsi"/>
          <w:sz w:val="22"/>
        </w:rPr>
        <w:t>, in particular, the</w:t>
      </w:r>
      <w:proofErr w:type="gramEnd"/>
      <w:r>
        <w:rPr>
          <w:rFonts w:asciiTheme="minorHAnsi" w:hAnsiTheme="minorHAnsi"/>
          <w:sz w:val="22"/>
        </w:rPr>
        <w:t xml:space="preserve"> two crossings of Jacksons Creek and two road underpasses beneath the railway line.  Apportionment will be based on the percentage of growth that each of the four PSPs contribute towards </w:t>
      </w:r>
      <w:r w:rsidR="00467D6B">
        <w:rPr>
          <w:rFonts w:asciiTheme="minorHAnsi" w:hAnsiTheme="minorHAnsi"/>
          <w:sz w:val="22"/>
        </w:rPr>
        <w:t xml:space="preserve">the total population </w:t>
      </w:r>
      <w:r w:rsidR="006728CD">
        <w:rPr>
          <w:rFonts w:asciiTheme="minorHAnsi" w:hAnsiTheme="minorHAnsi"/>
          <w:sz w:val="22"/>
        </w:rPr>
        <w:t xml:space="preserve">increase.  The </w:t>
      </w:r>
      <w:r w:rsidR="006728CD">
        <w:rPr>
          <w:rFonts w:asciiTheme="minorHAnsi" w:hAnsiTheme="minorHAnsi"/>
          <w:sz w:val="22"/>
        </w:rPr>
        <w:lastRenderedPageBreak/>
        <w:t xml:space="preserve">apportionment for these </w:t>
      </w:r>
      <w:r w:rsidR="0059168C">
        <w:rPr>
          <w:rFonts w:asciiTheme="minorHAnsi" w:hAnsiTheme="minorHAnsi"/>
          <w:sz w:val="22"/>
        </w:rPr>
        <w:t xml:space="preserve">future </w:t>
      </w:r>
      <w:r w:rsidR="006728CD">
        <w:rPr>
          <w:rFonts w:asciiTheme="minorHAnsi" w:hAnsiTheme="minorHAnsi"/>
          <w:sz w:val="22"/>
        </w:rPr>
        <w:t>PSPs</w:t>
      </w:r>
      <w:r w:rsidR="0059168C">
        <w:rPr>
          <w:rFonts w:asciiTheme="minorHAnsi" w:hAnsiTheme="minorHAnsi"/>
          <w:sz w:val="22"/>
        </w:rPr>
        <w:t xml:space="preserve"> towards the specific projects above</w:t>
      </w:r>
      <w:r w:rsidR="006728CD">
        <w:rPr>
          <w:rFonts w:asciiTheme="minorHAnsi" w:hAnsiTheme="minorHAnsi"/>
          <w:sz w:val="22"/>
        </w:rPr>
        <w:t xml:space="preserve"> has bee</w:t>
      </w:r>
      <w:r w:rsidR="00556736">
        <w:rPr>
          <w:rFonts w:asciiTheme="minorHAnsi" w:hAnsiTheme="minorHAnsi"/>
          <w:sz w:val="22"/>
        </w:rPr>
        <w:t>n determined at 26%.</w:t>
      </w:r>
    </w:p>
    <w:p w:rsidR="00556736" w:rsidRDefault="00556736" w:rsidP="00A76B8A">
      <w:pPr>
        <w:spacing w:after="120"/>
        <w:rPr>
          <w:rFonts w:asciiTheme="minorHAnsi" w:hAnsiTheme="minorHAnsi"/>
          <w:sz w:val="22"/>
        </w:rPr>
      </w:pPr>
      <w:r>
        <w:rPr>
          <w:rFonts w:asciiTheme="minorHAnsi" w:hAnsiTheme="minorHAnsi"/>
          <w:sz w:val="22"/>
        </w:rPr>
        <w:t xml:space="preserve">The VPA </w:t>
      </w:r>
      <w:r w:rsidR="00EE340D">
        <w:rPr>
          <w:rFonts w:asciiTheme="minorHAnsi" w:hAnsiTheme="minorHAnsi"/>
          <w:sz w:val="22"/>
        </w:rPr>
        <w:t>has commissioned the technical work to inform the</w:t>
      </w:r>
      <w:r w:rsidR="0059168C">
        <w:rPr>
          <w:rFonts w:asciiTheme="minorHAnsi" w:hAnsiTheme="minorHAnsi"/>
          <w:sz w:val="22"/>
        </w:rPr>
        <w:t xml:space="preserve"> scope and design of these projects.  The VPA has estimated project costs based on this technical work, and </w:t>
      </w:r>
      <w:r>
        <w:rPr>
          <w:rFonts w:asciiTheme="minorHAnsi" w:hAnsiTheme="minorHAnsi"/>
          <w:sz w:val="22"/>
        </w:rPr>
        <w:t xml:space="preserve">expects a standard levy ICP </w:t>
      </w:r>
      <w:r w:rsidR="00892448">
        <w:rPr>
          <w:rFonts w:asciiTheme="minorHAnsi" w:hAnsiTheme="minorHAnsi"/>
          <w:sz w:val="22"/>
        </w:rPr>
        <w:t xml:space="preserve">only </w:t>
      </w:r>
      <w:r>
        <w:rPr>
          <w:rFonts w:asciiTheme="minorHAnsi" w:hAnsiTheme="minorHAnsi"/>
          <w:sz w:val="22"/>
        </w:rPr>
        <w:t>to be incorporated for these PSPs.</w:t>
      </w:r>
    </w:p>
    <w:p w:rsidR="000E58DF" w:rsidRDefault="006678B6" w:rsidP="006678B6">
      <w:pPr>
        <w:spacing w:after="120"/>
        <w:rPr>
          <w:rFonts w:asciiTheme="minorHAnsi" w:hAnsiTheme="minorHAnsi"/>
          <w:sz w:val="22"/>
        </w:rPr>
      </w:pPr>
      <w:r>
        <w:rPr>
          <w:rFonts w:asciiTheme="minorHAnsi" w:hAnsiTheme="minorHAnsi"/>
          <w:sz w:val="22"/>
        </w:rPr>
        <w:t xml:space="preserve">Section 46GD </w:t>
      </w:r>
      <w:r w:rsidR="00F60A47">
        <w:rPr>
          <w:rFonts w:asciiTheme="minorHAnsi" w:hAnsiTheme="minorHAnsi"/>
          <w:sz w:val="22"/>
        </w:rPr>
        <w:t xml:space="preserve">in the P&amp;E Act </w:t>
      </w:r>
      <w:r>
        <w:rPr>
          <w:rFonts w:asciiTheme="minorHAnsi" w:hAnsiTheme="minorHAnsi"/>
          <w:sz w:val="22"/>
        </w:rPr>
        <w:t>provides that the infrastructure levy may consist of a standard levy, a supplementary levy, or both.</w:t>
      </w:r>
      <w:r w:rsidR="00B64688">
        <w:rPr>
          <w:rFonts w:asciiTheme="minorHAnsi" w:hAnsiTheme="minorHAnsi"/>
          <w:sz w:val="22"/>
        </w:rPr>
        <w:t xml:space="preserve">  Section 48GF allows the Minister for Planning to set standard levy rates for different types of land and classes of developmen</w:t>
      </w:r>
      <w:r w:rsidR="000E58DF">
        <w:rPr>
          <w:rFonts w:asciiTheme="minorHAnsi" w:hAnsiTheme="minorHAnsi"/>
          <w:sz w:val="22"/>
        </w:rPr>
        <w:t xml:space="preserve">t.  </w:t>
      </w:r>
      <w:r w:rsidR="00016F1A">
        <w:rPr>
          <w:rFonts w:asciiTheme="minorHAnsi" w:hAnsiTheme="minorHAnsi"/>
          <w:sz w:val="22"/>
        </w:rPr>
        <w:t xml:space="preserve">These rates are </w:t>
      </w:r>
      <w:r w:rsidR="002E7744">
        <w:rPr>
          <w:rFonts w:asciiTheme="minorHAnsi" w:hAnsiTheme="minorHAnsi"/>
          <w:sz w:val="22"/>
        </w:rPr>
        <w:t>set out in the</w:t>
      </w:r>
      <w:r w:rsidR="00016F1A">
        <w:rPr>
          <w:rFonts w:asciiTheme="minorHAnsi" w:hAnsiTheme="minorHAnsi"/>
          <w:sz w:val="22"/>
        </w:rPr>
        <w:t xml:space="preserve"> Ministerial Direction. </w:t>
      </w:r>
    </w:p>
    <w:p w:rsidR="00DA7272" w:rsidRDefault="00AB7415" w:rsidP="006678B6">
      <w:pPr>
        <w:spacing w:after="120"/>
        <w:rPr>
          <w:rFonts w:asciiTheme="minorHAnsi" w:hAnsiTheme="minorHAnsi"/>
          <w:sz w:val="22"/>
        </w:rPr>
      </w:pPr>
      <w:r>
        <w:rPr>
          <w:rFonts w:asciiTheme="minorHAnsi" w:hAnsiTheme="minorHAnsi"/>
          <w:sz w:val="22"/>
        </w:rPr>
        <w:t>Table 1 to Annexure 1 in Part A of the Ministerial Direction sets the standard levy rates for the North and West Growth Areas, which include the Hume municipality.</w:t>
      </w:r>
      <w:r w:rsidR="00DA7272">
        <w:rPr>
          <w:rFonts w:asciiTheme="minorHAnsi" w:hAnsiTheme="minorHAnsi"/>
          <w:sz w:val="22"/>
        </w:rPr>
        <w:t xml:space="preserve">  These are as follows:</w:t>
      </w:r>
    </w:p>
    <w:p w:rsidR="003B467F" w:rsidRDefault="003B467F" w:rsidP="003B467F">
      <w:pPr>
        <w:keepNext/>
        <w:spacing w:after="120"/>
      </w:pPr>
      <w:r>
        <w:rPr>
          <w:noProof/>
        </w:rPr>
        <w:drawing>
          <wp:inline distT="0" distB="0" distL="0" distR="0" wp14:anchorId="2C8E57C4" wp14:editId="09041240">
            <wp:extent cx="5162233" cy="930519"/>
            <wp:effectExtent l="0" t="0" r="63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90994" cy="935703"/>
                    </a:xfrm>
                    <a:prstGeom prst="rect">
                      <a:avLst/>
                    </a:prstGeom>
                  </pic:spPr>
                </pic:pic>
              </a:graphicData>
            </a:graphic>
          </wp:inline>
        </w:drawing>
      </w:r>
    </w:p>
    <w:p w:rsidR="003B467F" w:rsidRPr="003B467F" w:rsidRDefault="003B467F" w:rsidP="003B467F">
      <w:pPr>
        <w:pStyle w:val="Caption"/>
        <w:keepNext w:val="0"/>
        <w:rPr>
          <w:rFonts w:asciiTheme="minorHAnsi" w:hAnsiTheme="minorHAnsi" w:cstheme="minorHAnsi"/>
          <w:color w:val="auto"/>
        </w:rPr>
      </w:pPr>
      <w:r w:rsidRPr="003B467F">
        <w:rPr>
          <w:rFonts w:asciiTheme="minorHAnsi" w:hAnsiTheme="minorHAnsi" w:cstheme="minorHAnsi"/>
          <w:color w:val="auto"/>
        </w:rPr>
        <w:t xml:space="preserve">Figure </w:t>
      </w:r>
      <w:r w:rsidRPr="003B467F">
        <w:rPr>
          <w:rFonts w:asciiTheme="minorHAnsi" w:hAnsiTheme="minorHAnsi" w:cstheme="minorHAnsi"/>
          <w:color w:val="auto"/>
        </w:rPr>
        <w:fldChar w:fldCharType="begin"/>
      </w:r>
      <w:r w:rsidRPr="003B467F">
        <w:rPr>
          <w:rFonts w:asciiTheme="minorHAnsi" w:hAnsiTheme="minorHAnsi" w:cstheme="minorHAnsi"/>
          <w:color w:val="auto"/>
        </w:rPr>
        <w:instrText xml:space="preserve"> SEQ Figure \* ARABIC </w:instrText>
      </w:r>
      <w:r w:rsidRPr="003B467F">
        <w:rPr>
          <w:rFonts w:asciiTheme="minorHAnsi" w:hAnsiTheme="minorHAnsi" w:cstheme="minorHAnsi"/>
          <w:color w:val="auto"/>
        </w:rPr>
        <w:fldChar w:fldCharType="separate"/>
      </w:r>
      <w:r w:rsidR="00AE1A69">
        <w:rPr>
          <w:rFonts w:asciiTheme="minorHAnsi" w:hAnsiTheme="minorHAnsi" w:cstheme="minorHAnsi"/>
          <w:noProof/>
          <w:color w:val="auto"/>
        </w:rPr>
        <w:t>1</w:t>
      </w:r>
      <w:r w:rsidRPr="003B467F">
        <w:rPr>
          <w:rFonts w:asciiTheme="minorHAnsi" w:hAnsiTheme="minorHAnsi" w:cstheme="minorHAnsi"/>
          <w:color w:val="auto"/>
        </w:rPr>
        <w:fldChar w:fldCharType="end"/>
      </w:r>
      <w:r w:rsidRPr="003B467F">
        <w:rPr>
          <w:rFonts w:asciiTheme="minorHAnsi" w:hAnsiTheme="minorHAnsi" w:cstheme="minorHAnsi"/>
          <w:color w:val="auto"/>
        </w:rPr>
        <w:t>: extract from Table 1 (Standard levy rates) from page 7 in the Ministerial Direction</w:t>
      </w:r>
    </w:p>
    <w:p w:rsidR="00243E37" w:rsidRPr="00FD0A7F" w:rsidRDefault="000A793C" w:rsidP="006678B6">
      <w:pPr>
        <w:spacing w:after="120"/>
        <w:rPr>
          <w:rFonts w:asciiTheme="minorHAnsi" w:hAnsiTheme="minorHAnsi"/>
          <w:sz w:val="22"/>
        </w:rPr>
      </w:pPr>
      <w:r w:rsidRPr="000A793C">
        <w:rPr>
          <w:rFonts w:asciiTheme="minorHAnsi" w:hAnsiTheme="minorHAnsi"/>
          <w:sz w:val="22"/>
        </w:rPr>
        <w:t>The PSPs a</w:t>
      </w:r>
      <w:r w:rsidR="00FD0A7F">
        <w:rPr>
          <w:rFonts w:asciiTheme="minorHAnsi" w:hAnsiTheme="minorHAnsi"/>
          <w:sz w:val="22"/>
        </w:rPr>
        <w:t xml:space="preserve">s exhibited state that the ICP is supported by the </w:t>
      </w:r>
      <w:r w:rsidR="00FD0A7F">
        <w:rPr>
          <w:rFonts w:asciiTheme="minorHAnsi" w:hAnsiTheme="minorHAnsi"/>
          <w:i/>
          <w:sz w:val="22"/>
        </w:rPr>
        <w:t xml:space="preserve">Sunbury Infrastructure Co-ordination and Delivery Strategy </w:t>
      </w:r>
      <w:r w:rsidR="00FD0A7F">
        <w:rPr>
          <w:rFonts w:asciiTheme="minorHAnsi" w:hAnsiTheme="minorHAnsi"/>
          <w:sz w:val="22"/>
        </w:rPr>
        <w:t>(</w:t>
      </w:r>
      <w:r w:rsidR="00FD0A7F">
        <w:rPr>
          <w:rFonts w:asciiTheme="minorHAnsi" w:hAnsiTheme="minorHAnsi"/>
          <w:b/>
          <w:sz w:val="22"/>
        </w:rPr>
        <w:t>SICADS</w:t>
      </w:r>
      <w:r w:rsidR="00AB4CF4">
        <w:rPr>
          <w:rFonts w:asciiTheme="minorHAnsi" w:hAnsiTheme="minorHAnsi"/>
          <w:sz w:val="22"/>
        </w:rPr>
        <w:t>)</w:t>
      </w:r>
      <w:r w:rsidR="00921984">
        <w:rPr>
          <w:rFonts w:asciiTheme="minorHAnsi" w:hAnsiTheme="minorHAnsi"/>
          <w:sz w:val="22"/>
        </w:rPr>
        <w:t>,</w:t>
      </w:r>
      <w:r w:rsidR="00921984">
        <w:rPr>
          <w:rStyle w:val="FootnoteReference"/>
          <w:rFonts w:asciiTheme="minorHAnsi" w:hAnsiTheme="minorHAnsi"/>
          <w:sz w:val="22"/>
        </w:rPr>
        <w:footnoteReference w:id="3"/>
      </w:r>
      <w:r w:rsidR="00AB4CF4">
        <w:rPr>
          <w:rFonts w:asciiTheme="minorHAnsi" w:hAnsiTheme="minorHAnsi"/>
          <w:sz w:val="22"/>
        </w:rPr>
        <w:t xml:space="preserve"> and that SICADS will be a reference document within the PSPs.</w:t>
      </w:r>
      <w:r w:rsidR="00921984">
        <w:rPr>
          <w:rStyle w:val="FootnoteReference"/>
          <w:rFonts w:asciiTheme="minorHAnsi" w:hAnsiTheme="minorHAnsi"/>
          <w:sz w:val="22"/>
        </w:rPr>
        <w:footnoteReference w:id="4"/>
      </w:r>
    </w:p>
    <w:p w:rsidR="00634BBC" w:rsidRDefault="000E2B24" w:rsidP="006678B6">
      <w:pPr>
        <w:spacing w:after="120"/>
        <w:rPr>
          <w:rFonts w:asciiTheme="minorHAnsi" w:hAnsiTheme="minorHAnsi"/>
          <w:sz w:val="22"/>
        </w:rPr>
      </w:pPr>
      <w:r>
        <w:rPr>
          <w:rFonts w:asciiTheme="minorHAnsi" w:hAnsiTheme="minorHAnsi"/>
          <w:sz w:val="22"/>
        </w:rPr>
        <w:t>The</w:t>
      </w:r>
      <w:r w:rsidR="00421A32" w:rsidRPr="00421A32">
        <w:rPr>
          <w:rFonts w:asciiTheme="minorHAnsi" w:hAnsiTheme="minorHAnsi"/>
          <w:sz w:val="22"/>
        </w:rPr>
        <w:t xml:space="preserve"> </w:t>
      </w:r>
      <w:r w:rsidR="00421A32">
        <w:rPr>
          <w:rFonts w:asciiTheme="minorHAnsi" w:hAnsiTheme="minorHAnsi"/>
          <w:sz w:val="22"/>
        </w:rPr>
        <w:t>refer</w:t>
      </w:r>
      <w:r w:rsidR="005B13D0">
        <w:rPr>
          <w:rFonts w:asciiTheme="minorHAnsi" w:hAnsiTheme="minorHAnsi"/>
          <w:sz w:val="22"/>
        </w:rPr>
        <w:t xml:space="preserve">ences to SICADS are now proposed to be deleted, </w:t>
      </w:r>
      <w:r w:rsidR="000975F0">
        <w:rPr>
          <w:rFonts w:asciiTheme="minorHAnsi" w:hAnsiTheme="minorHAnsi"/>
          <w:sz w:val="22"/>
        </w:rPr>
        <w:t xml:space="preserve">as shown in the change matrices </w:t>
      </w:r>
      <w:r w:rsidR="00F645F4">
        <w:rPr>
          <w:rFonts w:asciiTheme="minorHAnsi" w:hAnsiTheme="minorHAnsi"/>
          <w:sz w:val="22"/>
        </w:rPr>
        <w:t>at Appendices 3 and 4 to the VPA’s Part A submission.</w:t>
      </w:r>
      <w:r w:rsidR="00FD7AB8">
        <w:rPr>
          <w:rFonts w:asciiTheme="minorHAnsi" w:hAnsiTheme="minorHAnsi"/>
          <w:sz w:val="22"/>
        </w:rPr>
        <w:t xml:space="preserve">  SICADs is currently being reviewed and is now intended to form a background report to the PSPs only.</w:t>
      </w:r>
      <w:r w:rsidR="005E479D">
        <w:rPr>
          <w:rFonts w:asciiTheme="minorHAnsi" w:hAnsiTheme="minorHAnsi"/>
          <w:sz w:val="22"/>
        </w:rPr>
        <w:t xml:space="preserve">  This </w:t>
      </w:r>
      <w:r w:rsidR="00A93433">
        <w:rPr>
          <w:rFonts w:asciiTheme="minorHAnsi" w:hAnsiTheme="minorHAnsi"/>
          <w:sz w:val="22"/>
        </w:rPr>
        <w:t>resolves a submission by Hume City Council (</w:t>
      </w:r>
      <w:r w:rsidR="00A93433">
        <w:rPr>
          <w:rFonts w:asciiTheme="minorHAnsi" w:hAnsiTheme="minorHAnsi"/>
          <w:b/>
          <w:sz w:val="22"/>
        </w:rPr>
        <w:t>Council</w:t>
      </w:r>
      <w:r w:rsidR="00A93433">
        <w:rPr>
          <w:rFonts w:asciiTheme="minorHAnsi" w:hAnsiTheme="minorHAnsi"/>
          <w:sz w:val="22"/>
        </w:rPr>
        <w:t xml:space="preserve">).  </w:t>
      </w:r>
    </w:p>
    <w:p w:rsidR="000218F2" w:rsidRDefault="0085546A" w:rsidP="006678B6">
      <w:pPr>
        <w:spacing w:after="120"/>
        <w:rPr>
          <w:rFonts w:asciiTheme="minorHAnsi" w:hAnsiTheme="minorHAnsi"/>
          <w:sz w:val="22"/>
        </w:rPr>
      </w:pPr>
      <w:r>
        <w:rPr>
          <w:rFonts w:asciiTheme="minorHAnsi" w:hAnsiTheme="minorHAnsi"/>
          <w:sz w:val="22"/>
        </w:rPr>
        <w:t>Council has</w:t>
      </w:r>
      <w:r w:rsidR="00634BBC">
        <w:rPr>
          <w:rFonts w:asciiTheme="minorHAnsi" w:hAnsiTheme="minorHAnsi"/>
          <w:sz w:val="22"/>
        </w:rPr>
        <w:t xml:space="preserve"> additionally requested that</w:t>
      </w:r>
      <w:r w:rsidR="000218F2">
        <w:rPr>
          <w:rFonts w:asciiTheme="minorHAnsi" w:hAnsiTheme="minorHAnsi"/>
          <w:sz w:val="22"/>
        </w:rPr>
        <w:t>:</w:t>
      </w:r>
      <w:r w:rsidR="00634BBC">
        <w:rPr>
          <w:rFonts w:asciiTheme="minorHAnsi" w:hAnsiTheme="minorHAnsi"/>
          <w:sz w:val="22"/>
        </w:rPr>
        <w:t xml:space="preserve"> </w:t>
      </w:r>
    </w:p>
    <w:p w:rsidR="00421A32" w:rsidRDefault="000218F2" w:rsidP="003340E2">
      <w:pPr>
        <w:pStyle w:val="ListParagraph"/>
        <w:numPr>
          <w:ilvl w:val="0"/>
          <w:numId w:val="32"/>
        </w:numPr>
        <w:spacing w:after="120"/>
      </w:pPr>
      <w:r>
        <w:t xml:space="preserve">Council </w:t>
      </w:r>
      <w:r w:rsidR="00634BBC" w:rsidRPr="000218F2">
        <w:t>be provided with a copy of the ICP for review and c</w:t>
      </w:r>
      <w:r>
        <w:t>omment when it is ava</w:t>
      </w:r>
      <w:r w:rsidR="00B178CA">
        <w:t>ilable; and</w:t>
      </w:r>
    </w:p>
    <w:p w:rsidR="000218F2" w:rsidRDefault="001924A8" w:rsidP="003340E2">
      <w:pPr>
        <w:pStyle w:val="ListParagraph"/>
        <w:numPr>
          <w:ilvl w:val="0"/>
          <w:numId w:val="32"/>
        </w:numPr>
        <w:spacing w:after="120"/>
      </w:pPr>
      <w:r>
        <w:t>the PSPs not be approved until such time that the ICP has been prepared, reviewed and agreed to by Council as the responsible authority, collection agency and development agency under the P&amp;E Act.</w:t>
      </w:r>
    </w:p>
    <w:p w:rsidR="000218F2" w:rsidRDefault="000218F2" w:rsidP="000218F2">
      <w:pPr>
        <w:spacing w:after="120"/>
        <w:rPr>
          <w:rFonts w:asciiTheme="minorHAnsi" w:hAnsiTheme="minorHAnsi"/>
          <w:sz w:val="22"/>
        </w:rPr>
      </w:pPr>
      <w:r w:rsidRPr="001924A8">
        <w:rPr>
          <w:rFonts w:asciiTheme="minorHAnsi" w:hAnsiTheme="minorHAnsi"/>
          <w:sz w:val="22"/>
        </w:rPr>
        <w:t xml:space="preserve">The VPA </w:t>
      </w:r>
      <w:r w:rsidR="00F4356D">
        <w:rPr>
          <w:rFonts w:asciiTheme="minorHAnsi" w:hAnsiTheme="minorHAnsi"/>
          <w:sz w:val="22"/>
        </w:rPr>
        <w:t>has agreed</w:t>
      </w:r>
      <w:r w:rsidRPr="001924A8">
        <w:rPr>
          <w:rFonts w:asciiTheme="minorHAnsi" w:hAnsiTheme="minorHAnsi"/>
          <w:sz w:val="22"/>
        </w:rPr>
        <w:t xml:space="preserve"> to these requests.</w:t>
      </w:r>
    </w:p>
    <w:p w:rsidR="005E479D" w:rsidRPr="002F5272" w:rsidRDefault="002F5272" w:rsidP="000218F2">
      <w:pPr>
        <w:spacing w:after="120"/>
        <w:rPr>
          <w:rFonts w:asciiTheme="minorHAnsi" w:hAnsiTheme="minorHAnsi"/>
          <w:sz w:val="22"/>
        </w:rPr>
      </w:pPr>
      <w:r>
        <w:rPr>
          <w:rFonts w:asciiTheme="minorHAnsi" w:hAnsiTheme="minorHAnsi"/>
          <w:sz w:val="22"/>
        </w:rPr>
        <w:lastRenderedPageBreak/>
        <w:t>View Grange Pastoral Pty Ltd (</w:t>
      </w:r>
      <w:r>
        <w:rPr>
          <w:rFonts w:asciiTheme="minorHAnsi" w:hAnsiTheme="minorHAnsi"/>
          <w:b/>
          <w:sz w:val="22"/>
        </w:rPr>
        <w:t>Villawood</w:t>
      </w:r>
      <w:r>
        <w:rPr>
          <w:rFonts w:asciiTheme="minorHAnsi" w:hAnsiTheme="minorHAnsi"/>
          <w:sz w:val="22"/>
        </w:rPr>
        <w:t xml:space="preserve">) </w:t>
      </w:r>
      <w:r w:rsidR="001F68CE">
        <w:rPr>
          <w:rFonts w:asciiTheme="minorHAnsi" w:hAnsiTheme="minorHAnsi"/>
          <w:sz w:val="22"/>
        </w:rPr>
        <w:t xml:space="preserve">has submitted that all connector road intersections with Sunbury Road should be included in the ICP.  </w:t>
      </w:r>
      <w:r w:rsidR="009C26E6">
        <w:rPr>
          <w:rFonts w:asciiTheme="minorHAnsi" w:hAnsiTheme="minorHAnsi"/>
          <w:sz w:val="22"/>
        </w:rPr>
        <w:t xml:space="preserve">All signalised intersections with Sunbury Road will be included in the </w:t>
      </w:r>
      <w:r w:rsidR="00A61174">
        <w:rPr>
          <w:rFonts w:asciiTheme="minorHAnsi" w:hAnsiTheme="minorHAnsi"/>
          <w:sz w:val="22"/>
        </w:rPr>
        <w:t>ICP.</w:t>
      </w:r>
      <w:r w:rsidR="009C26E6">
        <w:rPr>
          <w:rFonts w:asciiTheme="minorHAnsi" w:hAnsiTheme="minorHAnsi"/>
          <w:sz w:val="22"/>
        </w:rPr>
        <w:t xml:space="preserve">  However, left-in/left-out intersectio</w:t>
      </w:r>
      <w:r w:rsidR="00F94756">
        <w:rPr>
          <w:rFonts w:asciiTheme="minorHAnsi" w:hAnsiTheme="minorHAnsi"/>
          <w:sz w:val="22"/>
        </w:rPr>
        <w:t>ns will not be included.  These have a relatively limited cost and are largely associated with providing local access to new subdivisions.</w:t>
      </w:r>
    </w:p>
    <w:p w:rsidR="005E479D" w:rsidRDefault="0081139C" w:rsidP="000218F2">
      <w:pPr>
        <w:spacing w:after="120"/>
        <w:rPr>
          <w:rFonts w:asciiTheme="minorHAnsi" w:hAnsiTheme="minorHAnsi"/>
          <w:sz w:val="22"/>
        </w:rPr>
      </w:pPr>
      <w:r>
        <w:rPr>
          <w:rFonts w:asciiTheme="minorHAnsi" w:hAnsiTheme="minorHAnsi"/>
          <w:sz w:val="22"/>
        </w:rPr>
        <w:t xml:space="preserve">Capitol Property Group has requested the opportunity to provide a more detailed response to the ICP when it is available.  </w:t>
      </w:r>
      <w:r w:rsidR="008E7352">
        <w:rPr>
          <w:rFonts w:asciiTheme="minorHAnsi" w:hAnsiTheme="minorHAnsi"/>
          <w:sz w:val="22"/>
        </w:rPr>
        <w:t>A</w:t>
      </w:r>
      <w:r>
        <w:rPr>
          <w:rFonts w:asciiTheme="minorHAnsi" w:hAnsiTheme="minorHAnsi"/>
          <w:sz w:val="22"/>
        </w:rPr>
        <w:t xml:space="preserve">s the VPA expects the ICP will be based on a standard levy only, the opportunity is unlikely to be provided for public comment. </w:t>
      </w:r>
    </w:p>
    <w:p w:rsidR="00BA5511" w:rsidRDefault="00BA5511" w:rsidP="000218F2">
      <w:pPr>
        <w:spacing w:after="120"/>
        <w:rPr>
          <w:rFonts w:asciiTheme="minorHAnsi" w:hAnsiTheme="minorHAnsi"/>
          <w:sz w:val="22"/>
        </w:rPr>
      </w:pPr>
      <w:r>
        <w:rPr>
          <w:rFonts w:asciiTheme="minorHAnsi" w:hAnsiTheme="minorHAnsi"/>
          <w:sz w:val="22"/>
        </w:rPr>
        <w:t>Capitol Property Group is calling economic evidence from Chris McNeill of Essential Economics.  Mr McNeill’</w:t>
      </w:r>
      <w:r w:rsidR="00CD50EA">
        <w:rPr>
          <w:rFonts w:asciiTheme="minorHAnsi" w:hAnsiTheme="minorHAnsi"/>
          <w:sz w:val="22"/>
        </w:rPr>
        <w:t xml:space="preserve">s expert witness report considers the provision of infrastructure in the Sunbury South area </w:t>
      </w:r>
      <w:r w:rsidR="00BF6901">
        <w:rPr>
          <w:rFonts w:asciiTheme="minorHAnsi" w:hAnsiTheme="minorHAnsi"/>
          <w:sz w:val="22"/>
        </w:rPr>
        <w:t xml:space="preserve">and the submission by Council in response to exhibition of the Amendments.  </w:t>
      </w:r>
    </w:p>
    <w:p w:rsidR="00474546" w:rsidRDefault="00474546" w:rsidP="000218F2">
      <w:pPr>
        <w:spacing w:after="120"/>
        <w:rPr>
          <w:rFonts w:asciiTheme="minorHAnsi" w:hAnsiTheme="minorHAnsi"/>
          <w:sz w:val="22"/>
        </w:rPr>
      </w:pPr>
      <w:r>
        <w:rPr>
          <w:rFonts w:asciiTheme="minorHAnsi" w:hAnsiTheme="minorHAnsi"/>
          <w:sz w:val="22"/>
        </w:rPr>
        <w:t xml:space="preserve">Mr McNeill identifies that ‘Sunbury differs from many </w:t>
      </w:r>
      <w:proofErr w:type="spellStart"/>
      <w:r>
        <w:rPr>
          <w:rFonts w:asciiTheme="minorHAnsi" w:hAnsiTheme="minorHAnsi"/>
          <w:sz w:val="22"/>
        </w:rPr>
        <w:t>greenfields</w:t>
      </w:r>
      <w:proofErr w:type="spellEnd"/>
      <w:r>
        <w:rPr>
          <w:rFonts w:asciiTheme="minorHAnsi" w:hAnsiTheme="minorHAnsi"/>
          <w:sz w:val="22"/>
        </w:rPr>
        <w:t xml:space="preserve"> growth areas in metropolitan Melbourne in that there is established infrastructure in reasonable proximity.</w:t>
      </w:r>
      <w:r>
        <w:rPr>
          <w:rStyle w:val="FootnoteReference"/>
          <w:rFonts w:asciiTheme="minorHAnsi" w:hAnsiTheme="minorHAnsi"/>
          <w:sz w:val="22"/>
        </w:rPr>
        <w:footnoteReference w:id="5"/>
      </w:r>
      <w:r>
        <w:rPr>
          <w:rFonts w:asciiTheme="minorHAnsi" w:hAnsiTheme="minorHAnsi"/>
          <w:sz w:val="22"/>
        </w:rPr>
        <w:t xml:space="preserve">  The VPA agrees this is a distinctive feature of both PSPs.  </w:t>
      </w:r>
    </w:p>
    <w:p w:rsidR="00527EE8" w:rsidRDefault="00527EE8" w:rsidP="000218F2">
      <w:pPr>
        <w:spacing w:after="120"/>
        <w:rPr>
          <w:rFonts w:asciiTheme="minorHAnsi" w:hAnsiTheme="minorHAnsi"/>
          <w:sz w:val="22"/>
        </w:rPr>
      </w:pPr>
      <w:r>
        <w:rPr>
          <w:rFonts w:asciiTheme="minorHAnsi" w:hAnsiTheme="minorHAnsi"/>
          <w:sz w:val="22"/>
        </w:rPr>
        <w:t>M</w:t>
      </w:r>
      <w:r w:rsidR="00662D43">
        <w:rPr>
          <w:rFonts w:asciiTheme="minorHAnsi" w:hAnsiTheme="minorHAnsi"/>
          <w:sz w:val="22"/>
        </w:rPr>
        <w:t>r</w:t>
      </w:r>
      <w:r>
        <w:rPr>
          <w:rFonts w:asciiTheme="minorHAnsi" w:hAnsiTheme="minorHAnsi"/>
          <w:sz w:val="22"/>
        </w:rPr>
        <w:t xml:space="preserve"> McNeill considers the submission by Council in response to exhibition of the Amendments and refers to </w:t>
      </w:r>
      <w:r w:rsidR="00CE1A95">
        <w:rPr>
          <w:rFonts w:asciiTheme="minorHAnsi" w:hAnsiTheme="minorHAnsi"/>
          <w:sz w:val="22"/>
        </w:rPr>
        <w:t>a concern</w:t>
      </w:r>
      <w:r>
        <w:rPr>
          <w:rFonts w:asciiTheme="minorHAnsi" w:hAnsiTheme="minorHAnsi"/>
          <w:sz w:val="22"/>
        </w:rPr>
        <w:t xml:space="preserve"> </w:t>
      </w:r>
      <w:r w:rsidR="00BF4715">
        <w:rPr>
          <w:rFonts w:asciiTheme="minorHAnsi" w:hAnsiTheme="minorHAnsi"/>
          <w:sz w:val="22"/>
        </w:rPr>
        <w:t xml:space="preserve">that community infrastructure in the Sunbury South PSP will be delayed as preference is given to providing the new southern crossing of Jacksons Creek. </w:t>
      </w:r>
      <w:r w:rsidR="009155C2">
        <w:rPr>
          <w:rFonts w:asciiTheme="minorHAnsi" w:hAnsiTheme="minorHAnsi"/>
          <w:sz w:val="22"/>
        </w:rPr>
        <w:t xml:space="preserve">The VPA has provided further information to Council in relation to </w:t>
      </w:r>
      <w:r w:rsidR="00004FBA">
        <w:rPr>
          <w:rFonts w:asciiTheme="minorHAnsi" w:hAnsiTheme="minorHAnsi"/>
          <w:sz w:val="22"/>
        </w:rPr>
        <w:t>delivery of this crossing and is satisfied the standard levy will result in sufficient funds for all apportioned projects.</w:t>
      </w:r>
    </w:p>
    <w:p w:rsidR="00BF4715" w:rsidRDefault="00BF4715" w:rsidP="000218F2">
      <w:pPr>
        <w:spacing w:after="120"/>
        <w:rPr>
          <w:rFonts w:asciiTheme="minorHAnsi" w:hAnsiTheme="minorHAnsi"/>
          <w:sz w:val="22"/>
        </w:rPr>
      </w:pPr>
      <w:r>
        <w:rPr>
          <w:rFonts w:asciiTheme="minorHAnsi" w:hAnsiTheme="minorHAnsi"/>
          <w:sz w:val="22"/>
        </w:rPr>
        <w:t>Mr McNeill further states that there is ‘some suggestion’ that development of the PSP areas ‘should be capped, pending the provision of the Bulla Bypass’.</w:t>
      </w:r>
      <w:r w:rsidR="0083187C">
        <w:rPr>
          <w:rStyle w:val="FootnoteReference"/>
          <w:rFonts w:asciiTheme="minorHAnsi" w:hAnsiTheme="minorHAnsi"/>
          <w:sz w:val="22"/>
        </w:rPr>
        <w:footnoteReference w:id="6"/>
      </w:r>
      <w:r>
        <w:rPr>
          <w:rFonts w:asciiTheme="minorHAnsi" w:hAnsiTheme="minorHAnsi"/>
          <w:sz w:val="22"/>
        </w:rPr>
        <w:t xml:space="preserve">  </w:t>
      </w:r>
      <w:r w:rsidR="006570B7">
        <w:rPr>
          <w:rFonts w:asciiTheme="minorHAnsi" w:hAnsiTheme="minorHAnsi"/>
          <w:sz w:val="22"/>
        </w:rPr>
        <w:t xml:space="preserve">Mr McNeill recommends caution in relation </w:t>
      </w:r>
      <w:r w:rsidR="00585E0E">
        <w:rPr>
          <w:rFonts w:asciiTheme="minorHAnsi" w:hAnsiTheme="minorHAnsi"/>
          <w:sz w:val="22"/>
        </w:rPr>
        <w:t>to this suggestion</w:t>
      </w:r>
      <w:r w:rsidR="006570B7">
        <w:rPr>
          <w:rFonts w:asciiTheme="minorHAnsi" w:hAnsiTheme="minorHAnsi"/>
          <w:sz w:val="22"/>
        </w:rPr>
        <w:t xml:space="preserve">.  The VPA does not expect and would not support </w:t>
      </w:r>
      <w:r w:rsidR="00F91E92">
        <w:rPr>
          <w:rFonts w:asciiTheme="minorHAnsi" w:hAnsiTheme="minorHAnsi"/>
          <w:sz w:val="22"/>
        </w:rPr>
        <w:t>such a cap.</w:t>
      </w:r>
    </w:p>
    <w:p w:rsidR="003F2ED5" w:rsidRPr="00222BD4" w:rsidRDefault="000C3D76" w:rsidP="0076427E">
      <w:pPr>
        <w:pStyle w:val="Heading2"/>
        <w:rPr>
          <w:rFonts w:asciiTheme="minorHAnsi" w:hAnsiTheme="minorHAnsi"/>
          <w:b/>
        </w:rPr>
      </w:pPr>
      <w:bookmarkStart w:id="4" w:name="_Toc491027641"/>
      <w:r w:rsidRPr="00222BD4">
        <w:rPr>
          <w:rFonts w:asciiTheme="minorHAnsi" w:hAnsiTheme="minorHAnsi"/>
          <w:b/>
        </w:rPr>
        <w:t>Applied residential zone</w:t>
      </w:r>
      <w:r w:rsidR="00BA5F1E">
        <w:rPr>
          <w:rFonts w:asciiTheme="minorHAnsi" w:hAnsiTheme="minorHAnsi"/>
          <w:b/>
        </w:rPr>
        <w:t>s</w:t>
      </w:r>
      <w:bookmarkEnd w:id="4"/>
      <w:r w:rsidRPr="00222BD4">
        <w:rPr>
          <w:rFonts w:asciiTheme="minorHAnsi" w:hAnsiTheme="minorHAnsi"/>
          <w:b/>
        </w:rPr>
        <w:t xml:space="preserve"> </w:t>
      </w:r>
    </w:p>
    <w:p w:rsidR="00C64EEC" w:rsidRDefault="00C64EEC" w:rsidP="00C64EEC">
      <w:pPr>
        <w:rPr>
          <w:rFonts w:asciiTheme="minorHAnsi" w:hAnsiTheme="minorHAnsi"/>
          <w:i/>
          <w:sz w:val="22"/>
          <w:lang w:eastAsia="en-US"/>
        </w:rPr>
      </w:pPr>
      <w:r>
        <w:rPr>
          <w:rFonts w:asciiTheme="minorHAnsi" w:hAnsiTheme="minorHAnsi"/>
          <w:i/>
          <w:sz w:val="22"/>
          <w:lang w:eastAsia="en-US"/>
        </w:rPr>
        <w:t xml:space="preserve">Sunbury South PSP (C207) – Submissions 57 (Hume City Council); </w:t>
      </w:r>
      <w:r w:rsidR="00D906E9">
        <w:rPr>
          <w:rFonts w:asciiTheme="minorHAnsi" w:hAnsiTheme="minorHAnsi"/>
          <w:i/>
          <w:sz w:val="22"/>
          <w:lang w:eastAsia="en-US"/>
        </w:rPr>
        <w:t xml:space="preserve">71 (Villawood Properties); </w:t>
      </w:r>
      <w:r w:rsidR="000D3FD2">
        <w:rPr>
          <w:rFonts w:asciiTheme="minorHAnsi" w:hAnsiTheme="minorHAnsi"/>
          <w:i/>
          <w:sz w:val="22"/>
          <w:lang w:eastAsia="en-US"/>
        </w:rPr>
        <w:t>75 (Capitol Property Group)</w:t>
      </w:r>
      <w:r w:rsidR="00AE48E7">
        <w:rPr>
          <w:rFonts w:asciiTheme="minorHAnsi" w:hAnsiTheme="minorHAnsi"/>
          <w:i/>
          <w:sz w:val="22"/>
          <w:lang w:eastAsia="en-US"/>
        </w:rPr>
        <w:t>; 83 (T Dance)</w:t>
      </w:r>
    </w:p>
    <w:p w:rsidR="00BC0B25" w:rsidRDefault="00BC0B25" w:rsidP="00BC0B25">
      <w:pPr>
        <w:rPr>
          <w:rFonts w:asciiTheme="minorHAnsi" w:hAnsiTheme="minorHAnsi"/>
          <w:i/>
          <w:sz w:val="22"/>
          <w:lang w:eastAsia="en-US"/>
        </w:rPr>
      </w:pPr>
      <w:r>
        <w:rPr>
          <w:rFonts w:asciiTheme="minorHAnsi" w:hAnsiTheme="minorHAnsi"/>
          <w:i/>
          <w:sz w:val="22"/>
          <w:lang w:eastAsia="en-US"/>
        </w:rPr>
        <w:t>Lancefield Road PSP (C208) – Submission</w:t>
      </w:r>
      <w:r w:rsidR="002D1A44">
        <w:rPr>
          <w:rFonts w:asciiTheme="minorHAnsi" w:hAnsiTheme="minorHAnsi"/>
          <w:i/>
          <w:sz w:val="22"/>
          <w:lang w:eastAsia="en-US"/>
        </w:rPr>
        <w:t>s</w:t>
      </w:r>
      <w:r>
        <w:rPr>
          <w:rFonts w:asciiTheme="minorHAnsi" w:hAnsiTheme="minorHAnsi"/>
          <w:i/>
          <w:sz w:val="22"/>
          <w:lang w:eastAsia="en-US"/>
        </w:rPr>
        <w:t xml:space="preserve"> 54 (Hume City Council)</w:t>
      </w:r>
      <w:r w:rsidR="002D1A44">
        <w:rPr>
          <w:rFonts w:asciiTheme="minorHAnsi" w:hAnsiTheme="minorHAnsi"/>
          <w:i/>
          <w:sz w:val="22"/>
          <w:lang w:eastAsia="en-US"/>
        </w:rPr>
        <w:t>; 60 (</w:t>
      </w:r>
      <w:r w:rsidR="00F530CC">
        <w:rPr>
          <w:rFonts w:asciiTheme="minorHAnsi" w:hAnsiTheme="minorHAnsi"/>
          <w:i/>
          <w:sz w:val="22"/>
          <w:lang w:eastAsia="en-US"/>
        </w:rPr>
        <w:t>p</w:t>
      </w:r>
      <w:r w:rsidR="002D1A44">
        <w:rPr>
          <w:rFonts w:asciiTheme="minorHAnsi" w:hAnsiTheme="minorHAnsi"/>
          <w:i/>
          <w:sz w:val="22"/>
          <w:lang w:eastAsia="en-US"/>
        </w:rPr>
        <w:t>otential developers of 280 Lancefield Road)</w:t>
      </w:r>
      <w:r w:rsidR="00BF2D68">
        <w:rPr>
          <w:rFonts w:asciiTheme="minorHAnsi" w:hAnsiTheme="minorHAnsi"/>
          <w:i/>
          <w:sz w:val="22"/>
          <w:lang w:eastAsia="en-US"/>
        </w:rPr>
        <w:t>;</w:t>
      </w:r>
      <w:r w:rsidR="00547B4D">
        <w:rPr>
          <w:rFonts w:asciiTheme="minorHAnsi" w:hAnsiTheme="minorHAnsi"/>
          <w:i/>
          <w:sz w:val="22"/>
          <w:lang w:eastAsia="en-US"/>
        </w:rPr>
        <w:t xml:space="preserve"> </w:t>
      </w:r>
      <w:r w:rsidR="00D906E9">
        <w:rPr>
          <w:rFonts w:asciiTheme="minorHAnsi" w:hAnsiTheme="minorHAnsi"/>
          <w:i/>
          <w:sz w:val="22"/>
          <w:lang w:eastAsia="en-US"/>
        </w:rPr>
        <w:t xml:space="preserve">71 (Villawood Properties); </w:t>
      </w:r>
      <w:r w:rsidR="00547B4D">
        <w:rPr>
          <w:rFonts w:asciiTheme="minorHAnsi" w:hAnsiTheme="minorHAnsi"/>
          <w:i/>
          <w:sz w:val="22"/>
          <w:lang w:eastAsia="en-US"/>
        </w:rPr>
        <w:t>77 (M Gray);</w:t>
      </w:r>
      <w:r w:rsidR="00BF2D68">
        <w:rPr>
          <w:rFonts w:asciiTheme="minorHAnsi" w:hAnsiTheme="minorHAnsi"/>
          <w:i/>
          <w:sz w:val="22"/>
          <w:lang w:eastAsia="en-US"/>
        </w:rPr>
        <w:t xml:space="preserve"> 84 (T Dance)</w:t>
      </w:r>
      <w:r w:rsidR="002D1A44">
        <w:rPr>
          <w:rFonts w:asciiTheme="minorHAnsi" w:hAnsiTheme="minorHAnsi"/>
          <w:i/>
          <w:sz w:val="22"/>
          <w:lang w:eastAsia="en-US"/>
        </w:rPr>
        <w:t xml:space="preserve"> </w:t>
      </w:r>
    </w:p>
    <w:p w:rsidR="005A3995" w:rsidRPr="00222BD4" w:rsidRDefault="00821F40" w:rsidP="005A3995">
      <w:pPr>
        <w:pStyle w:val="Heading3"/>
        <w:rPr>
          <w:rFonts w:asciiTheme="minorHAnsi" w:hAnsiTheme="minorHAnsi"/>
          <w:b/>
        </w:rPr>
      </w:pPr>
      <w:r>
        <w:rPr>
          <w:rFonts w:asciiTheme="minorHAnsi" w:hAnsiTheme="minorHAnsi"/>
          <w:b/>
        </w:rPr>
        <w:t>Applied zone</w:t>
      </w:r>
      <w:r w:rsidR="00B9500E">
        <w:rPr>
          <w:rFonts w:asciiTheme="minorHAnsi" w:hAnsiTheme="minorHAnsi"/>
          <w:b/>
        </w:rPr>
        <w:t>s</w:t>
      </w:r>
    </w:p>
    <w:p w:rsidR="00355D0A" w:rsidRDefault="00817E4D" w:rsidP="005A3995">
      <w:pPr>
        <w:rPr>
          <w:rFonts w:asciiTheme="minorHAnsi" w:hAnsiTheme="minorHAnsi"/>
          <w:sz w:val="22"/>
        </w:rPr>
      </w:pPr>
      <w:r w:rsidRPr="00817E4D">
        <w:rPr>
          <w:rFonts w:asciiTheme="minorHAnsi" w:hAnsiTheme="minorHAnsi"/>
          <w:sz w:val="22"/>
        </w:rPr>
        <w:t xml:space="preserve">The Amendments </w:t>
      </w:r>
      <w:r w:rsidR="00355D0A">
        <w:rPr>
          <w:rFonts w:asciiTheme="minorHAnsi" w:hAnsiTheme="minorHAnsi"/>
          <w:sz w:val="22"/>
        </w:rPr>
        <w:t>proposed to introduce two Schedules to the Urban Growth Zone (</w:t>
      </w:r>
      <w:r w:rsidR="00355D0A">
        <w:rPr>
          <w:rFonts w:asciiTheme="minorHAnsi" w:hAnsiTheme="minorHAnsi"/>
          <w:b/>
          <w:sz w:val="22"/>
        </w:rPr>
        <w:t>UGZ</w:t>
      </w:r>
      <w:r w:rsidR="00355D0A">
        <w:rPr>
          <w:rFonts w:asciiTheme="minorHAnsi" w:hAnsiTheme="minorHAnsi"/>
          <w:sz w:val="22"/>
        </w:rPr>
        <w:t>):</w:t>
      </w:r>
    </w:p>
    <w:p w:rsidR="005A3995" w:rsidRDefault="000467C8" w:rsidP="003340E2">
      <w:pPr>
        <w:pStyle w:val="ListParagraph"/>
        <w:numPr>
          <w:ilvl w:val="0"/>
          <w:numId w:val="33"/>
        </w:numPr>
      </w:pPr>
      <w:r>
        <w:lastRenderedPageBreak/>
        <w:t>Schedule 9 – Sunbury South Precinct Structure Plan; and</w:t>
      </w:r>
    </w:p>
    <w:p w:rsidR="00355D0A" w:rsidRDefault="000467C8" w:rsidP="003340E2">
      <w:pPr>
        <w:pStyle w:val="ListParagraph"/>
        <w:numPr>
          <w:ilvl w:val="0"/>
          <w:numId w:val="33"/>
        </w:numPr>
      </w:pPr>
      <w:r>
        <w:t>Schedule 10 – Lancefield Road Precinct Structure Plan.</w:t>
      </w:r>
    </w:p>
    <w:p w:rsidR="000467C8" w:rsidRDefault="00893FFD" w:rsidP="000467C8">
      <w:pPr>
        <w:rPr>
          <w:rFonts w:asciiTheme="minorHAnsi" w:hAnsiTheme="minorHAnsi"/>
          <w:sz w:val="22"/>
        </w:rPr>
      </w:pPr>
      <w:r w:rsidRPr="00893FFD">
        <w:rPr>
          <w:rFonts w:asciiTheme="minorHAnsi" w:hAnsiTheme="minorHAnsi"/>
          <w:sz w:val="22"/>
        </w:rPr>
        <w:t xml:space="preserve">Both Schedules </w:t>
      </w:r>
      <w:r w:rsidR="00BF745F">
        <w:rPr>
          <w:rFonts w:asciiTheme="minorHAnsi" w:hAnsiTheme="minorHAnsi"/>
          <w:sz w:val="22"/>
        </w:rPr>
        <w:t>include ‘Table 1: Applied zone provisions’ at Clause 2.2.</w:t>
      </w:r>
      <w:r w:rsidR="00FC1E15">
        <w:rPr>
          <w:rFonts w:asciiTheme="minorHAnsi" w:hAnsiTheme="minorHAnsi"/>
          <w:sz w:val="22"/>
        </w:rPr>
        <w:t xml:space="preserve">  These</w:t>
      </w:r>
      <w:r w:rsidR="00E95DF3">
        <w:rPr>
          <w:rFonts w:asciiTheme="minorHAnsi" w:hAnsiTheme="minorHAnsi"/>
          <w:sz w:val="22"/>
        </w:rPr>
        <w:t xml:space="preserve"> propose the application of two residential zones as follows:</w:t>
      </w:r>
    </w:p>
    <w:p w:rsidR="00E95DF3" w:rsidRDefault="00E95DF3" w:rsidP="00E95DF3">
      <w:pPr>
        <w:keepNext/>
      </w:pPr>
      <w:r>
        <w:rPr>
          <w:noProof/>
        </w:rPr>
        <w:drawing>
          <wp:inline distT="0" distB="0" distL="0" distR="0" wp14:anchorId="401D82AF" wp14:editId="72B89928">
            <wp:extent cx="4976812" cy="61600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93659" cy="618093"/>
                    </a:xfrm>
                    <a:prstGeom prst="rect">
                      <a:avLst/>
                    </a:prstGeom>
                  </pic:spPr>
                </pic:pic>
              </a:graphicData>
            </a:graphic>
          </wp:inline>
        </w:drawing>
      </w:r>
    </w:p>
    <w:p w:rsidR="00E95DF3" w:rsidRPr="00893FFD" w:rsidRDefault="00E95DF3" w:rsidP="0024369D">
      <w:pPr>
        <w:pStyle w:val="Caption"/>
        <w:keepNext w:val="0"/>
        <w:rPr>
          <w:rFonts w:asciiTheme="minorHAnsi" w:hAnsiTheme="minorHAnsi"/>
          <w:sz w:val="22"/>
        </w:rPr>
      </w:pPr>
      <w:r w:rsidRPr="00E95DF3">
        <w:rPr>
          <w:rFonts w:asciiTheme="minorHAnsi" w:hAnsiTheme="minorHAnsi" w:cstheme="minorHAnsi"/>
          <w:color w:val="auto"/>
        </w:rPr>
        <w:t xml:space="preserve">Figure </w:t>
      </w:r>
      <w:r w:rsidRPr="00E95DF3">
        <w:rPr>
          <w:rFonts w:asciiTheme="minorHAnsi" w:hAnsiTheme="minorHAnsi" w:cstheme="minorHAnsi"/>
          <w:color w:val="auto"/>
        </w:rPr>
        <w:fldChar w:fldCharType="begin"/>
      </w:r>
      <w:r w:rsidRPr="00E95DF3">
        <w:rPr>
          <w:rFonts w:asciiTheme="minorHAnsi" w:hAnsiTheme="minorHAnsi" w:cstheme="minorHAnsi"/>
          <w:color w:val="auto"/>
        </w:rPr>
        <w:instrText xml:space="preserve"> SEQ Figure \* ARABIC </w:instrText>
      </w:r>
      <w:r w:rsidRPr="00E95DF3">
        <w:rPr>
          <w:rFonts w:asciiTheme="minorHAnsi" w:hAnsiTheme="minorHAnsi" w:cstheme="minorHAnsi"/>
          <w:color w:val="auto"/>
        </w:rPr>
        <w:fldChar w:fldCharType="separate"/>
      </w:r>
      <w:r w:rsidR="00AE1A69">
        <w:rPr>
          <w:rFonts w:asciiTheme="minorHAnsi" w:hAnsiTheme="minorHAnsi" w:cstheme="minorHAnsi"/>
          <w:noProof/>
          <w:color w:val="auto"/>
        </w:rPr>
        <w:t>2</w:t>
      </w:r>
      <w:r w:rsidRPr="00E95DF3">
        <w:rPr>
          <w:rFonts w:asciiTheme="minorHAnsi" w:hAnsiTheme="minorHAnsi" w:cstheme="minorHAnsi"/>
          <w:color w:val="auto"/>
        </w:rPr>
        <w:fldChar w:fldCharType="end"/>
      </w:r>
      <w:r w:rsidRPr="00E95DF3">
        <w:rPr>
          <w:rFonts w:asciiTheme="minorHAnsi" w:hAnsiTheme="minorHAnsi" w:cstheme="minorHAnsi"/>
          <w:color w:val="auto"/>
        </w:rPr>
        <w:t xml:space="preserve">: </w:t>
      </w:r>
      <w:r w:rsidRPr="003B467F">
        <w:rPr>
          <w:rFonts w:asciiTheme="minorHAnsi" w:hAnsiTheme="minorHAnsi" w:cstheme="minorHAnsi"/>
          <w:color w:val="auto"/>
        </w:rPr>
        <w:t xml:space="preserve">extract </w:t>
      </w:r>
      <w:r>
        <w:rPr>
          <w:rFonts w:asciiTheme="minorHAnsi" w:hAnsiTheme="minorHAnsi" w:cstheme="minorHAnsi"/>
          <w:color w:val="auto"/>
        </w:rPr>
        <w:t xml:space="preserve">Table 1 (Applied zone provisions) in proposed Schedules 9 and 10 to the UGZ </w:t>
      </w:r>
    </w:p>
    <w:p w:rsidR="00053AD5" w:rsidRPr="00700AF1" w:rsidRDefault="00053AD5" w:rsidP="0024369D">
      <w:pPr>
        <w:pStyle w:val="Heading3"/>
        <w:rPr>
          <w:rFonts w:asciiTheme="minorHAnsi" w:hAnsiTheme="minorHAnsi"/>
          <w:b/>
        </w:rPr>
      </w:pPr>
      <w:r>
        <w:rPr>
          <w:rFonts w:asciiTheme="minorHAnsi" w:hAnsiTheme="minorHAnsi"/>
          <w:b/>
        </w:rPr>
        <w:t>Application of RGZ</w:t>
      </w:r>
    </w:p>
    <w:p w:rsidR="004A7502" w:rsidRDefault="00306E86" w:rsidP="0024369D">
      <w:pPr>
        <w:keepNext/>
        <w:rPr>
          <w:rFonts w:asciiTheme="minorHAnsi" w:hAnsiTheme="minorHAnsi"/>
          <w:sz w:val="22"/>
        </w:rPr>
      </w:pPr>
      <w:r w:rsidRPr="00306E86">
        <w:rPr>
          <w:rFonts w:asciiTheme="minorHAnsi" w:hAnsiTheme="minorHAnsi"/>
          <w:sz w:val="22"/>
        </w:rPr>
        <w:t xml:space="preserve">The VPA’s </w:t>
      </w:r>
      <w:r w:rsidR="00BF75FC">
        <w:rPr>
          <w:rFonts w:asciiTheme="minorHAnsi" w:hAnsiTheme="minorHAnsi"/>
          <w:sz w:val="22"/>
        </w:rPr>
        <w:t>position is to apply the Residential Growth Zone (</w:t>
      </w:r>
      <w:r w:rsidR="00BF75FC">
        <w:rPr>
          <w:rFonts w:asciiTheme="minorHAnsi" w:hAnsiTheme="minorHAnsi"/>
          <w:b/>
          <w:sz w:val="22"/>
        </w:rPr>
        <w:t>RGZ</w:t>
      </w:r>
      <w:r w:rsidR="00BF75FC">
        <w:rPr>
          <w:rFonts w:asciiTheme="minorHAnsi" w:hAnsiTheme="minorHAnsi"/>
          <w:sz w:val="22"/>
        </w:rPr>
        <w:t>) within ‘walkable catchments’</w:t>
      </w:r>
      <w:r w:rsidR="0024369D">
        <w:rPr>
          <w:rFonts w:asciiTheme="minorHAnsi" w:hAnsiTheme="minorHAnsi"/>
          <w:sz w:val="22"/>
        </w:rPr>
        <w:t>, the boundaries of which ar</w:t>
      </w:r>
      <w:r w:rsidR="00C84B01">
        <w:rPr>
          <w:rFonts w:asciiTheme="minorHAnsi" w:hAnsiTheme="minorHAnsi"/>
          <w:sz w:val="22"/>
        </w:rPr>
        <w:t xml:space="preserve">e depicted on Plan 3 (Future Urban Structure) </w:t>
      </w:r>
      <w:r w:rsidR="00D6074D">
        <w:rPr>
          <w:rFonts w:asciiTheme="minorHAnsi" w:hAnsiTheme="minorHAnsi"/>
          <w:sz w:val="22"/>
        </w:rPr>
        <w:t>in the PSPs.</w:t>
      </w:r>
    </w:p>
    <w:p w:rsidR="00D6074D" w:rsidRDefault="006A4AA6" w:rsidP="0024369D">
      <w:pPr>
        <w:keepNext/>
        <w:rPr>
          <w:rFonts w:asciiTheme="minorHAnsi" w:hAnsiTheme="minorHAnsi"/>
          <w:sz w:val="22"/>
        </w:rPr>
      </w:pPr>
      <w:r>
        <w:rPr>
          <w:rFonts w:asciiTheme="minorHAnsi" w:hAnsiTheme="minorHAnsi"/>
          <w:sz w:val="22"/>
        </w:rPr>
        <w:t xml:space="preserve">The application of walkable catchments is </w:t>
      </w:r>
      <w:r w:rsidR="004C4D2D">
        <w:rPr>
          <w:rFonts w:asciiTheme="minorHAnsi" w:hAnsiTheme="minorHAnsi"/>
          <w:sz w:val="22"/>
        </w:rPr>
        <w:t>described</w:t>
      </w:r>
      <w:r>
        <w:rPr>
          <w:rFonts w:asciiTheme="minorHAnsi" w:hAnsiTheme="minorHAnsi"/>
          <w:sz w:val="22"/>
        </w:rPr>
        <w:t xml:space="preserve"> in Requirement R9 in the Sunbury South PSP and Requirement R10 in the Lancefield Road PSP as follows:</w:t>
      </w:r>
    </w:p>
    <w:p w:rsidR="006A4AA6" w:rsidRDefault="00547730" w:rsidP="00547730">
      <w:pPr>
        <w:keepNext/>
        <w:ind w:left="709"/>
        <w:rPr>
          <w:rFonts w:asciiTheme="minorHAnsi" w:hAnsiTheme="minorHAnsi"/>
          <w:i/>
          <w:sz w:val="22"/>
        </w:rPr>
      </w:pPr>
      <w:r>
        <w:rPr>
          <w:rFonts w:asciiTheme="minorHAnsi" w:hAnsiTheme="minorHAnsi"/>
          <w:i/>
          <w:sz w:val="22"/>
        </w:rPr>
        <w:t>Subdivision of land within walkable catchments shown on Plan 3, which typically comprise residential land within:</w:t>
      </w:r>
    </w:p>
    <w:p w:rsidR="00547730" w:rsidRDefault="00547730" w:rsidP="003340E2">
      <w:pPr>
        <w:pStyle w:val="ListParagraph"/>
        <w:keepNext/>
        <w:numPr>
          <w:ilvl w:val="0"/>
          <w:numId w:val="34"/>
        </w:numPr>
        <w:rPr>
          <w:i/>
        </w:rPr>
      </w:pPr>
      <w:r>
        <w:rPr>
          <w:i/>
        </w:rPr>
        <w:t>800m of major town centres</w:t>
      </w:r>
    </w:p>
    <w:p w:rsidR="00547730" w:rsidRDefault="00547730" w:rsidP="003340E2">
      <w:pPr>
        <w:pStyle w:val="ListParagraph"/>
        <w:keepNext/>
        <w:numPr>
          <w:ilvl w:val="0"/>
          <w:numId w:val="34"/>
        </w:numPr>
        <w:rPr>
          <w:i/>
        </w:rPr>
      </w:pPr>
      <w:r>
        <w:rPr>
          <w:i/>
        </w:rPr>
        <w:t>400m of local town centres</w:t>
      </w:r>
    </w:p>
    <w:p w:rsidR="00547730" w:rsidRDefault="00547730" w:rsidP="003340E2">
      <w:pPr>
        <w:pStyle w:val="ListParagraph"/>
        <w:keepNext/>
        <w:numPr>
          <w:ilvl w:val="0"/>
          <w:numId w:val="34"/>
        </w:numPr>
        <w:rPr>
          <w:i/>
        </w:rPr>
      </w:pPr>
      <w:r>
        <w:rPr>
          <w:i/>
        </w:rPr>
        <w:t>200m of community hubs</w:t>
      </w:r>
    </w:p>
    <w:p w:rsidR="00547730" w:rsidRDefault="00547730" w:rsidP="003340E2">
      <w:pPr>
        <w:pStyle w:val="ListParagraph"/>
        <w:keepNext/>
        <w:numPr>
          <w:ilvl w:val="0"/>
          <w:numId w:val="34"/>
        </w:numPr>
        <w:rPr>
          <w:i/>
        </w:rPr>
      </w:pPr>
      <w:r>
        <w:rPr>
          <w:i/>
        </w:rPr>
        <w:t>100m of local convenience centres</w:t>
      </w:r>
    </w:p>
    <w:p w:rsidR="00547730" w:rsidRDefault="00547730" w:rsidP="003340E2">
      <w:pPr>
        <w:pStyle w:val="ListParagraph"/>
        <w:keepNext/>
        <w:numPr>
          <w:ilvl w:val="0"/>
          <w:numId w:val="34"/>
        </w:numPr>
        <w:rPr>
          <w:i/>
        </w:rPr>
      </w:pPr>
      <w:r>
        <w:rPr>
          <w:i/>
        </w:rPr>
        <w:t>800m of train stations</w:t>
      </w:r>
    </w:p>
    <w:p w:rsidR="00547730" w:rsidRDefault="00547730" w:rsidP="003340E2">
      <w:pPr>
        <w:pStyle w:val="ListParagraph"/>
        <w:keepNext/>
        <w:numPr>
          <w:ilvl w:val="0"/>
          <w:numId w:val="34"/>
        </w:numPr>
        <w:rPr>
          <w:i/>
        </w:rPr>
      </w:pPr>
      <w:r>
        <w:rPr>
          <w:i/>
        </w:rPr>
        <w:t>600m of the Principal Public Transport Network</w:t>
      </w:r>
    </w:p>
    <w:p w:rsidR="001315DD" w:rsidRDefault="001315DD" w:rsidP="001315DD">
      <w:pPr>
        <w:keepNext/>
        <w:ind w:left="709"/>
        <w:rPr>
          <w:rFonts w:asciiTheme="minorHAnsi" w:hAnsiTheme="minorHAnsi"/>
          <w:i/>
          <w:sz w:val="22"/>
        </w:rPr>
      </w:pPr>
      <w:r w:rsidRPr="001315DD">
        <w:rPr>
          <w:rFonts w:asciiTheme="minorHAnsi" w:hAnsiTheme="minorHAnsi"/>
          <w:i/>
          <w:sz w:val="22"/>
        </w:rPr>
        <w:t xml:space="preserve">Must create lots suitable for delivery of medium or </w:t>
      </w:r>
      <w:proofErr w:type="gramStart"/>
      <w:r w:rsidRPr="001315DD">
        <w:rPr>
          <w:rFonts w:asciiTheme="minorHAnsi" w:hAnsiTheme="minorHAnsi"/>
          <w:i/>
          <w:sz w:val="22"/>
        </w:rPr>
        <w:t>high density</w:t>
      </w:r>
      <w:proofErr w:type="gramEnd"/>
      <w:r w:rsidRPr="001315DD">
        <w:rPr>
          <w:rFonts w:asciiTheme="minorHAnsi" w:hAnsiTheme="minorHAnsi"/>
          <w:i/>
          <w:sz w:val="22"/>
        </w:rPr>
        <w:t xml:space="preserve"> housing as </w:t>
      </w:r>
      <w:r w:rsidR="00BE42CE">
        <w:rPr>
          <w:rFonts w:asciiTheme="minorHAnsi" w:hAnsiTheme="minorHAnsi"/>
          <w:i/>
          <w:sz w:val="22"/>
        </w:rPr>
        <w:t>outlined in Table 2, and achieve a minimum average density of 17 dwellings per net developable hectare.</w:t>
      </w:r>
    </w:p>
    <w:p w:rsidR="00BE42CE" w:rsidRPr="001315DD" w:rsidRDefault="00BE42CE" w:rsidP="001315DD">
      <w:pPr>
        <w:keepNext/>
        <w:ind w:left="709"/>
        <w:rPr>
          <w:rFonts w:asciiTheme="minorHAnsi" w:hAnsiTheme="minorHAnsi"/>
          <w:i/>
          <w:sz w:val="22"/>
        </w:rPr>
      </w:pPr>
      <w:r>
        <w:rPr>
          <w:rFonts w:asciiTheme="minorHAnsi" w:hAnsiTheme="minorHAnsi"/>
          <w:i/>
          <w:sz w:val="22"/>
        </w:rPr>
        <w:t>Applications for subdivision can demonstrate how target densities can be achieved over time, to the satisfaction of the Responsible Authority, shall be considered</w:t>
      </w:r>
    </w:p>
    <w:p w:rsidR="00A55F41" w:rsidRDefault="00847FF5" w:rsidP="00A55F41">
      <w:pPr>
        <w:rPr>
          <w:rFonts w:asciiTheme="minorHAnsi" w:hAnsiTheme="minorHAnsi"/>
          <w:sz w:val="22"/>
        </w:rPr>
      </w:pPr>
      <w:r>
        <w:rPr>
          <w:rFonts w:asciiTheme="minorHAnsi" w:hAnsiTheme="minorHAnsi"/>
          <w:sz w:val="22"/>
        </w:rPr>
        <w:t xml:space="preserve">These are areas with good access to services, transport and infrastructure.  </w:t>
      </w:r>
      <w:r w:rsidR="0026755F">
        <w:rPr>
          <w:rFonts w:asciiTheme="minorHAnsi" w:hAnsiTheme="minorHAnsi"/>
          <w:sz w:val="22"/>
        </w:rPr>
        <w:t xml:space="preserve">The approach outlined above is subject to minor variations to </w:t>
      </w:r>
      <w:r w:rsidR="00A55F41">
        <w:rPr>
          <w:rFonts w:asciiTheme="minorHAnsi" w:hAnsiTheme="minorHAnsi"/>
          <w:sz w:val="22"/>
        </w:rPr>
        <w:t xml:space="preserve">achieve logical boundaries, such as ending the application of a zone at nearby precinct features including roads and waterways.  The RGZ is not applied to areas subject to buffers.  </w:t>
      </w:r>
    </w:p>
    <w:p w:rsidR="00322B30" w:rsidRPr="00847FF5" w:rsidRDefault="00847FF5" w:rsidP="00A55F41">
      <w:pPr>
        <w:rPr>
          <w:rFonts w:asciiTheme="minorHAnsi" w:hAnsiTheme="minorHAnsi"/>
          <w:sz w:val="22"/>
        </w:rPr>
      </w:pPr>
      <w:r>
        <w:rPr>
          <w:rFonts w:asciiTheme="minorHAnsi" w:hAnsiTheme="minorHAnsi"/>
          <w:sz w:val="22"/>
        </w:rPr>
        <w:t>The General Residential Zone (</w:t>
      </w:r>
      <w:r>
        <w:rPr>
          <w:rFonts w:asciiTheme="minorHAnsi" w:hAnsiTheme="minorHAnsi"/>
          <w:b/>
          <w:sz w:val="22"/>
        </w:rPr>
        <w:t>GRZ</w:t>
      </w:r>
      <w:r>
        <w:rPr>
          <w:rFonts w:asciiTheme="minorHAnsi" w:hAnsiTheme="minorHAnsi"/>
          <w:sz w:val="22"/>
        </w:rPr>
        <w:t>) is applied to the remainder of residential areas.</w:t>
      </w:r>
    </w:p>
    <w:p w:rsidR="00485D21" w:rsidRDefault="00485D21" w:rsidP="00A55F41">
      <w:pPr>
        <w:rPr>
          <w:rFonts w:asciiTheme="minorHAnsi" w:hAnsiTheme="minorHAnsi"/>
          <w:sz w:val="22"/>
        </w:rPr>
      </w:pPr>
      <w:r>
        <w:rPr>
          <w:rFonts w:asciiTheme="minorHAnsi" w:hAnsiTheme="minorHAnsi"/>
          <w:sz w:val="22"/>
        </w:rPr>
        <w:lastRenderedPageBreak/>
        <w:t>This application represents VPA policy</w:t>
      </w:r>
      <w:r w:rsidR="004E256D">
        <w:rPr>
          <w:rFonts w:asciiTheme="minorHAnsi" w:hAnsiTheme="minorHAnsi"/>
          <w:sz w:val="22"/>
        </w:rPr>
        <w:t xml:space="preserve">, set out in its </w:t>
      </w:r>
      <w:r w:rsidR="004E256D">
        <w:rPr>
          <w:rFonts w:asciiTheme="minorHAnsi" w:hAnsiTheme="minorHAnsi"/>
          <w:i/>
          <w:sz w:val="22"/>
        </w:rPr>
        <w:t>PSP Planning Response to Applied Residential Zones: Background Paper</w:t>
      </w:r>
      <w:r w:rsidR="004E256D">
        <w:rPr>
          <w:rFonts w:asciiTheme="minorHAnsi" w:hAnsiTheme="minorHAnsi"/>
          <w:sz w:val="22"/>
        </w:rPr>
        <w:t>.</w:t>
      </w:r>
      <w:r w:rsidR="004E256D">
        <w:rPr>
          <w:rStyle w:val="FootnoteReference"/>
          <w:rFonts w:asciiTheme="minorHAnsi" w:hAnsiTheme="minorHAnsi"/>
          <w:sz w:val="22"/>
        </w:rPr>
        <w:footnoteReference w:id="7"/>
      </w:r>
      <w:r>
        <w:rPr>
          <w:rFonts w:asciiTheme="minorHAnsi" w:hAnsiTheme="minorHAnsi"/>
          <w:sz w:val="22"/>
        </w:rPr>
        <w:t xml:space="preserve"> </w:t>
      </w:r>
    </w:p>
    <w:p w:rsidR="006A4AA6" w:rsidRPr="00EE5990" w:rsidRDefault="00673F9D" w:rsidP="00A55F41">
      <w:pPr>
        <w:rPr>
          <w:rFonts w:asciiTheme="minorHAnsi" w:hAnsiTheme="minorHAnsi"/>
          <w:sz w:val="22"/>
        </w:rPr>
      </w:pPr>
      <w:r>
        <w:rPr>
          <w:rFonts w:asciiTheme="minorHAnsi" w:hAnsiTheme="minorHAnsi"/>
          <w:sz w:val="22"/>
        </w:rPr>
        <w:t xml:space="preserve">The VPA considers the application of the RGZ to </w:t>
      </w:r>
      <w:r w:rsidR="00F635C6">
        <w:rPr>
          <w:rFonts w:asciiTheme="minorHAnsi" w:hAnsiTheme="minorHAnsi"/>
          <w:sz w:val="22"/>
        </w:rPr>
        <w:t>these locations</w:t>
      </w:r>
      <w:r w:rsidR="008205B8">
        <w:rPr>
          <w:rFonts w:asciiTheme="minorHAnsi" w:hAnsiTheme="minorHAnsi"/>
          <w:sz w:val="22"/>
        </w:rPr>
        <w:t xml:space="preserve"> to support policy in </w:t>
      </w:r>
      <w:r w:rsidR="0012389B">
        <w:rPr>
          <w:rFonts w:asciiTheme="minorHAnsi" w:hAnsiTheme="minorHAnsi"/>
          <w:i/>
          <w:sz w:val="22"/>
        </w:rPr>
        <w:t xml:space="preserve">Plan Melbourne 2017-2050: Metropolitan Planning Strategy </w:t>
      </w:r>
      <w:r w:rsidR="0012389B">
        <w:rPr>
          <w:rFonts w:asciiTheme="minorHAnsi" w:hAnsiTheme="minorHAnsi"/>
          <w:sz w:val="22"/>
        </w:rPr>
        <w:t>(</w:t>
      </w:r>
      <w:r w:rsidR="00EE5990">
        <w:rPr>
          <w:rFonts w:asciiTheme="minorHAnsi" w:hAnsiTheme="minorHAnsi"/>
          <w:b/>
          <w:sz w:val="22"/>
        </w:rPr>
        <w:t>Plan Melbourne</w:t>
      </w:r>
      <w:r w:rsidR="00EE5990">
        <w:rPr>
          <w:rFonts w:asciiTheme="minorHAnsi" w:hAnsiTheme="minorHAnsi"/>
          <w:sz w:val="22"/>
        </w:rPr>
        <w:t>), including:</w:t>
      </w:r>
      <w:r w:rsidR="00EE5990">
        <w:rPr>
          <w:rStyle w:val="FootnoteReference"/>
          <w:rFonts w:asciiTheme="minorHAnsi" w:hAnsiTheme="minorHAnsi"/>
          <w:sz w:val="22"/>
        </w:rPr>
        <w:footnoteReference w:id="8"/>
      </w:r>
    </w:p>
    <w:p w:rsidR="00F635C6" w:rsidRPr="00F653DD" w:rsidRDefault="004B30EC" w:rsidP="003340E2">
      <w:pPr>
        <w:pStyle w:val="ListParagraph"/>
        <w:numPr>
          <w:ilvl w:val="0"/>
          <w:numId w:val="35"/>
        </w:numPr>
      </w:pPr>
      <w:r>
        <w:t>d</w:t>
      </w:r>
      <w:r w:rsidR="00F635C6">
        <w:t>irection 2.1 to ‘manage the supply of new housing in the right locations to meet population growth and create a sustainable’ city, including policy 2.1.1 to ‘maintain a permanent urban growth boundary around Melbourne to create a more consolidated and sustainable city’;</w:t>
      </w:r>
      <w:r w:rsidR="00F635C6">
        <w:rPr>
          <w:rStyle w:val="FootnoteReference"/>
        </w:rPr>
        <w:footnoteReference w:id="9"/>
      </w:r>
    </w:p>
    <w:p w:rsidR="006E2667" w:rsidRDefault="004B30EC" w:rsidP="003340E2">
      <w:pPr>
        <w:pStyle w:val="ListParagraph"/>
        <w:numPr>
          <w:ilvl w:val="0"/>
          <w:numId w:val="35"/>
        </w:numPr>
      </w:pPr>
      <w:r>
        <w:t>d</w:t>
      </w:r>
      <w:r w:rsidR="00985447">
        <w:t xml:space="preserve">irection 2.2 to </w:t>
      </w:r>
      <w:r w:rsidR="00F635C6">
        <w:t>‘</w:t>
      </w:r>
      <w:r w:rsidR="00985447">
        <w:t>deliver more housing closer to jobs and transport</w:t>
      </w:r>
      <w:r w:rsidR="00F635C6">
        <w:t>’</w:t>
      </w:r>
      <w:r w:rsidR="00985447">
        <w:t>;</w:t>
      </w:r>
      <w:r w:rsidR="00F635C6">
        <w:rPr>
          <w:rStyle w:val="FootnoteReference"/>
        </w:rPr>
        <w:footnoteReference w:id="10"/>
      </w:r>
    </w:p>
    <w:p w:rsidR="002A57D2" w:rsidRDefault="004B30EC" w:rsidP="003340E2">
      <w:pPr>
        <w:pStyle w:val="ListParagraph"/>
        <w:numPr>
          <w:ilvl w:val="0"/>
          <w:numId w:val="35"/>
        </w:numPr>
      </w:pPr>
      <w:r>
        <w:t>d</w:t>
      </w:r>
      <w:r w:rsidR="002A57D2">
        <w:t>irection 2.5 to ‘provide greater choice and diversity of housing’;</w:t>
      </w:r>
      <w:r w:rsidR="002A57D2">
        <w:rPr>
          <w:rStyle w:val="FootnoteReference"/>
        </w:rPr>
        <w:footnoteReference w:id="11"/>
      </w:r>
      <w:r w:rsidR="001C5B5F">
        <w:t xml:space="preserve"> and</w:t>
      </w:r>
    </w:p>
    <w:p w:rsidR="00266B4C" w:rsidRDefault="004B30EC" w:rsidP="003340E2">
      <w:pPr>
        <w:pStyle w:val="ListParagraph"/>
        <w:numPr>
          <w:ilvl w:val="0"/>
          <w:numId w:val="35"/>
        </w:numPr>
      </w:pPr>
      <w:r>
        <w:t>d</w:t>
      </w:r>
      <w:r w:rsidR="00266B4C">
        <w:t>irection 5.1 to ‘create a city of 20-minute neighbourhoods’</w:t>
      </w:r>
      <w:r w:rsidR="001C5B5F">
        <w:t>.</w:t>
      </w:r>
      <w:r w:rsidR="001C5B5F">
        <w:rPr>
          <w:rStyle w:val="FootnoteReference"/>
        </w:rPr>
        <w:footnoteReference w:id="12"/>
      </w:r>
    </w:p>
    <w:p w:rsidR="007A6018" w:rsidRDefault="006B60C4" w:rsidP="00A55F41">
      <w:pPr>
        <w:rPr>
          <w:rFonts w:asciiTheme="minorHAnsi" w:hAnsiTheme="minorHAnsi"/>
          <w:sz w:val="22"/>
        </w:rPr>
      </w:pPr>
      <w:r>
        <w:rPr>
          <w:rFonts w:asciiTheme="minorHAnsi" w:hAnsiTheme="minorHAnsi"/>
          <w:sz w:val="22"/>
        </w:rPr>
        <w:t>The VPA fu</w:t>
      </w:r>
      <w:r w:rsidR="00CB0C80">
        <w:rPr>
          <w:rFonts w:asciiTheme="minorHAnsi" w:hAnsiTheme="minorHAnsi"/>
          <w:sz w:val="22"/>
        </w:rPr>
        <w:t>rther considers the RGZ appropriate to allow a range of desirable, small floor area</w:t>
      </w:r>
      <w:r w:rsidR="00332F04">
        <w:rPr>
          <w:rFonts w:asciiTheme="minorHAnsi" w:hAnsiTheme="minorHAnsi"/>
          <w:sz w:val="22"/>
        </w:rPr>
        <w:t xml:space="preserve">, non-residential uses on land close to town centres and encourage flexibility in urban communities. </w:t>
      </w:r>
    </w:p>
    <w:p w:rsidR="006A4AA6" w:rsidRDefault="007A6018" w:rsidP="00A55F41">
      <w:pPr>
        <w:rPr>
          <w:rFonts w:asciiTheme="minorHAnsi" w:hAnsiTheme="minorHAnsi"/>
          <w:sz w:val="22"/>
        </w:rPr>
      </w:pPr>
      <w:r>
        <w:rPr>
          <w:rFonts w:asciiTheme="minorHAnsi" w:hAnsiTheme="minorHAnsi"/>
          <w:sz w:val="22"/>
        </w:rPr>
        <w:t xml:space="preserve">The VPA notes the application of the RGZ has been considered in </w:t>
      </w:r>
      <w:proofErr w:type="gramStart"/>
      <w:r>
        <w:rPr>
          <w:rFonts w:asciiTheme="minorHAnsi" w:hAnsiTheme="minorHAnsi"/>
          <w:sz w:val="22"/>
        </w:rPr>
        <w:t>a number of</w:t>
      </w:r>
      <w:proofErr w:type="gramEnd"/>
      <w:r>
        <w:rPr>
          <w:rFonts w:asciiTheme="minorHAnsi" w:hAnsiTheme="minorHAnsi"/>
          <w:sz w:val="22"/>
        </w:rPr>
        <w:t xml:space="preserve"> recent Panel hearings in relation to PSPs, inc</w:t>
      </w:r>
      <w:r w:rsidR="00CE54B7">
        <w:rPr>
          <w:rFonts w:asciiTheme="minorHAnsi" w:hAnsiTheme="minorHAnsi"/>
          <w:sz w:val="22"/>
        </w:rPr>
        <w:t>luding Rockbank PSP (Amendment C</w:t>
      </w:r>
      <w:r>
        <w:rPr>
          <w:rFonts w:asciiTheme="minorHAnsi" w:hAnsiTheme="minorHAnsi"/>
          <w:sz w:val="22"/>
        </w:rPr>
        <w:t>145 to the Melton Planning Sc</w:t>
      </w:r>
      <w:r w:rsidR="00CE54B7">
        <w:rPr>
          <w:rFonts w:asciiTheme="minorHAnsi" w:hAnsiTheme="minorHAnsi"/>
          <w:sz w:val="22"/>
        </w:rPr>
        <w:t>heme), Donnybrook/Woodstock PSP (Amendment GC28 to the Whittlesea and Mitchell Planning Schemes)</w:t>
      </w:r>
      <w:r w:rsidR="009A6B0D">
        <w:rPr>
          <w:rFonts w:asciiTheme="minorHAnsi" w:hAnsiTheme="minorHAnsi"/>
          <w:sz w:val="22"/>
        </w:rPr>
        <w:t xml:space="preserve">, Mt Atkinson and Tarneit Plains (Amendment C162 to the Melton Planning Scheme) and Plumpton PSP and </w:t>
      </w:r>
      <w:proofErr w:type="spellStart"/>
      <w:r w:rsidR="009A6B0D">
        <w:rPr>
          <w:rFonts w:asciiTheme="minorHAnsi" w:hAnsiTheme="minorHAnsi"/>
          <w:sz w:val="22"/>
        </w:rPr>
        <w:t>Kororoit</w:t>
      </w:r>
      <w:proofErr w:type="spellEnd"/>
      <w:r w:rsidR="009A6B0D">
        <w:rPr>
          <w:rFonts w:asciiTheme="minorHAnsi" w:hAnsiTheme="minorHAnsi"/>
          <w:sz w:val="22"/>
        </w:rPr>
        <w:t xml:space="preserve"> PSP (Amendments C146 and C147 to the Melton Planning Scheme</w:t>
      </w:r>
      <w:r w:rsidR="00186CC8">
        <w:rPr>
          <w:rFonts w:asciiTheme="minorHAnsi" w:hAnsiTheme="minorHAnsi"/>
          <w:sz w:val="22"/>
        </w:rPr>
        <w:t>)</w:t>
      </w:r>
      <w:r w:rsidR="009A6B0D">
        <w:rPr>
          <w:rFonts w:asciiTheme="minorHAnsi" w:hAnsiTheme="minorHAnsi"/>
          <w:sz w:val="22"/>
        </w:rPr>
        <w:t>.</w:t>
      </w:r>
    </w:p>
    <w:p w:rsidR="00186CC8" w:rsidRDefault="00186CC8" w:rsidP="00A55F41">
      <w:pPr>
        <w:rPr>
          <w:rFonts w:asciiTheme="minorHAnsi" w:hAnsiTheme="minorHAnsi"/>
          <w:sz w:val="22"/>
        </w:rPr>
      </w:pPr>
      <w:r>
        <w:rPr>
          <w:rFonts w:asciiTheme="minorHAnsi" w:hAnsiTheme="minorHAnsi"/>
          <w:sz w:val="22"/>
        </w:rPr>
        <w:t xml:space="preserve">The Panels appointed to consider these amendments have consistently recommended that the RGZ should not be applied as a blanket residential zone, and that a more nuanced approach including both RGZ and GRZ is required.  </w:t>
      </w:r>
      <w:r w:rsidR="0026755F">
        <w:rPr>
          <w:rFonts w:asciiTheme="minorHAnsi" w:hAnsiTheme="minorHAnsi"/>
          <w:sz w:val="22"/>
        </w:rPr>
        <w:t>The VPA considers its current policy to achieve</w:t>
      </w:r>
      <w:r w:rsidR="00CE6766">
        <w:rPr>
          <w:rFonts w:asciiTheme="minorHAnsi" w:hAnsiTheme="minorHAnsi"/>
          <w:sz w:val="22"/>
        </w:rPr>
        <w:t xml:space="preserve"> the balanced approach sought.</w:t>
      </w:r>
    </w:p>
    <w:p w:rsidR="00EA186C" w:rsidRDefault="00FF51BF" w:rsidP="00FF51BF">
      <w:pPr>
        <w:rPr>
          <w:rFonts w:asciiTheme="minorHAnsi" w:hAnsiTheme="minorHAnsi"/>
          <w:sz w:val="22"/>
        </w:rPr>
      </w:pPr>
      <w:r>
        <w:rPr>
          <w:rFonts w:asciiTheme="minorHAnsi" w:hAnsiTheme="minorHAnsi"/>
          <w:sz w:val="22"/>
        </w:rPr>
        <w:t>The VPA</w:t>
      </w:r>
      <w:r w:rsidR="00EA186C">
        <w:rPr>
          <w:rFonts w:asciiTheme="minorHAnsi" w:hAnsiTheme="minorHAnsi"/>
          <w:sz w:val="22"/>
        </w:rPr>
        <w:t xml:space="preserve"> further notes that there exists a considerable difference in topography between the current </w:t>
      </w:r>
      <w:r w:rsidR="00471E48">
        <w:rPr>
          <w:rFonts w:asciiTheme="minorHAnsi" w:hAnsiTheme="minorHAnsi"/>
          <w:sz w:val="22"/>
        </w:rPr>
        <w:t>PSPs</w:t>
      </w:r>
      <w:r w:rsidR="001E4F1A">
        <w:rPr>
          <w:rFonts w:asciiTheme="minorHAnsi" w:hAnsiTheme="minorHAnsi"/>
          <w:sz w:val="22"/>
        </w:rPr>
        <w:t xml:space="preserve"> and the western growth area PSPs, and it is therefore anticipated that the yield in both the GRZ and RGZ areas will be more measured in these PSP</w:t>
      </w:r>
      <w:r w:rsidR="00C30B3D">
        <w:rPr>
          <w:rFonts w:asciiTheme="minorHAnsi" w:hAnsiTheme="minorHAnsi"/>
          <w:sz w:val="22"/>
        </w:rPr>
        <w:t xml:space="preserve"> area</w:t>
      </w:r>
      <w:r w:rsidR="001E4F1A">
        <w:rPr>
          <w:rFonts w:asciiTheme="minorHAnsi" w:hAnsiTheme="minorHAnsi"/>
          <w:sz w:val="22"/>
        </w:rPr>
        <w:t>s.</w:t>
      </w:r>
    </w:p>
    <w:p w:rsidR="004C6D60" w:rsidRDefault="00E007EB" w:rsidP="00A55F41">
      <w:pPr>
        <w:rPr>
          <w:rFonts w:asciiTheme="minorHAnsi" w:hAnsiTheme="minorHAnsi"/>
          <w:sz w:val="22"/>
        </w:rPr>
      </w:pPr>
      <w:r>
        <w:rPr>
          <w:rFonts w:asciiTheme="minorHAnsi" w:hAnsiTheme="minorHAnsi"/>
          <w:sz w:val="22"/>
        </w:rPr>
        <w:t xml:space="preserve">The VPA acknowledges Council’s submission </w:t>
      </w:r>
      <w:r w:rsidR="004C6D60">
        <w:rPr>
          <w:rFonts w:asciiTheme="minorHAnsi" w:hAnsiTheme="minorHAnsi"/>
          <w:sz w:val="22"/>
        </w:rPr>
        <w:t xml:space="preserve">that areas of medium density housing should be identified within the PSPs in place of walkable catchments.  The VPA’s preference is to identify walkable catchments for the application of the RGZ for the reasons identified above. </w:t>
      </w:r>
    </w:p>
    <w:p w:rsidR="003C271A" w:rsidRDefault="00A11B0C" w:rsidP="00A55F41">
      <w:pPr>
        <w:rPr>
          <w:rFonts w:asciiTheme="minorHAnsi" w:hAnsiTheme="minorHAnsi"/>
          <w:sz w:val="22"/>
        </w:rPr>
      </w:pPr>
      <w:r>
        <w:rPr>
          <w:rFonts w:asciiTheme="minorHAnsi" w:hAnsiTheme="minorHAnsi"/>
          <w:sz w:val="22"/>
        </w:rPr>
        <w:lastRenderedPageBreak/>
        <w:t>Villawood has submitted that Requirement R9 in the Sunbury South PSP should be a guideline rather than a requirement and that the reference to</w:t>
      </w:r>
      <w:r w:rsidR="00590C41">
        <w:rPr>
          <w:rFonts w:asciiTheme="minorHAnsi" w:hAnsiTheme="minorHAnsi"/>
          <w:sz w:val="22"/>
        </w:rPr>
        <w:t xml:space="preserve"> 800 metres should be removed.  The VPA does not propose to make changes to Requirement R9 but</w:t>
      </w:r>
      <w:r w:rsidR="003C271A">
        <w:rPr>
          <w:rFonts w:asciiTheme="minorHAnsi" w:hAnsiTheme="minorHAnsi"/>
          <w:sz w:val="22"/>
        </w:rPr>
        <w:t xml:space="preserve"> will consider specific exclusions where </w:t>
      </w:r>
      <w:proofErr w:type="gramStart"/>
      <w:r w:rsidR="003C271A">
        <w:rPr>
          <w:rFonts w:asciiTheme="minorHAnsi" w:hAnsiTheme="minorHAnsi"/>
          <w:sz w:val="22"/>
        </w:rPr>
        <w:t>particular site</w:t>
      </w:r>
      <w:proofErr w:type="gramEnd"/>
      <w:r w:rsidR="003C271A">
        <w:rPr>
          <w:rFonts w:asciiTheme="minorHAnsi" w:hAnsiTheme="minorHAnsi"/>
          <w:sz w:val="22"/>
        </w:rPr>
        <w:t xml:space="preserve"> constraints make higher densities unfeasible or inappropriate. </w:t>
      </w:r>
      <w:r w:rsidR="00590C41">
        <w:rPr>
          <w:rFonts w:asciiTheme="minorHAnsi" w:hAnsiTheme="minorHAnsi"/>
          <w:sz w:val="22"/>
        </w:rPr>
        <w:t xml:space="preserve"> </w:t>
      </w:r>
    </w:p>
    <w:p w:rsidR="00700AF1" w:rsidRPr="00700AF1" w:rsidRDefault="00700AF1" w:rsidP="00700AF1">
      <w:pPr>
        <w:pStyle w:val="Heading3"/>
        <w:rPr>
          <w:rFonts w:asciiTheme="minorHAnsi" w:hAnsiTheme="minorHAnsi"/>
          <w:b/>
        </w:rPr>
      </w:pPr>
      <w:r>
        <w:rPr>
          <w:rFonts w:asciiTheme="minorHAnsi" w:hAnsiTheme="minorHAnsi"/>
          <w:b/>
        </w:rPr>
        <w:t>Densities</w:t>
      </w:r>
    </w:p>
    <w:p w:rsidR="00BA11C9" w:rsidRDefault="00782341" w:rsidP="00A97C58">
      <w:pPr>
        <w:rPr>
          <w:rFonts w:asciiTheme="minorHAnsi" w:hAnsiTheme="minorHAnsi"/>
          <w:sz w:val="22"/>
        </w:rPr>
      </w:pPr>
      <w:proofErr w:type="gramStart"/>
      <w:r>
        <w:rPr>
          <w:rFonts w:asciiTheme="minorHAnsi" w:hAnsiTheme="minorHAnsi"/>
          <w:sz w:val="22"/>
        </w:rPr>
        <w:t>With regard to</w:t>
      </w:r>
      <w:proofErr w:type="gramEnd"/>
      <w:r>
        <w:rPr>
          <w:rFonts w:asciiTheme="minorHAnsi" w:hAnsiTheme="minorHAnsi"/>
          <w:sz w:val="22"/>
        </w:rPr>
        <w:t xml:space="preserve"> dwelling densities, the PSPs:</w:t>
      </w:r>
    </w:p>
    <w:p w:rsidR="00782341" w:rsidRDefault="00782341" w:rsidP="003340E2">
      <w:pPr>
        <w:pStyle w:val="ListParagraph"/>
        <w:numPr>
          <w:ilvl w:val="0"/>
          <w:numId w:val="36"/>
        </w:numPr>
      </w:pPr>
      <w:r>
        <w:t>seek to achieve a residential development yield average of 15 dwellings per net developable hectare;</w:t>
      </w:r>
      <w:r>
        <w:rPr>
          <w:rStyle w:val="FootnoteReference"/>
        </w:rPr>
        <w:footnoteReference w:id="13"/>
      </w:r>
      <w:r>
        <w:t xml:space="preserve"> and</w:t>
      </w:r>
    </w:p>
    <w:p w:rsidR="00782341" w:rsidRPr="00782341" w:rsidRDefault="0044751D" w:rsidP="003340E2">
      <w:pPr>
        <w:pStyle w:val="ListParagraph"/>
        <w:numPr>
          <w:ilvl w:val="0"/>
          <w:numId w:val="36"/>
        </w:numPr>
      </w:pPr>
      <w:r>
        <w:t xml:space="preserve">mandate a minimum average density of 17 dwellings per net developable hectare </w:t>
      </w:r>
      <w:r w:rsidR="00C6183B">
        <w:t>within walkable catchments, where the RGZ is applied.</w:t>
      </w:r>
      <w:r w:rsidR="00C6183B">
        <w:rPr>
          <w:rStyle w:val="FootnoteReference"/>
        </w:rPr>
        <w:footnoteReference w:id="14"/>
      </w:r>
    </w:p>
    <w:p w:rsidR="00BA11C9" w:rsidRDefault="001902B4" w:rsidP="00A97C58">
      <w:pPr>
        <w:rPr>
          <w:rFonts w:asciiTheme="minorHAnsi" w:hAnsiTheme="minorHAnsi"/>
          <w:sz w:val="22"/>
        </w:rPr>
      </w:pPr>
      <w:r>
        <w:rPr>
          <w:rFonts w:asciiTheme="minorHAnsi" w:hAnsiTheme="minorHAnsi"/>
          <w:sz w:val="22"/>
        </w:rPr>
        <w:t>Accounting for proposed changes resulting from review of</w:t>
      </w:r>
      <w:r w:rsidR="00D17AB6">
        <w:rPr>
          <w:rFonts w:asciiTheme="minorHAnsi" w:hAnsiTheme="minorHAnsi"/>
          <w:sz w:val="22"/>
        </w:rPr>
        <w:t>:</w:t>
      </w:r>
    </w:p>
    <w:p w:rsidR="00D17AB6" w:rsidRDefault="0072464D" w:rsidP="003340E2">
      <w:pPr>
        <w:pStyle w:val="ListParagraph"/>
        <w:numPr>
          <w:ilvl w:val="0"/>
          <w:numId w:val="37"/>
        </w:numPr>
      </w:pPr>
      <w:r>
        <w:t xml:space="preserve">the </w:t>
      </w:r>
      <w:r w:rsidR="008E1FC2">
        <w:t>land identified as having ‘regionally significant landscape values’ in the exhibited PSPs;</w:t>
      </w:r>
      <w:r w:rsidR="008E1FC2">
        <w:rPr>
          <w:rStyle w:val="FootnoteReference"/>
        </w:rPr>
        <w:footnoteReference w:id="15"/>
      </w:r>
      <w:r w:rsidR="001F4B73">
        <w:t xml:space="preserve"> and</w:t>
      </w:r>
    </w:p>
    <w:p w:rsidR="00D17AB6" w:rsidRDefault="0072464D" w:rsidP="003340E2">
      <w:pPr>
        <w:pStyle w:val="ListParagraph"/>
        <w:numPr>
          <w:ilvl w:val="0"/>
          <w:numId w:val="37"/>
        </w:numPr>
        <w:spacing w:after="0" w:line="240" w:lineRule="auto"/>
        <w:ind w:left="714" w:hanging="357"/>
      </w:pPr>
      <w:r>
        <w:t>the drainage infrastructure requirements in the draft Drainage Services Schemes (</w:t>
      </w:r>
      <w:r>
        <w:rPr>
          <w:b/>
        </w:rPr>
        <w:t>DSS</w:t>
      </w:r>
      <w:r>
        <w:t>)</w:t>
      </w:r>
      <w:r w:rsidR="004C7C83">
        <w:t>,</w:t>
      </w:r>
      <w:r w:rsidR="004C7C83">
        <w:rPr>
          <w:rStyle w:val="FootnoteReference"/>
        </w:rPr>
        <w:footnoteReference w:id="16"/>
      </w:r>
    </w:p>
    <w:p w:rsidR="00497AEF" w:rsidRDefault="00D17AB6" w:rsidP="001F4B73">
      <w:pPr>
        <w:spacing w:before="0" w:line="360" w:lineRule="auto"/>
        <w:rPr>
          <w:rFonts w:asciiTheme="minorHAnsi" w:hAnsiTheme="minorHAnsi"/>
          <w:sz w:val="22"/>
        </w:rPr>
      </w:pPr>
      <w:r w:rsidRPr="000D5D10">
        <w:rPr>
          <w:rFonts w:asciiTheme="minorHAnsi" w:hAnsiTheme="minorHAnsi"/>
          <w:sz w:val="22"/>
        </w:rPr>
        <w:t xml:space="preserve">the </w:t>
      </w:r>
      <w:r w:rsidR="000D5D10" w:rsidRPr="000D5D10">
        <w:rPr>
          <w:rFonts w:asciiTheme="minorHAnsi" w:hAnsiTheme="minorHAnsi"/>
          <w:sz w:val="22"/>
        </w:rPr>
        <w:t xml:space="preserve">PSP areas combined have a total </w:t>
      </w:r>
      <w:r w:rsidR="000D5D10">
        <w:rPr>
          <w:rFonts w:asciiTheme="minorHAnsi" w:hAnsiTheme="minorHAnsi"/>
          <w:sz w:val="22"/>
        </w:rPr>
        <w:t xml:space="preserve">1,538 hectares of net developable area in residential zones.  </w:t>
      </w:r>
    </w:p>
    <w:p w:rsidR="00497AEF" w:rsidRDefault="000D5D10" w:rsidP="000D5D10">
      <w:pPr>
        <w:rPr>
          <w:rFonts w:asciiTheme="minorHAnsi" w:hAnsiTheme="minorHAnsi"/>
          <w:sz w:val="22"/>
        </w:rPr>
      </w:pPr>
      <w:r>
        <w:rPr>
          <w:rFonts w:asciiTheme="minorHAnsi" w:hAnsiTheme="minorHAnsi"/>
          <w:sz w:val="22"/>
        </w:rPr>
        <w:t>Of this</w:t>
      </w:r>
      <w:r w:rsidR="00497AEF">
        <w:rPr>
          <w:rFonts w:asciiTheme="minorHAnsi" w:hAnsiTheme="minorHAnsi"/>
          <w:sz w:val="22"/>
        </w:rPr>
        <w:t xml:space="preserve"> total:</w:t>
      </w:r>
    </w:p>
    <w:p w:rsidR="00497AEF" w:rsidRDefault="008F7CDD" w:rsidP="003340E2">
      <w:pPr>
        <w:pStyle w:val="ListParagraph"/>
        <w:numPr>
          <w:ilvl w:val="0"/>
          <w:numId w:val="38"/>
        </w:numPr>
      </w:pPr>
      <w:r>
        <w:t>the RGZ is proposed to be applied to 568 hectares, being 37%; and</w:t>
      </w:r>
    </w:p>
    <w:p w:rsidR="008F7CDD" w:rsidRPr="00497AEF" w:rsidRDefault="008F7CDD" w:rsidP="003340E2">
      <w:pPr>
        <w:pStyle w:val="ListParagraph"/>
        <w:numPr>
          <w:ilvl w:val="0"/>
          <w:numId w:val="38"/>
        </w:numPr>
      </w:pPr>
      <w:r>
        <w:t>the GRZ is proposed to be applied to 970 hectares, being 63%.</w:t>
      </w:r>
    </w:p>
    <w:p w:rsidR="00D32C57" w:rsidRDefault="00D32C57" w:rsidP="00A97C58">
      <w:pPr>
        <w:rPr>
          <w:rFonts w:asciiTheme="minorHAnsi" w:hAnsiTheme="minorHAnsi"/>
          <w:sz w:val="22"/>
        </w:rPr>
      </w:pPr>
      <w:r w:rsidRPr="002C2E3F">
        <w:rPr>
          <w:rFonts w:asciiTheme="minorHAnsi" w:hAnsiTheme="minorHAnsi"/>
          <w:sz w:val="22"/>
        </w:rPr>
        <w:t xml:space="preserve">An average of 15 dwellings </w:t>
      </w:r>
      <w:r w:rsidR="008F7CDD" w:rsidRPr="002C2E3F">
        <w:rPr>
          <w:rFonts w:asciiTheme="minorHAnsi" w:hAnsiTheme="minorHAnsi"/>
          <w:sz w:val="22"/>
        </w:rPr>
        <w:t xml:space="preserve">per hectare </w:t>
      </w:r>
      <w:r w:rsidRPr="002C2E3F">
        <w:rPr>
          <w:rFonts w:asciiTheme="minorHAnsi" w:hAnsiTheme="minorHAnsi"/>
          <w:sz w:val="22"/>
        </w:rPr>
        <w:t>across the two precincts would result in 23,055 dwellings</w:t>
      </w:r>
      <w:r w:rsidR="00657B67" w:rsidRPr="002C2E3F">
        <w:rPr>
          <w:rFonts w:asciiTheme="minorHAnsi" w:hAnsiTheme="minorHAnsi"/>
          <w:sz w:val="22"/>
        </w:rPr>
        <w:t xml:space="preserve"> new dwellings</w:t>
      </w:r>
      <w:r w:rsidRPr="002C2E3F">
        <w:rPr>
          <w:rFonts w:asciiTheme="minorHAnsi" w:hAnsiTheme="minorHAnsi"/>
          <w:sz w:val="22"/>
        </w:rPr>
        <w:t xml:space="preserve">. </w:t>
      </w:r>
      <w:r w:rsidR="00657B67" w:rsidRPr="002C2E3F">
        <w:rPr>
          <w:rFonts w:asciiTheme="minorHAnsi" w:hAnsiTheme="minorHAnsi"/>
          <w:sz w:val="22"/>
        </w:rPr>
        <w:t xml:space="preserve"> </w:t>
      </w:r>
      <w:r w:rsidRPr="002C2E3F">
        <w:rPr>
          <w:rFonts w:asciiTheme="minorHAnsi" w:hAnsiTheme="minorHAnsi"/>
          <w:sz w:val="22"/>
        </w:rPr>
        <w:t>The delivery of 17 dwellings p</w:t>
      </w:r>
      <w:r w:rsidR="008F7CDD" w:rsidRPr="002C2E3F">
        <w:rPr>
          <w:rFonts w:asciiTheme="minorHAnsi" w:hAnsiTheme="minorHAnsi"/>
          <w:sz w:val="22"/>
        </w:rPr>
        <w:t>er hectare</w:t>
      </w:r>
      <w:r w:rsidRPr="002C2E3F">
        <w:rPr>
          <w:rFonts w:asciiTheme="minorHAnsi" w:hAnsiTheme="minorHAnsi"/>
          <w:sz w:val="22"/>
        </w:rPr>
        <w:t xml:space="preserve"> in the 568ha of RGZ land (totalling 9,656 dwellings) would result in the remainder of the land requiring a density of 13.8 dwellings </w:t>
      </w:r>
      <w:r w:rsidR="002C2E3F" w:rsidRPr="002C2E3F">
        <w:rPr>
          <w:rFonts w:asciiTheme="minorHAnsi" w:hAnsiTheme="minorHAnsi"/>
          <w:sz w:val="22"/>
        </w:rPr>
        <w:t>per hectare.</w:t>
      </w:r>
      <w:r w:rsidRPr="00A97C58">
        <w:rPr>
          <w:rFonts w:asciiTheme="minorHAnsi" w:hAnsiTheme="minorHAnsi"/>
          <w:sz w:val="22"/>
        </w:rPr>
        <w:t xml:space="preserve"> </w:t>
      </w:r>
    </w:p>
    <w:p w:rsidR="00D64DAE" w:rsidRDefault="00D64DAE" w:rsidP="00A97C58">
      <w:pPr>
        <w:rPr>
          <w:rFonts w:asciiTheme="minorHAnsi" w:hAnsiTheme="minorHAnsi"/>
          <w:sz w:val="22"/>
        </w:rPr>
      </w:pPr>
      <w:r>
        <w:rPr>
          <w:rFonts w:asciiTheme="minorHAnsi" w:hAnsiTheme="minorHAnsi"/>
          <w:sz w:val="22"/>
        </w:rPr>
        <w:t>The potential purchasers of 280 Lancefield Road have submitted that the density requirement within walkable catchments should be reduced from 17 to 16.5 dwellings per net developable area.  The VPA does not support this change and considers there will be sufficient capacity to provide for a range of densities across the broader walkable catchment area.</w:t>
      </w:r>
    </w:p>
    <w:p w:rsidR="0094161A" w:rsidRDefault="00D64DAE" w:rsidP="00A97C58">
      <w:pPr>
        <w:rPr>
          <w:rFonts w:asciiTheme="minorHAnsi" w:hAnsiTheme="minorHAnsi"/>
          <w:sz w:val="22"/>
        </w:rPr>
      </w:pPr>
      <w:r>
        <w:rPr>
          <w:rFonts w:asciiTheme="minorHAnsi" w:hAnsiTheme="minorHAnsi"/>
          <w:sz w:val="22"/>
        </w:rPr>
        <w:t xml:space="preserve">The Villawood submission seeks acknowledgement that 15 dwellings per net developable area will not be achievable across the entire PSP area.  The VPA considers this to be an appropriate average density target for the PSPs and acknowledges there will be higher and lower density outcomes across various parts of the precincts.  </w:t>
      </w:r>
    </w:p>
    <w:p w:rsidR="008C5F91" w:rsidRPr="00A97C58" w:rsidRDefault="008C5F91" w:rsidP="00A97C58">
      <w:pPr>
        <w:rPr>
          <w:rFonts w:asciiTheme="minorHAnsi" w:hAnsiTheme="minorHAnsi"/>
          <w:sz w:val="22"/>
        </w:rPr>
      </w:pPr>
      <w:r>
        <w:rPr>
          <w:rFonts w:asciiTheme="minorHAnsi" w:hAnsiTheme="minorHAnsi"/>
          <w:sz w:val="22"/>
        </w:rPr>
        <w:lastRenderedPageBreak/>
        <w:t xml:space="preserve">Mr Dance’s submission expresses concern regarding the visual impact associated with housing density.  </w:t>
      </w:r>
      <w:r w:rsidR="00257A77">
        <w:rPr>
          <w:rFonts w:asciiTheme="minorHAnsi" w:hAnsiTheme="minorHAnsi"/>
          <w:sz w:val="22"/>
        </w:rPr>
        <w:t xml:space="preserve">The VPA notes the PSPs seek lower densities than what is typical sought in Melbourne’s growth areas and have been tailored to respond to the unique landscape features and township character in Sunbury. </w:t>
      </w:r>
    </w:p>
    <w:p w:rsidR="003F2ED5" w:rsidRPr="00671B05" w:rsidRDefault="000C3D76" w:rsidP="0076427E">
      <w:pPr>
        <w:pStyle w:val="Heading2"/>
        <w:rPr>
          <w:rFonts w:asciiTheme="minorHAnsi" w:hAnsiTheme="minorHAnsi"/>
          <w:b/>
        </w:rPr>
      </w:pPr>
      <w:bookmarkStart w:id="5" w:name="_Toc491027642"/>
      <w:r w:rsidRPr="00671B05">
        <w:rPr>
          <w:rFonts w:asciiTheme="minorHAnsi" w:hAnsiTheme="minorHAnsi"/>
          <w:b/>
        </w:rPr>
        <w:t>Cultural heritage assessment</w:t>
      </w:r>
      <w:r w:rsidR="00EE390B" w:rsidRPr="00671B05">
        <w:rPr>
          <w:rFonts w:asciiTheme="minorHAnsi" w:hAnsiTheme="minorHAnsi"/>
          <w:b/>
        </w:rPr>
        <w:t>s</w:t>
      </w:r>
      <w:bookmarkEnd w:id="5"/>
    </w:p>
    <w:p w:rsidR="00093464" w:rsidRDefault="00093464" w:rsidP="00093464">
      <w:pPr>
        <w:rPr>
          <w:rFonts w:asciiTheme="minorHAnsi" w:hAnsiTheme="minorHAnsi"/>
          <w:i/>
          <w:sz w:val="22"/>
          <w:lang w:eastAsia="en-US"/>
        </w:rPr>
      </w:pPr>
      <w:r>
        <w:rPr>
          <w:rFonts w:asciiTheme="minorHAnsi" w:hAnsiTheme="minorHAnsi"/>
          <w:i/>
          <w:sz w:val="22"/>
          <w:lang w:eastAsia="en-US"/>
        </w:rPr>
        <w:t>Sunbury South PSP (C207) – Subm</w:t>
      </w:r>
      <w:r w:rsidR="00BC0B25">
        <w:rPr>
          <w:rFonts w:asciiTheme="minorHAnsi" w:hAnsiTheme="minorHAnsi"/>
          <w:i/>
          <w:sz w:val="22"/>
          <w:lang w:eastAsia="en-US"/>
        </w:rPr>
        <w:t>ission</w:t>
      </w:r>
      <w:r w:rsidR="00AD3F2B">
        <w:rPr>
          <w:rFonts w:asciiTheme="minorHAnsi" w:hAnsiTheme="minorHAnsi"/>
          <w:i/>
          <w:sz w:val="22"/>
          <w:lang w:eastAsia="en-US"/>
        </w:rPr>
        <w:t>s 24 (E Brogan</w:t>
      </w:r>
      <w:r w:rsidR="001178D3">
        <w:rPr>
          <w:rFonts w:asciiTheme="minorHAnsi" w:hAnsiTheme="minorHAnsi"/>
          <w:i/>
          <w:sz w:val="22"/>
          <w:lang w:eastAsia="en-US"/>
        </w:rPr>
        <w:t>);</w:t>
      </w:r>
      <w:r w:rsidR="00BC0B25">
        <w:rPr>
          <w:rFonts w:asciiTheme="minorHAnsi" w:hAnsiTheme="minorHAnsi"/>
          <w:i/>
          <w:sz w:val="22"/>
          <w:lang w:eastAsia="en-US"/>
        </w:rPr>
        <w:t xml:space="preserve"> 57 (Hume City Council)</w:t>
      </w:r>
    </w:p>
    <w:p w:rsidR="00BC0B25" w:rsidRDefault="00BC0B25" w:rsidP="00BC0B25">
      <w:pPr>
        <w:rPr>
          <w:rFonts w:asciiTheme="minorHAnsi" w:hAnsiTheme="minorHAnsi"/>
          <w:i/>
          <w:sz w:val="22"/>
          <w:lang w:eastAsia="en-US"/>
        </w:rPr>
      </w:pPr>
      <w:r>
        <w:rPr>
          <w:rFonts w:asciiTheme="minorHAnsi" w:hAnsiTheme="minorHAnsi"/>
          <w:i/>
          <w:sz w:val="22"/>
          <w:lang w:eastAsia="en-US"/>
        </w:rPr>
        <w:t>Lancefield Road PSP (C208) – Submission</w:t>
      </w:r>
      <w:r w:rsidR="008F2647">
        <w:rPr>
          <w:rFonts w:asciiTheme="minorHAnsi" w:hAnsiTheme="minorHAnsi"/>
          <w:i/>
          <w:sz w:val="22"/>
          <w:lang w:eastAsia="en-US"/>
        </w:rPr>
        <w:t>s</w:t>
      </w:r>
      <w:r w:rsidR="00AD3F2B">
        <w:rPr>
          <w:rFonts w:asciiTheme="minorHAnsi" w:hAnsiTheme="minorHAnsi"/>
          <w:i/>
          <w:sz w:val="22"/>
          <w:lang w:eastAsia="en-US"/>
        </w:rPr>
        <w:t xml:space="preserve"> 17 (E Brogan</w:t>
      </w:r>
      <w:r w:rsidR="001178D3">
        <w:rPr>
          <w:rFonts w:asciiTheme="minorHAnsi" w:hAnsiTheme="minorHAnsi"/>
          <w:i/>
          <w:sz w:val="22"/>
          <w:lang w:eastAsia="en-US"/>
        </w:rPr>
        <w:t>);</w:t>
      </w:r>
      <w:r w:rsidR="008F2647">
        <w:rPr>
          <w:rFonts w:asciiTheme="minorHAnsi" w:hAnsiTheme="minorHAnsi"/>
          <w:i/>
          <w:sz w:val="22"/>
          <w:lang w:eastAsia="en-US"/>
        </w:rPr>
        <w:t xml:space="preserve"> 20 (D Manning);</w:t>
      </w:r>
      <w:r>
        <w:rPr>
          <w:rFonts w:asciiTheme="minorHAnsi" w:hAnsiTheme="minorHAnsi"/>
          <w:i/>
          <w:sz w:val="22"/>
          <w:lang w:eastAsia="en-US"/>
        </w:rPr>
        <w:t xml:space="preserve"> </w:t>
      </w:r>
      <w:r w:rsidR="000517A0">
        <w:rPr>
          <w:rFonts w:asciiTheme="minorHAnsi" w:hAnsiTheme="minorHAnsi"/>
          <w:i/>
          <w:sz w:val="22"/>
          <w:lang w:eastAsia="en-US"/>
        </w:rPr>
        <w:t xml:space="preserve">67 (A </w:t>
      </w:r>
      <w:proofErr w:type="spellStart"/>
      <w:r w:rsidR="000517A0">
        <w:rPr>
          <w:rFonts w:asciiTheme="minorHAnsi" w:hAnsiTheme="minorHAnsi"/>
          <w:i/>
          <w:sz w:val="22"/>
          <w:lang w:eastAsia="en-US"/>
        </w:rPr>
        <w:t>Menhennit</w:t>
      </w:r>
      <w:proofErr w:type="spellEnd"/>
      <w:r w:rsidR="000517A0">
        <w:rPr>
          <w:rFonts w:asciiTheme="minorHAnsi" w:hAnsiTheme="minorHAnsi"/>
          <w:i/>
          <w:sz w:val="22"/>
          <w:lang w:eastAsia="en-US"/>
        </w:rPr>
        <w:t xml:space="preserve">); </w:t>
      </w:r>
      <w:r>
        <w:rPr>
          <w:rFonts w:asciiTheme="minorHAnsi" w:hAnsiTheme="minorHAnsi"/>
          <w:i/>
          <w:sz w:val="22"/>
          <w:lang w:eastAsia="en-US"/>
        </w:rPr>
        <w:t>54 (Hume City Council)</w:t>
      </w:r>
      <w:r w:rsidR="007555EF">
        <w:rPr>
          <w:rFonts w:asciiTheme="minorHAnsi" w:hAnsiTheme="minorHAnsi"/>
          <w:i/>
          <w:sz w:val="22"/>
          <w:lang w:eastAsia="en-US"/>
        </w:rPr>
        <w:t>; 84 (T Dance)</w:t>
      </w:r>
    </w:p>
    <w:p w:rsidR="00262896" w:rsidRDefault="00262896" w:rsidP="00262896">
      <w:pPr>
        <w:rPr>
          <w:rFonts w:asciiTheme="minorHAnsi" w:hAnsiTheme="minorHAnsi"/>
          <w:sz w:val="22"/>
        </w:rPr>
      </w:pPr>
      <w:r>
        <w:rPr>
          <w:rFonts w:asciiTheme="minorHAnsi" w:hAnsiTheme="minorHAnsi"/>
          <w:sz w:val="22"/>
        </w:rPr>
        <w:t xml:space="preserve">The submissions received in response to exhibition of the Amendments refer to </w:t>
      </w:r>
      <w:proofErr w:type="gramStart"/>
      <w:r>
        <w:rPr>
          <w:rFonts w:asciiTheme="minorHAnsi" w:hAnsiTheme="minorHAnsi"/>
          <w:sz w:val="22"/>
        </w:rPr>
        <w:t>a number of</w:t>
      </w:r>
      <w:proofErr w:type="gramEnd"/>
      <w:r>
        <w:rPr>
          <w:rFonts w:asciiTheme="minorHAnsi" w:hAnsiTheme="minorHAnsi"/>
          <w:sz w:val="22"/>
        </w:rPr>
        <w:t xml:space="preserve"> heritage sites in the precincts, </w:t>
      </w:r>
      <w:r w:rsidR="00C41A6F">
        <w:rPr>
          <w:rFonts w:asciiTheme="minorHAnsi" w:hAnsiTheme="minorHAnsi"/>
          <w:sz w:val="22"/>
        </w:rPr>
        <w:t>in particular:</w:t>
      </w:r>
    </w:p>
    <w:p w:rsidR="00C41A6F" w:rsidRDefault="00C41A6F" w:rsidP="003340E2">
      <w:pPr>
        <w:pStyle w:val="ListParagraph"/>
        <w:numPr>
          <w:ilvl w:val="0"/>
          <w:numId w:val="41"/>
        </w:numPr>
      </w:pPr>
      <w:r>
        <w:t>the Former Constitution Hotel, 675 Sunbury Road, Sunbury (HO358), discussed further below;</w:t>
      </w:r>
    </w:p>
    <w:p w:rsidR="00C41A6F" w:rsidRDefault="00C41A6F" w:rsidP="003340E2">
      <w:pPr>
        <w:pStyle w:val="ListParagraph"/>
        <w:numPr>
          <w:ilvl w:val="0"/>
          <w:numId w:val="41"/>
        </w:numPr>
      </w:pPr>
      <w:r>
        <w:t xml:space="preserve">Cannon Gully, eastern escarpment of Jacksons Creek near </w:t>
      </w:r>
      <w:proofErr w:type="spellStart"/>
      <w:r>
        <w:t>Rupertswood</w:t>
      </w:r>
      <w:proofErr w:type="spellEnd"/>
      <w:r>
        <w:t>, Sunbury (HO366);</w:t>
      </w:r>
    </w:p>
    <w:p w:rsidR="00C41A6F" w:rsidRDefault="00C41A6F" w:rsidP="003340E2">
      <w:pPr>
        <w:pStyle w:val="ListParagraph"/>
        <w:numPr>
          <w:ilvl w:val="0"/>
          <w:numId w:val="41"/>
        </w:numPr>
      </w:pPr>
      <w:r>
        <w:t>Emu Bottom, 410 Racecourse Road, Sunbury</w:t>
      </w:r>
      <w:r w:rsidR="00391DCB">
        <w:t xml:space="preserve"> (HO53); and</w:t>
      </w:r>
    </w:p>
    <w:p w:rsidR="00391DCB" w:rsidRPr="00C41A6F" w:rsidRDefault="00DE5E21" w:rsidP="003340E2">
      <w:pPr>
        <w:pStyle w:val="ListParagraph"/>
        <w:numPr>
          <w:ilvl w:val="0"/>
          <w:numId w:val="41"/>
        </w:numPr>
      </w:pPr>
      <w:r>
        <w:t>the Sunbury Earth Rings</w:t>
      </w:r>
      <w:r w:rsidR="00583B36">
        <w:t xml:space="preserve"> (HO200, </w:t>
      </w:r>
      <w:r w:rsidR="007F17C1">
        <w:t>HO201 and HO202)</w:t>
      </w:r>
      <w:r>
        <w:t>.</w:t>
      </w:r>
    </w:p>
    <w:p w:rsidR="00C41A6F" w:rsidRPr="00C41A6F" w:rsidRDefault="00C41A6F" w:rsidP="00262896">
      <w:pPr>
        <w:rPr>
          <w:rFonts w:asciiTheme="minorHAnsi" w:hAnsiTheme="minorHAnsi"/>
          <w:sz w:val="22"/>
        </w:rPr>
      </w:pPr>
      <w:r>
        <w:rPr>
          <w:rFonts w:asciiTheme="minorHAnsi" w:hAnsiTheme="minorHAnsi"/>
          <w:sz w:val="22"/>
        </w:rPr>
        <w:t xml:space="preserve">The </w:t>
      </w:r>
      <w:r w:rsidR="00B95EE3">
        <w:rPr>
          <w:rFonts w:asciiTheme="minorHAnsi" w:hAnsiTheme="minorHAnsi"/>
          <w:sz w:val="22"/>
        </w:rPr>
        <w:t>response</w:t>
      </w:r>
      <w:r w:rsidR="00413000">
        <w:rPr>
          <w:rFonts w:asciiTheme="minorHAnsi" w:hAnsiTheme="minorHAnsi"/>
          <w:sz w:val="22"/>
        </w:rPr>
        <w:t xml:space="preserve"> </w:t>
      </w:r>
      <w:r w:rsidR="008F2F62">
        <w:rPr>
          <w:rFonts w:asciiTheme="minorHAnsi" w:hAnsiTheme="minorHAnsi"/>
          <w:sz w:val="22"/>
        </w:rPr>
        <w:t>in</w:t>
      </w:r>
      <w:r w:rsidR="00036FCC">
        <w:rPr>
          <w:rFonts w:asciiTheme="minorHAnsi" w:hAnsiTheme="minorHAnsi"/>
          <w:sz w:val="22"/>
        </w:rPr>
        <w:t xml:space="preserve"> </w:t>
      </w:r>
      <w:r w:rsidR="00B95EE3">
        <w:rPr>
          <w:rFonts w:asciiTheme="minorHAnsi" w:hAnsiTheme="minorHAnsi"/>
          <w:sz w:val="22"/>
        </w:rPr>
        <w:t>the Amendments to heritage matters</w:t>
      </w:r>
      <w:r>
        <w:rPr>
          <w:rFonts w:asciiTheme="minorHAnsi" w:hAnsiTheme="minorHAnsi"/>
          <w:sz w:val="22"/>
        </w:rPr>
        <w:t xml:space="preserve"> has been informed by the following reports </w:t>
      </w:r>
      <w:r w:rsidRPr="00C41A6F">
        <w:rPr>
          <w:rFonts w:asciiTheme="minorHAnsi" w:hAnsiTheme="minorHAnsi"/>
          <w:sz w:val="22"/>
        </w:rPr>
        <w:t>undertaken in respect of each PSP</w:t>
      </w:r>
      <w:r w:rsidR="00CC12D7">
        <w:rPr>
          <w:rFonts w:asciiTheme="minorHAnsi" w:hAnsiTheme="minorHAnsi"/>
          <w:sz w:val="22"/>
        </w:rPr>
        <w:t xml:space="preserve"> by </w:t>
      </w:r>
      <w:r w:rsidR="00D57446">
        <w:rPr>
          <w:rFonts w:asciiTheme="minorHAnsi" w:hAnsiTheme="minorHAnsi"/>
          <w:sz w:val="22"/>
        </w:rPr>
        <w:t>heritage</w:t>
      </w:r>
      <w:r w:rsidR="00CC12D7">
        <w:rPr>
          <w:rFonts w:asciiTheme="minorHAnsi" w:hAnsiTheme="minorHAnsi"/>
          <w:sz w:val="22"/>
        </w:rPr>
        <w:t xml:space="preserve"> consultants on behalf of the VPA</w:t>
      </w:r>
      <w:r w:rsidRPr="00C41A6F">
        <w:rPr>
          <w:rFonts w:asciiTheme="minorHAnsi" w:hAnsiTheme="minorHAnsi"/>
          <w:sz w:val="22"/>
        </w:rPr>
        <w:t>:</w:t>
      </w:r>
    </w:p>
    <w:p w:rsidR="00C536BD" w:rsidRPr="00C41A6F" w:rsidRDefault="00C536BD" w:rsidP="00C536BD">
      <w:pPr>
        <w:pStyle w:val="ListParagraph"/>
        <w:numPr>
          <w:ilvl w:val="0"/>
          <w:numId w:val="14"/>
        </w:numPr>
        <w:spacing w:after="120"/>
      </w:pPr>
      <w:r w:rsidRPr="00C41A6F">
        <w:rPr>
          <w:i/>
        </w:rPr>
        <w:t>Post-Contact Heritage Assessment</w:t>
      </w:r>
      <w:r w:rsidRPr="00C41A6F">
        <w:t xml:space="preserve"> (Context, December 2014)</w:t>
      </w:r>
      <w:r>
        <w:t>; and</w:t>
      </w:r>
    </w:p>
    <w:p w:rsidR="00262896" w:rsidRPr="00C41A6F" w:rsidRDefault="00262896" w:rsidP="00262896">
      <w:pPr>
        <w:pStyle w:val="ListParagraph"/>
        <w:numPr>
          <w:ilvl w:val="0"/>
          <w:numId w:val="14"/>
        </w:numPr>
        <w:spacing w:after="120"/>
      </w:pPr>
      <w:r w:rsidRPr="00C41A6F">
        <w:rPr>
          <w:i/>
        </w:rPr>
        <w:t>Aboriginal Heritage Impact Assessment</w:t>
      </w:r>
      <w:r w:rsidRPr="00C41A6F">
        <w:t xml:space="preserve"> (Heritage Insight, August 2015)</w:t>
      </w:r>
      <w:r w:rsidR="00C536BD">
        <w:t>.</w:t>
      </w:r>
    </w:p>
    <w:p w:rsidR="004048E4" w:rsidRDefault="0015037E" w:rsidP="00A76B8A">
      <w:pPr>
        <w:spacing w:after="120"/>
        <w:rPr>
          <w:rFonts w:asciiTheme="minorHAnsi" w:hAnsiTheme="minorHAnsi"/>
          <w:sz w:val="22"/>
        </w:rPr>
      </w:pPr>
      <w:r w:rsidRPr="0015037E">
        <w:rPr>
          <w:rFonts w:asciiTheme="minorHAnsi" w:hAnsiTheme="minorHAnsi"/>
          <w:sz w:val="22"/>
        </w:rPr>
        <w:t xml:space="preserve">The VPA </w:t>
      </w:r>
      <w:r w:rsidR="00BB387B">
        <w:rPr>
          <w:rFonts w:asciiTheme="minorHAnsi" w:hAnsiTheme="minorHAnsi"/>
          <w:sz w:val="22"/>
        </w:rPr>
        <w:t xml:space="preserve">notes that </w:t>
      </w:r>
      <w:proofErr w:type="gramStart"/>
      <w:r w:rsidR="00BB387B">
        <w:rPr>
          <w:rFonts w:asciiTheme="minorHAnsi" w:hAnsiTheme="minorHAnsi"/>
          <w:sz w:val="22"/>
        </w:rPr>
        <w:t>a number of</w:t>
      </w:r>
      <w:proofErr w:type="gramEnd"/>
      <w:r w:rsidR="00BB387B">
        <w:rPr>
          <w:rFonts w:asciiTheme="minorHAnsi" w:hAnsiTheme="minorHAnsi"/>
          <w:sz w:val="22"/>
        </w:rPr>
        <w:t xml:space="preserve"> heritage sites were shown in incorrect locations on plans in the exhibited PSPs, which will be corrected.</w:t>
      </w:r>
    </w:p>
    <w:p w:rsidR="00BB387B" w:rsidRDefault="00BB387B" w:rsidP="00A76B8A">
      <w:pPr>
        <w:spacing w:after="120"/>
        <w:rPr>
          <w:rFonts w:asciiTheme="minorHAnsi" w:hAnsiTheme="minorHAnsi"/>
          <w:sz w:val="22"/>
        </w:rPr>
      </w:pPr>
      <w:r>
        <w:rPr>
          <w:rFonts w:asciiTheme="minorHAnsi" w:hAnsiTheme="minorHAnsi"/>
          <w:sz w:val="22"/>
        </w:rPr>
        <w:t xml:space="preserve">The VPA further notes that Council is currently undertaking an assessment of heritage sites </w:t>
      </w:r>
      <w:r w:rsidR="00757C7F">
        <w:rPr>
          <w:rFonts w:asciiTheme="minorHAnsi" w:hAnsiTheme="minorHAnsi"/>
          <w:sz w:val="22"/>
        </w:rPr>
        <w:t xml:space="preserve">subject to the Heritage Overlay </w:t>
      </w:r>
      <w:r>
        <w:rPr>
          <w:rFonts w:asciiTheme="minorHAnsi" w:hAnsiTheme="minorHAnsi"/>
          <w:sz w:val="22"/>
        </w:rPr>
        <w:t xml:space="preserve">in </w:t>
      </w:r>
      <w:r w:rsidR="00060421">
        <w:rPr>
          <w:rFonts w:asciiTheme="minorHAnsi" w:hAnsiTheme="minorHAnsi"/>
          <w:sz w:val="22"/>
        </w:rPr>
        <w:t>its</w:t>
      </w:r>
      <w:r>
        <w:rPr>
          <w:rFonts w:asciiTheme="minorHAnsi" w:hAnsiTheme="minorHAnsi"/>
          <w:sz w:val="22"/>
        </w:rPr>
        <w:t xml:space="preserve"> munici</w:t>
      </w:r>
      <w:r w:rsidR="00757C7F">
        <w:rPr>
          <w:rFonts w:asciiTheme="minorHAnsi" w:hAnsiTheme="minorHAnsi"/>
          <w:sz w:val="22"/>
        </w:rPr>
        <w:t>pality</w:t>
      </w:r>
      <w:r>
        <w:rPr>
          <w:rFonts w:asciiTheme="minorHAnsi" w:hAnsiTheme="minorHAnsi"/>
          <w:sz w:val="22"/>
        </w:rPr>
        <w:t>.</w:t>
      </w:r>
      <w:r w:rsidR="0041101F">
        <w:rPr>
          <w:rFonts w:asciiTheme="minorHAnsi" w:hAnsiTheme="minorHAnsi"/>
          <w:sz w:val="22"/>
        </w:rPr>
        <w:t xml:space="preserve">  The VPA understands the purpose of this assessment is to more accurately map and apply the curtilage to heritage sites, in recognition that many of the sites are currently protected by relatively large circles, which do not accurately reflect the heritage features or values.  The VPA </w:t>
      </w:r>
      <w:r w:rsidR="008845C1">
        <w:rPr>
          <w:rFonts w:asciiTheme="minorHAnsi" w:hAnsiTheme="minorHAnsi"/>
          <w:sz w:val="22"/>
        </w:rPr>
        <w:t xml:space="preserve">acknowledges that this work may result in changes to the extent of the Heritage Overlays within the precincts, but this will not be reflected in these Amendments. </w:t>
      </w:r>
      <w:r w:rsidR="00814ADD">
        <w:rPr>
          <w:rFonts w:asciiTheme="minorHAnsi" w:hAnsiTheme="minorHAnsi"/>
          <w:sz w:val="22"/>
        </w:rPr>
        <w:t xml:space="preserve">  </w:t>
      </w:r>
      <w:r>
        <w:rPr>
          <w:rFonts w:asciiTheme="minorHAnsi" w:hAnsiTheme="minorHAnsi"/>
          <w:sz w:val="22"/>
        </w:rPr>
        <w:t xml:space="preserve">  </w:t>
      </w:r>
    </w:p>
    <w:p w:rsidR="00E45054" w:rsidRPr="00E45054" w:rsidRDefault="00E45054" w:rsidP="00E45054">
      <w:pPr>
        <w:pStyle w:val="Heading3"/>
        <w:rPr>
          <w:rFonts w:asciiTheme="minorHAnsi" w:hAnsiTheme="minorHAnsi"/>
          <w:b/>
        </w:rPr>
      </w:pPr>
      <w:r w:rsidRPr="00E45054">
        <w:rPr>
          <w:rFonts w:asciiTheme="minorHAnsi" w:hAnsiTheme="minorHAnsi"/>
          <w:b/>
        </w:rPr>
        <w:t xml:space="preserve">Post-contact cultural heritage </w:t>
      </w:r>
    </w:p>
    <w:p w:rsidR="009C2BC0" w:rsidRDefault="008A785E" w:rsidP="009C2BC0">
      <w:pPr>
        <w:rPr>
          <w:rFonts w:asciiTheme="minorHAnsi" w:hAnsiTheme="minorHAnsi"/>
          <w:sz w:val="22"/>
        </w:rPr>
      </w:pPr>
      <w:r>
        <w:rPr>
          <w:rFonts w:asciiTheme="minorHAnsi" w:hAnsiTheme="minorHAnsi"/>
          <w:sz w:val="22"/>
        </w:rPr>
        <w:t xml:space="preserve">The </w:t>
      </w:r>
      <w:r>
        <w:rPr>
          <w:rFonts w:asciiTheme="minorHAnsi" w:hAnsiTheme="minorHAnsi"/>
          <w:i/>
          <w:sz w:val="22"/>
        </w:rPr>
        <w:t xml:space="preserve">Post-Contact Heritage Assessments </w:t>
      </w:r>
      <w:r>
        <w:rPr>
          <w:rFonts w:asciiTheme="minorHAnsi" w:hAnsiTheme="minorHAnsi"/>
          <w:sz w:val="22"/>
        </w:rPr>
        <w:t>were prepared by Context</w:t>
      </w:r>
      <w:r w:rsidR="007F3E2D">
        <w:rPr>
          <w:rFonts w:asciiTheme="minorHAnsi" w:hAnsiTheme="minorHAnsi"/>
          <w:sz w:val="22"/>
        </w:rPr>
        <w:t xml:space="preserve"> based on desktop and field assessments, and</w:t>
      </w:r>
      <w:r>
        <w:rPr>
          <w:rFonts w:asciiTheme="minorHAnsi" w:hAnsiTheme="minorHAnsi"/>
          <w:sz w:val="22"/>
        </w:rPr>
        <w:t xml:space="preserve"> consultation with </w:t>
      </w:r>
      <w:r w:rsidR="007F3E2D">
        <w:rPr>
          <w:rFonts w:asciiTheme="minorHAnsi" w:hAnsiTheme="minorHAnsi"/>
          <w:sz w:val="22"/>
        </w:rPr>
        <w:t>Heritage Victoria and Council.  The purpose of the assessments was to identify any post-contact (non-indigenous) cultural heritage sites within the precincts to inform land use planning for the PSPs.</w:t>
      </w:r>
    </w:p>
    <w:p w:rsidR="001A573A" w:rsidRDefault="007D2877" w:rsidP="009C2BC0">
      <w:pPr>
        <w:rPr>
          <w:rFonts w:asciiTheme="minorHAnsi" w:hAnsiTheme="minorHAnsi"/>
          <w:sz w:val="22"/>
        </w:rPr>
      </w:pPr>
      <w:r>
        <w:rPr>
          <w:rFonts w:asciiTheme="minorHAnsi" w:hAnsiTheme="minorHAnsi"/>
          <w:sz w:val="22"/>
        </w:rPr>
        <w:lastRenderedPageBreak/>
        <w:t xml:space="preserve">The recommendations </w:t>
      </w:r>
      <w:r w:rsidR="001A573A">
        <w:rPr>
          <w:rFonts w:asciiTheme="minorHAnsi" w:hAnsiTheme="minorHAnsi"/>
          <w:sz w:val="22"/>
        </w:rPr>
        <w:t xml:space="preserve">in the resulting reports </w:t>
      </w:r>
      <w:r w:rsidR="00D314A7">
        <w:rPr>
          <w:rFonts w:asciiTheme="minorHAnsi" w:hAnsiTheme="minorHAnsi"/>
          <w:sz w:val="22"/>
        </w:rPr>
        <w:t>related</w:t>
      </w:r>
      <w:r w:rsidR="001A573A">
        <w:rPr>
          <w:rFonts w:asciiTheme="minorHAnsi" w:hAnsiTheme="minorHAnsi"/>
          <w:sz w:val="22"/>
        </w:rPr>
        <w:t xml:space="preserve"> to the settings of heritage properties, the construction of the northern crossing of Jacksons Creek, and development within cultural landscapes.</w:t>
      </w:r>
    </w:p>
    <w:p w:rsidR="004D56AF" w:rsidRDefault="004D56AF" w:rsidP="009C2BC0">
      <w:pPr>
        <w:rPr>
          <w:rFonts w:asciiTheme="minorHAnsi" w:hAnsiTheme="minorHAnsi"/>
          <w:sz w:val="22"/>
        </w:rPr>
      </w:pPr>
      <w:r>
        <w:rPr>
          <w:rFonts w:asciiTheme="minorHAnsi" w:hAnsiTheme="minorHAnsi"/>
          <w:sz w:val="22"/>
        </w:rPr>
        <w:t xml:space="preserve">The </w:t>
      </w:r>
      <w:r w:rsidR="008056D7">
        <w:rPr>
          <w:rFonts w:asciiTheme="minorHAnsi" w:hAnsiTheme="minorHAnsi"/>
          <w:sz w:val="22"/>
        </w:rPr>
        <w:t>Amendments</w:t>
      </w:r>
      <w:r>
        <w:rPr>
          <w:rFonts w:asciiTheme="minorHAnsi" w:hAnsiTheme="minorHAnsi"/>
          <w:sz w:val="22"/>
        </w:rPr>
        <w:t xml:space="preserve"> address sites subject to the Heritage Overlay, sites of potential heritage value and the northern crossing</w:t>
      </w:r>
      <w:r w:rsidR="00824B8D">
        <w:rPr>
          <w:rFonts w:asciiTheme="minorHAnsi" w:hAnsiTheme="minorHAnsi"/>
          <w:sz w:val="22"/>
        </w:rPr>
        <w:t xml:space="preserve"> in the manner described below.</w:t>
      </w:r>
    </w:p>
    <w:p w:rsidR="00857674" w:rsidRPr="00857674" w:rsidRDefault="00857674" w:rsidP="009C2BC0">
      <w:pPr>
        <w:rPr>
          <w:rFonts w:asciiTheme="minorHAnsi" w:hAnsiTheme="minorHAnsi"/>
          <w:b/>
          <w:i/>
          <w:sz w:val="22"/>
        </w:rPr>
      </w:pPr>
      <w:r>
        <w:rPr>
          <w:rFonts w:asciiTheme="minorHAnsi" w:hAnsiTheme="minorHAnsi"/>
          <w:b/>
          <w:i/>
          <w:sz w:val="22"/>
        </w:rPr>
        <w:t>Sites within a Heritage Overlay</w:t>
      </w:r>
    </w:p>
    <w:p w:rsidR="004C1548" w:rsidRDefault="006006E0" w:rsidP="004D56AF">
      <w:pPr>
        <w:rPr>
          <w:rFonts w:asciiTheme="minorHAnsi" w:hAnsiTheme="minorHAnsi"/>
          <w:sz w:val="22"/>
        </w:rPr>
      </w:pPr>
      <w:r>
        <w:rPr>
          <w:rFonts w:asciiTheme="minorHAnsi" w:hAnsiTheme="minorHAnsi"/>
          <w:sz w:val="22"/>
        </w:rPr>
        <w:t xml:space="preserve">The </w:t>
      </w:r>
      <w:r w:rsidR="00943FE0">
        <w:rPr>
          <w:rFonts w:asciiTheme="minorHAnsi" w:hAnsiTheme="minorHAnsi"/>
          <w:sz w:val="22"/>
        </w:rPr>
        <w:t>Amendments address</w:t>
      </w:r>
      <w:r w:rsidR="00663E82">
        <w:rPr>
          <w:rFonts w:asciiTheme="minorHAnsi" w:hAnsiTheme="minorHAnsi"/>
          <w:sz w:val="22"/>
        </w:rPr>
        <w:t>es</w:t>
      </w:r>
      <w:r w:rsidR="00943FE0">
        <w:rPr>
          <w:rFonts w:asciiTheme="minorHAnsi" w:hAnsiTheme="minorHAnsi"/>
          <w:sz w:val="22"/>
        </w:rPr>
        <w:t xml:space="preserve"> si</w:t>
      </w:r>
      <w:r w:rsidR="00694728">
        <w:rPr>
          <w:rFonts w:asciiTheme="minorHAnsi" w:hAnsiTheme="minorHAnsi"/>
          <w:sz w:val="22"/>
        </w:rPr>
        <w:t xml:space="preserve">tes </w:t>
      </w:r>
      <w:r w:rsidR="00563233">
        <w:rPr>
          <w:rFonts w:asciiTheme="minorHAnsi" w:hAnsiTheme="minorHAnsi"/>
          <w:sz w:val="22"/>
        </w:rPr>
        <w:t>subject to a</w:t>
      </w:r>
      <w:r w:rsidR="00694728">
        <w:rPr>
          <w:rFonts w:asciiTheme="minorHAnsi" w:hAnsiTheme="minorHAnsi"/>
          <w:sz w:val="22"/>
        </w:rPr>
        <w:t xml:space="preserve"> </w:t>
      </w:r>
      <w:r w:rsidR="00563233">
        <w:rPr>
          <w:rFonts w:asciiTheme="minorHAnsi" w:hAnsiTheme="minorHAnsi"/>
          <w:sz w:val="22"/>
        </w:rPr>
        <w:t>Heritage O</w:t>
      </w:r>
      <w:r w:rsidR="00694728">
        <w:rPr>
          <w:rFonts w:asciiTheme="minorHAnsi" w:hAnsiTheme="minorHAnsi"/>
          <w:sz w:val="22"/>
        </w:rPr>
        <w:t>verlay in developable areas as follows:</w:t>
      </w:r>
    </w:p>
    <w:p w:rsidR="004F638D" w:rsidRDefault="00D80B6D" w:rsidP="003340E2">
      <w:pPr>
        <w:pStyle w:val="ListParagraph"/>
        <w:numPr>
          <w:ilvl w:val="0"/>
          <w:numId w:val="41"/>
        </w:numPr>
      </w:pPr>
      <w:r>
        <w:t>Requirements R7 and R8 in the Sunbury South PSP and R8 and R9 in the Lancefield Road PSP require the development of land adjoining a heritage site to have regard to the heritage significance of the site and provide a sensitive interface.</w:t>
      </w:r>
    </w:p>
    <w:p w:rsidR="004F638D" w:rsidRDefault="00694728" w:rsidP="003340E2">
      <w:pPr>
        <w:pStyle w:val="ListParagraph"/>
        <w:numPr>
          <w:ilvl w:val="0"/>
          <w:numId w:val="41"/>
        </w:numPr>
      </w:pPr>
      <w:r>
        <w:t>Schedules 9 and 10 to the UGZ require applications for land that contains a confirmed or possible heritage site to be accompanied by an assessment by a qualified heritage consultant, which describes any heritage features on the site and provides recommendations regarding the protection of heritage features or, where appropriate, integration of heritage in to the broader subdivision.</w:t>
      </w:r>
    </w:p>
    <w:p w:rsidR="00694728" w:rsidRDefault="008C1820" w:rsidP="00694728">
      <w:pPr>
        <w:rPr>
          <w:rFonts w:asciiTheme="minorHAnsi" w:hAnsiTheme="minorHAnsi"/>
          <w:sz w:val="22"/>
        </w:rPr>
      </w:pPr>
      <w:proofErr w:type="gramStart"/>
      <w:r w:rsidRPr="008C1820">
        <w:rPr>
          <w:rFonts w:asciiTheme="minorHAnsi" w:hAnsiTheme="minorHAnsi"/>
          <w:sz w:val="22"/>
        </w:rPr>
        <w:t>A number of</w:t>
      </w:r>
      <w:proofErr w:type="gramEnd"/>
      <w:r w:rsidRPr="008C1820">
        <w:rPr>
          <w:rFonts w:asciiTheme="minorHAnsi" w:hAnsiTheme="minorHAnsi"/>
          <w:sz w:val="22"/>
        </w:rPr>
        <w:t xml:space="preserve"> </w:t>
      </w:r>
      <w:r w:rsidR="00E74532">
        <w:rPr>
          <w:rFonts w:asciiTheme="minorHAnsi" w:hAnsiTheme="minorHAnsi"/>
          <w:sz w:val="22"/>
        </w:rPr>
        <w:t xml:space="preserve">identified heritage sites </w:t>
      </w:r>
      <w:r w:rsidR="00FE1B27">
        <w:rPr>
          <w:rFonts w:asciiTheme="minorHAnsi" w:hAnsiTheme="minorHAnsi"/>
          <w:sz w:val="22"/>
        </w:rPr>
        <w:t xml:space="preserve">within the </w:t>
      </w:r>
      <w:r w:rsidR="00E760DC">
        <w:rPr>
          <w:rFonts w:asciiTheme="minorHAnsi" w:hAnsiTheme="minorHAnsi"/>
          <w:sz w:val="22"/>
        </w:rPr>
        <w:t>precincts are located o</w:t>
      </w:r>
      <w:r w:rsidR="00633ADE">
        <w:rPr>
          <w:rFonts w:asciiTheme="minorHAnsi" w:hAnsiTheme="minorHAnsi"/>
          <w:sz w:val="22"/>
        </w:rPr>
        <w:t xml:space="preserve">n land </w:t>
      </w:r>
      <w:r w:rsidR="00D312E9">
        <w:rPr>
          <w:rFonts w:asciiTheme="minorHAnsi" w:hAnsiTheme="minorHAnsi"/>
          <w:sz w:val="22"/>
        </w:rPr>
        <w:t>identified</w:t>
      </w:r>
      <w:r w:rsidR="00633ADE">
        <w:rPr>
          <w:rFonts w:asciiTheme="minorHAnsi" w:hAnsiTheme="minorHAnsi"/>
          <w:sz w:val="22"/>
        </w:rPr>
        <w:t xml:space="preserve"> in the PSP </w:t>
      </w:r>
      <w:r w:rsidR="00241925">
        <w:rPr>
          <w:rFonts w:asciiTheme="minorHAnsi" w:hAnsiTheme="minorHAnsi"/>
          <w:sz w:val="22"/>
        </w:rPr>
        <w:t>for conservation areas or as land with regionally significant landscape values.  The VPA considers these designations will protect the sites from future development.</w:t>
      </w:r>
      <w:r w:rsidR="00FE1B27">
        <w:rPr>
          <w:rFonts w:asciiTheme="minorHAnsi" w:hAnsiTheme="minorHAnsi"/>
          <w:sz w:val="22"/>
        </w:rPr>
        <w:t xml:space="preserve"> </w:t>
      </w:r>
    </w:p>
    <w:p w:rsidR="00B635B4" w:rsidRPr="00B635B4" w:rsidRDefault="00B635B4" w:rsidP="00694728">
      <w:pPr>
        <w:rPr>
          <w:rFonts w:asciiTheme="minorHAnsi" w:hAnsiTheme="minorHAnsi"/>
          <w:b/>
          <w:i/>
          <w:sz w:val="22"/>
        </w:rPr>
      </w:pPr>
      <w:r>
        <w:rPr>
          <w:rFonts w:asciiTheme="minorHAnsi" w:hAnsiTheme="minorHAnsi"/>
          <w:b/>
          <w:i/>
          <w:sz w:val="22"/>
        </w:rPr>
        <w:t>Sites of potential heritage value</w:t>
      </w:r>
    </w:p>
    <w:p w:rsidR="00D742F1" w:rsidRDefault="00655105" w:rsidP="005A393A">
      <w:pPr>
        <w:spacing w:line="256" w:lineRule="auto"/>
        <w:rPr>
          <w:rFonts w:asciiTheme="minorHAnsi" w:hAnsiTheme="minorHAnsi"/>
          <w:sz w:val="22"/>
        </w:rPr>
      </w:pPr>
      <w:r>
        <w:rPr>
          <w:rFonts w:asciiTheme="minorHAnsi" w:hAnsiTheme="minorHAnsi"/>
          <w:sz w:val="22"/>
        </w:rPr>
        <w:t>The assessments identify three sites in the Sunbury South PSP and two sites in the Lancefield Road PSP that have potential heritage value but are not subject to a Heritage Overlay.</w:t>
      </w:r>
    </w:p>
    <w:p w:rsidR="000D6B3A" w:rsidRDefault="000D6B3A" w:rsidP="005A393A">
      <w:pPr>
        <w:spacing w:line="256" w:lineRule="auto"/>
        <w:rPr>
          <w:rFonts w:asciiTheme="minorHAnsi" w:hAnsiTheme="minorHAnsi"/>
          <w:sz w:val="22"/>
        </w:rPr>
      </w:pPr>
      <w:r>
        <w:rPr>
          <w:rFonts w:asciiTheme="minorHAnsi" w:hAnsiTheme="minorHAnsi"/>
          <w:sz w:val="22"/>
        </w:rPr>
        <w:t xml:space="preserve">These sites will require further investigation and be protected as </w:t>
      </w:r>
      <w:r w:rsidR="006A3C57">
        <w:rPr>
          <w:rFonts w:asciiTheme="minorHAnsi" w:hAnsiTheme="minorHAnsi"/>
          <w:sz w:val="22"/>
        </w:rPr>
        <w:t>ap</w:t>
      </w:r>
      <w:r w:rsidR="00A0603A">
        <w:rPr>
          <w:rFonts w:asciiTheme="minorHAnsi" w:hAnsiTheme="minorHAnsi"/>
          <w:sz w:val="22"/>
        </w:rPr>
        <w:t>propriate through:</w:t>
      </w:r>
    </w:p>
    <w:p w:rsidR="006A3C57" w:rsidRDefault="006A3C57" w:rsidP="003340E2">
      <w:pPr>
        <w:pStyle w:val="ListParagraph"/>
        <w:numPr>
          <w:ilvl w:val="0"/>
          <w:numId w:val="42"/>
        </w:numPr>
        <w:spacing w:line="256" w:lineRule="auto"/>
      </w:pPr>
      <w:r>
        <w:t>Requirements R6 in the Sunbury South PSP and R7 in the Lancefield Road PSP;</w:t>
      </w:r>
    </w:p>
    <w:p w:rsidR="00A0603A" w:rsidRDefault="006A3C57" w:rsidP="003340E2">
      <w:pPr>
        <w:pStyle w:val="ListParagraph"/>
        <w:numPr>
          <w:ilvl w:val="0"/>
          <w:numId w:val="42"/>
        </w:numPr>
        <w:spacing w:line="256" w:lineRule="auto"/>
      </w:pPr>
      <w:r>
        <w:t xml:space="preserve">Guidelines G8 and G9 </w:t>
      </w:r>
      <w:r w:rsidR="00D75647">
        <w:t xml:space="preserve">in both PSPs as well as G10 </w:t>
      </w:r>
      <w:r w:rsidR="005802AE">
        <w:t>in the Sunbury South PSP</w:t>
      </w:r>
      <w:r w:rsidR="00A0603A">
        <w:t>;</w:t>
      </w:r>
    </w:p>
    <w:p w:rsidR="006A3C57" w:rsidRDefault="00200E67" w:rsidP="003340E2">
      <w:pPr>
        <w:pStyle w:val="ListParagraph"/>
        <w:numPr>
          <w:ilvl w:val="0"/>
          <w:numId w:val="42"/>
        </w:numPr>
        <w:spacing w:line="256" w:lineRule="auto"/>
      </w:pPr>
      <w:r>
        <w:t>t</w:t>
      </w:r>
      <w:r w:rsidR="00A0603A">
        <w:t>he application requirements in Schedules 9 and 10 to the UGZ</w:t>
      </w:r>
      <w:r w:rsidR="00BD4742">
        <w:t xml:space="preserve"> </w:t>
      </w:r>
      <w:r w:rsidR="00A0603A">
        <w:t>described above in relation to sites within a Heritage Overlay.</w:t>
      </w:r>
    </w:p>
    <w:p w:rsidR="00B635B4" w:rsidRPr="00B635B4" w:rsidRDefault="00B635B4" w:rsidP="00B635B4">
      <w:pPr>
        <w:keepNext/>
        <w:rPr>
          <w:rFonts w:asciiTheme="minorHAnsi" w:hAnsiTheme="minorHAnsi"/>
          <w:b/>
          <w:i/>
          <w:sz w:val="22"/>
        </w:rPr>
      </w:pPr>
      <w:r w:rsidRPr="00B635B4">
        <w:rPr>
          <w:rFonts w:asciiTheme="minorHAnsi" w:hAnsiTheme="minorHAnsi"/>
          <w:b/>
          <w:i/>
          <w:sz w:val="22"/>
        </w:rPr>
        <w:t>Northern crossing</w:t>
      </w:r>
    </w:p>
    <w:p w:rsidR="00396FCB" w:rsidRDefault="00E17015" w:rsidP="00B635B4">
      <w:pPr>
        <w:keepNext/>
        <w:spacing w:line="256" w:lineRule="auto"/>
        <w:rPr>
          <w:rFonts w:asciiTheme="minorHAnsi" w:hAnsiTheme="minorHAnsi"/>
          <w:sz w:val="22"/>
        </w:rPr>
      </w:pPr>
      <w:r>
        <w:rPr>
          <w:rFonts w:asciiTheme="minorHAnsi" w:hAnsiTheme="minorHAnsi"/>
          <w:sz w:val="22"/>
        </w:rPr>
        <w:t xml:space="preserve">The </w:t>
      </w:r>
      <w:r w:rsidR="005C281B">
        <w:rPr>
          <w:rFonts w:asciiTheme="minorHAnsi" w:hAnsiTheme="minorHAnsi"/>
          <w:sz w:val="22"/>
        </w:rPr>
        <w:t xml:space="preserve">proposed </w:t>
      </w:r>
      <w:r>
        <w:rPr>
          <w:rFonts w:asciiTheme="minorHAnsi" w:hAnsiTheme="minorHAnsi"/>
          <w:sz w:val="22"/>
        </w:rPr>
        <w:t xml:space="preserve">alignment of the northern crossing of Jacksons Creek </w:t>
      </w:r>
      <w:r w:rsidR="005C281B">
        <w:rPr>
          <w:rFonts w:asciiTheme="minorHAnsi" w:hAnsiTheme="minorHAnsi"/>
          <w:sz w:val="22"/>
        </w:rPr>
        <w:t xml:space="preserve">has been </w:t>
      </w:r>
      <w:r w:rsidR="00BB0710">
        <w:rPr>
          <w:rFonts w:asciiTheme="minorHAnsi" w:hAnsiTheme="minorHAnsi"/>
          <w:sz w:val="22"/>
        </w:rPr>
        <w:t>revised to avoid the Heritage Overlay that applies to Canons Gully.</w:t>
      </w:r>
      <w:r w:rsidR="0020167F">
        <w:rPr>
          <w:rFonts w:asciiTheme="minorHAnsi" w:hAnsiTheme="minorHAnsi"/>
          <w:sz w:val="22"/>
        </w:rPr>
        <w:t xml:space="preserve">  The VPA notes the design for the alignment currently shows a small area of earthworks within the overlay.  However, the VPA has been advised that this can be </w:t>
      </w:r>
      <w:r w:rsidR="00A151E5">
        <w:rPr>
          <w:rFonts w:asciiTheme="minorHAnsi" w:hAnsiTheme="minorHAnsi"/>
          <w:sz w:val="22"/>
        </w:rPr>
        <w:t>avoided in the detailed design.</w:t>
      </w:r>
    </w:p>
    <w:p w:rsidR="00A151E5" w:rsidRDefault="00001A45" w:rsidP="00396FCB">
      <w:pPr>
        <w:spacing w:line="256" w:lineRule="auto"/>
        <w:rPr>
          <w:rFonts w:asciiTheme="minorHAnsi" w:hAnsiTheme="minorHAnsi"/>
          <w:sz w:val="22"/>
        </w:rPr>
      </w:pPr>
      <w:r>
        <w:rPr>
          <w:rFonts w:asciiTheme="minorHAnsi" w:hAnsiTheme="minorHAnsi"/>
          <w:sz w:val="22"/>
        </w:rPr>
        <w:t xml:space="preserve">There are no </w:t>
      </w:r>
      <w:r w:rsidR="0057551E">
        <w:rPr>
          <w:rFonts w:asciiTheme="minorHAnsi" w:hAnsiTheme="minorHAnsi"/>
          <w:sz w:val="22"/>
        </w:rPr>
        <w:t xml:space="preserve">sites on the Victorian Heritage Register within the vicinity of the proposed alignment.  </w:t>
      </w:r>
    </w:p>
    <w:p w:rsidR="00EA5552" w:rsidRDefault="00EA5552" w:rsidP="00396FCB">
      <w:pPr>
        <w:spacing w:line="256" w:lineRule="auto"/>
        <w:rPr>
          <w:rFonts w:asciiTheme="minorHAnsi" w:hAnsiTheme="minorHAnsi"/>
          <w:sz w:val="22"/>
        </w:rPr>
      </w:pPr>
      <w:r>
        <w:rPr>
          <w:rFonts w:asciiTheme="minorHAnsi" w:hAnsiTheme="minorHAnsi"/>
          <w:sz w:val="22"/>
        </w:rPr>
        <w:t xml:space="preserve">A Victorian Heritage Inventory listing (VHI 7822-2291) has been applied to protect potential archaeological values, such as military remains.  The VPA understands the extent of the VHI </w:t>
      </w:r>
      <w:r>
        <w:rPr>
          <w:rFonts w:asciiTheme="minorHAnsi" w:hAnsiTheme="minorHAnsi"/>
          <w:sz w:val="22"/>
        </w:rPr>
        <w:lastRenderedPageBreak/>
        <w:t>applied has not been the subject of an assessment.  That is, the likelihood of archaeological remains has not yet been tested or proven.</w:t>
      </w:r>
    </w:p>
    <w:p w:rsidR="00D82356" w:rsidRPr="00327070" w:rsidRDefault="00EA5552" w:rsidP="00327070">
      <w:pPr>
        <w:spacing w:line="256" w:lineRule="auto"/>
        <w:rPr>
          <w:rFonts w:asciiTheme="minorHAnsi" w:hAnsiTheme="minorHAnsi"/>
          <w:sz w:val="22"/>
        </w:rPr>
      </w:pPr>
      <w:r>
        <w:rPr>
          <w:rFonts w:asciiTheme="minorHAnsi" w:hAnsiTheme="minorHAnsi"/>
          <w:sz w:val="22"/>
        </w:rPr>
        <w:t xml:space="preserve">The proposed bridge design minimises earth disturbance </w:t>
      </w:r>
      <w:proofErr w:type="gramStart"/>
      <w:r w:rsidR="008A4483">
        <w:rPr>
          <w:rFonts w:asciiTheme="minorHAnsi" w:hAnsiTheme="minorHAnsi"/>
          <w:sz w:val="22"/>
        </w:rPr>
        <w:t>through the use of</w:t>
      </w:r>
      <w:proofErr w:type="gramEnd"/>
      <w:r w:rsidR="008A4483">
        <w:rPr>
          <w:rFonts w:asciiTheme="minorHAnsi" w:hAnsiTheme="minorHAnsi"/>
          <w:sz w:val="22"/>
        </w:rPr>
        <w:t xml:space="preserve"> pylons.  When the locations of earth disturbance are identified (for example, for the bridge pylons), a consent to disturb can be requested from Heritage Victoria for any works required within the VHI area.</w:t>
      </w:r>
    </w:p>
    <w:p w:rsidR="00D82356" w:rsidRPr="00EF6A49" w:rsidRDefault="00D82356" w:rsidP="00EF6A49">
      <w:pPr>
        <w:pStyle w:val="Heading3"/>
        <w:rPr>
          <w:rFonts w:asciiTheme="minorHAnsi" w:hAnsiTheme="minorHAnsi"/>
          <w:b/>
        </w:rPr>
      </w:pPr>
      <w:r w:rsidRPr="00EF6A49">
        <w:rPr>
          <w:rFonts w:asciiTheme="minorHAnsi" w:hAnsiTheme="minorHAnsi"/>
          <w:b/>
        </w:rPr>
        <w:t>Aboriginal Cultural Heritage</w:t>
      </w:r>
    </w:p>
    <w:p w:rsidR="00327070" w:rsidRDefault="00681D83" w:rsidP="00327070">
      <w:pPr>
        <w:spacing w:line="256" w:lineRule="auto"/>
        <w:rPr>
          <w:rFonts w:asciiTheme="minorHAnsi" w:hAnsiTheme="minorHAnsi"/>
          <w:sz w:val="22"/>
        </w:rPr>
      </w:pPr>
      <w:r>
        <w:rPr>
          <w:rFonts w:asciiTheme="minorHAnsi" w:hAnsiTheme="minorHAnsi"/>
          <w:sz w:val="22"/>
        </w:rPr>
        <w:t xml:space="preserve">The </w:t>
      </w:r>
      <w:r w:rsidR="004A6188">
        <w:rPr>
          <w:rFonts w:asciiTheme="minorHAnsi" w:hAnsiTheme="minorHAnsi"/>
          <w:i/>
          <w:sz w:val="22"/>
        </w:rPr>
        <w:t xml:space="preserve">Aboriginal Heritage Impact Assessments </w:t>
      </w:r>
      <w:r w:rsidR="0063107B">
        <w:rPr>
          <w:rFonts w:asciiTheme="minorHAnsi" w:hAnsiTheme="minorHAnsi"/>
          <w:sz w:val="22"/>
        </w:rPr>
        <w:t>were prepared</w:t>
      </w:r>
      <w:r w:rsidR="00A27023">
        <w:rPr>
          <w:rFonts w:asciiTheme="minorHAnsi" w:hAnsiTheme="minorHAnsi"/>
          <w:sz w:val="22"/>
        </w:rPr>
        <w:t xml:space="preserve"> by Heritage Insight to identify the Aboriginal archaeological and cultural heritage values within the precincts and to ensure compliance with obligations under the </w:t>
      </w:r>
      <w:r w:rsidR="000B0463">
        <w:rPr>
          <w:rFonts w:asciiTheme="minorHAnsi" w:hAnsiTheme="minorHAnsi"/>
          <w:i/>
          <w:sz w:val="22"/>
        </w:rPr>
        <w:t>Aboriginal Heritage Act 2006</w:t>
      </w:r>
      <w:r w:rsidR="000B0463">
        <w:rPr>
          <w:rFonts w:asciiTheme="minorHAnsi" w:hAnsiTheme="minorHAnsi"/>
          <w:sz w:val="22"/>
        </w:rPr>
        <w:t>.</w:t>
      </w:r>
    </w:p>
    <w:p w:rsidR="00037682" w:rsidRDefault="00037682" w:rsidP="00327070">
      <w:pPr>
        <w:spacing w:line="256" w:lineRule="auto"/>
        <w:rPr>
          <w:rFonts w:asciiTheme="minorHAnsi" w:hAnsiTheme="minorHAnsi"/>
          <w:sz w:val="22"/>
        </w:rPr>
      </w:pPr>
      <w:r>
        <w:rPr>
          <w:rFonts w:asciiTheme="minorHAnsi" w:hAnsiTheme="minorHAnsi"/>
          <w:sz w:val="22"/>
        </w:rPr>
        <w:t xml:space="preserve">The assessments involved </w:t>
      </w:r>
      <w:r w:rsidR="00ED5A95">
        <w:rPr>
          <w:rFonts w:asciiTheme="minorHAnsi" w:hAnsiTheme="minorHAnsi"/>
          <w:sz w:val="22"/>
        </w:rPr>
        <w:t>desktop assessments and a field survey of an approximatel</w:t>
      </w:r>
      <w:r w:rsidR="00C46D43">
        <w:rPr>
          <w:rFonts w:asciiTheme="minorHAnsi" w:hAnsiTheme="minorHAnsi"/>
          <w:sz w:val="22"/>
        </w:rPr>
        <w:t xml:space="preserve">y </w:t>
      </w:r>
      <w:proofErr w:type="gramStart"/>
      <w:r w:rsidR="00C46D43">
        <w:rPr>
          <w:rFonts w:asciiTheme="minorHAnsi" w:hAnsiTheme="minorHAnsi"/>
          <w:sz w:val="22"/>
        </w:rPr>
        <w:t>80 hectare</w:t>
      </w:r>
      <w:proofErr w:type="gramEnd"/>
      <w:r w:rsidR="00C46D43">
        <w:rPr>
          <w:rFonts w:asciiTheme="minorHAnsi" w:hAnsiTheme="minorHAnsi"/>
          <w:sz w:val="22"/>
        </w:rPr>
        <w:t xml:space="preserve"> area</w:t>
      </w:r>
      <w:r w:rsidR="00C63BE3">
        <w:rPr>
          <w:rFonts w:asciiTheme="minorHAnsi" w:hAnsiTheme="minorHAnsi"/>
          <w:sz w:val="22"/>
        </w:rPr>
        <w:t xml:space="preserve">.  The field survey resulted in the registration of 15 Aboriginal cultural heritage places across the precincts: 14 in the Sunbury South PSP and one in the Lancefield Road PSP.  </w:t>
      </w:r>
      <w:r w:rsidR="00431849">
        <w:rPr>
          <w:rFonts w:asciiTheme="minorHAnsi" w:hAnsiTheme="minorHAnsi"/>
          <w:sz w:val="22"/>
        </w:rPr>
        <w:t xml:space="preserve">Of these, eight </w:t>
      </w:r>
      <w:proofErr w:type="gramStart"/>
      <w:r w:rsidR="00431849">
        <w:rPr>
          <w:rFonts w:asciiTheme="minorHAnsi" w:hAnsiTheme="minorHAnsi"/>
          <w:sz w:val="22"/>
        </w:rPr>
        <w:t>are considered to be</w:t>
      </w:r>
      <w:proofErr w:type="gramEnd"/>
      <w:r w:rsidR="00431849">
        <w:rPr>
          <w:rFonts w:asciiTheme="minorHAnsi" w:hAnsiTheme="minorHAnsi"/>
          <w:sz w:val="22"/>
        </w:rPr>
        <w:t xml:space="preserve"> of moderate scientific significance and seven of low scientific significance.  The recommendations in the assessments were adopted in the preparations of the PSPs.</w:t>
      </w:r>
    </w:p>
    <w:p w:rsidR="00AD2B50" w:rsidRDefault="004E05CD" w:rsidP="00327070">
      <w:pPr>
        <w:spacing w:line="256" w:lineRule="auto"/>
        <w:rPr>
          <w:rFonts w:asciiTheme="minorHAnsi" w:hAnsiTheme="minorHAnsi"/>
          <w:sz w:val="22"/>
        </w:rPr>
      </w:pPr>
      <w:r>
        <w:rPr>
          <w:rFonts w:asciiTheme="minorHAnsi" w:hAnsiTheme="minorHAnsi"/>
          <w:sz w:val="22"/>
        </w:rPr>
        <w:t xml:space="preserve">In 2014, the VPA commissioned the Wurundjeri Tribe Land and Compensation Cultural Heritage Council </w:t>
      </w:r>
      <w:r w:rsidR="00CF5FD4">
        <w:rPr>
          <w:rFonts w:asciiTheme="minorHAnsi" w:hAnsiTheme="minorHAnsi"/>
          <w:sz w:val="22"/>
        </w:rPr>
        <w:t>(</w:t>
      </w:r>
      <w:r w:rsidR="00CF5FD4">
        <w:rPr>
          <w:rFonts w:asciiTheme="minorHAnsi" w:hAnsiTheme="minorHAnsi"/>
          <w:b/>
          <w:sz w:val="22"/>
        </w:rPr>
        <w:t xml:space="preserve">Wurundjeri </w:t>
      </w:r>
      <w:r w:rsidR="00CF5FD4" w:rsidRPr="006F484B">
        <w:rPr>
          <w:rFonts w:asciiTheme="minorHAnsi" w:hAnsiTheme="minorHAnsi"/>
          <w:b/>
          <w:sz w:val="22"/>
        </w:rPr>
        <w:t>Council</w:t>
      </w:r>
      <w:r w:rsidR="00CF5FD4">
        <w:rPr>
          <w:rFonts w:asciiTheme="minorHAnsi" w:hAnsiTheme="minorHAnsi"/>
          <w:sz w:val="22"/>
        </w:rPr>
        <w:t xml:space="preserve">) </w:t>
      </w:r>
      <w:r w:rsidRPr="00CF5FD4">
        <w:rPr>
          <w:rFonts w:asciiTheme="minorHAnsi" w:hAnsiTheme="minorHAnsi"/>
          <w:sz w:val="22"/>
        </w:rPr>
        <w:t>to</w:t>
      </w:r>
      <w:r>
        <w:rPr>
          <w:rFonts w:asciiTheme="minorHAnsi" w:hAnsiTheme="minorHAnsi"/>
          <w:sz w:val="22"/>
        </w:rPr>
        <w:t xml:space="preserve"> undertake a </w:t>
      </w:r>
      <w:r w:rsidR="00AD2B50">
        <w:rPr>
          <w:rFonts w:asciiTheme="minorHAnsi" w:hAnsiTheme="minorHAnsi"/>
          <w:sz w:val="22"/>
        </w:rPr>
        <w:t>targeted cultural values inspection, to research and document indigenous cultural values within the two precincts and to seek endorsement of the two Future Urban Struc</w:t>
      </w:r>
      <w:r w:rsidR="002238DF">
        <w:rPr>
          <w:rFonts w:asciiTheme="minorHAnsi" w:hAnsiTheme="minorHAnsi"/>
          <w:sz w:val="22"/>
        </w:rPr>
        <w:t>ture p</w:t>
      </w:r>
      <w:r w:rsidR="00CF5FD4">
        <w:rPr>
          <w:rFonts w:asciiTheme="minorHAnsi" w:hAnsiTheme="minorHAnsi"/>
          <w:sz w:val="22"/>
        </w:rPr>
        <w:t>lans.  This included VPA officers undertaking site visits over two days to walk country with Wurundjeri Elders and staff to view potentially sensitive locations across both precincts.</w:t>
      </w:r>
    </w:p>
    <w:p w:rsidR="00A36FA4" w:rsidRDefault="002238DF" w:rsidP="00327070">
      <w:pPr>
        <w:spacing w:line="256" w:lineRule="auto"/>
        <w:rPr>
          <w:rFonts w:asciiTheme="minorHAnsi" w:hAnsiTheme="minorHAnsi"/>
          <w:sz w:val="22"/>
        </w:rPr>
      </w:pPr>
      <w:r>
        <w:rPr>
          <w:rFonts w:asciiTheme="minorHAnsi" w:hAnsiTheme="minorHAnsi"/>
          <w:sz w:val="22"/>
        </w:rPr>
        <w:t xml:space="preserve">Through the targeted cultural values inspection, the Wurundjeri Council endorsed </w:t>
      </w:r>
      <w:proofErr w:type="gramStart"/>
      <w:r>
        <w:rPr>
          <w:rFonts w:asciiTheme="minorHAnsi" w:hAnsiTheme="minorHAnsi"/>
          <w:sz w:val="22"/>
        </w:rPr>
        <w:t>the majority of</w:t>
      </w:r>
      <w:proofErr w:type="gramEnd"/>
      <w:r>
        <w:rPr>
          <w:rFonts w:asciiTheme="minorHAnsi" w:hAnsiTheme="minorHAnsi"/>
          <w:sz w:val="22"/>
        </w:rPr>
        <w:t xml:space="preserve"> the components of the Future Urban Structure plans</w:t>
      </w:r>
      <w:r w:rsidR="00A36FA4">
        <w:rPr>
          <w:rFonts w:asciiTheme="minorHAnsi" w:hAnsiTheme="minorHAnsi"/>
          <w:sz w:val="22"/>
        </w:rPr>
        <w:t>, on the condition that the Wurundjeri be appropriately consulted and engaged during the Cultural Heritage Management Plan (</w:t>
      </w:r>
      <w:r w:rsidR="00A36FA4">
        <w:rPr>
          <w:rFonts w:asciiTheme="minorHAnsi" w:hAnsiTheme="minorHAnsi"/>
          <w:b/>
          <w:sz w:val="22"/>
        </w:rPr>
        <w:t>CHMP</w:t>
      </w:r>
      <w:r w:rsidR="00A36FA4">
        <w:rPr>
          <w:rFonts w:asciiTheme="minorHAnsi" w:hAnsiTheme="minorHAnsi"/>
          <w:sz w:val="22"/>
        </w:rPr>
        <w:t>) assessment process, to precede any development of the land in culturally sensitive parts of the precinct.</w:t>
      </w:r>
    </w:p>
    <w:p w:rsidR="004672E7" w:rsidRDefault="004672E7" w:rsidP="00327070">
      <w:pPr>
        <w:spacing w:line="256" w:lineRule="auto"/>
        <w:rPr>
          <w:rFonts w:asciiTheme="minorHAnsi" w:hAnsiTheme="minorHAnsi"/>
          <w:sz w:val="22"/>
        </w:rPr>
      </w:pPr>
      <w:r>
        <w:rPr>
          <w:rFonts w:asciiTheme="minorHAnsi" w:hAnsiTheme="minorHAnsi"/>
          <w:sz w:val="22"/>
        </w:rPr>
        <w:t>The VPA understands that a CHMP has now been approved in support of the development proposed under the section 96A permit applications.</w:t>
      </w:r>
    </w:p>
    <w:p w:rsidR="005E14C2" w:rsidRPr="004D56AF" w:rsidRDefault="005E14C2" w:rsidP="00B635B4">
      <w:pPr>
        <w:keepNext/>
        <w:rPr>
          <w:rFonts w:asciiTheme="minorHAnsi" w:hAnsiTheme="minorHAnsi"/>
          <w:b/>
          <w:i/>
          <w:sz w:val="22"/>
        </w:rPr>
      </w:pPr>
      <w:r>
        <w:rPr>
          <w:rFonts w:asciiTheme="minorHAnsi" w:hAnsiTheme="minorHAnsi"/>
          <w:b/>
          <w:i/>
          <w:sz w:val="22"/>
        </w:rPr>
        <w:t>Northern c</w:t>
      </w:r>
      <w:r w:rsidRPr="004D56AF">
        <w:rPr>
          <w:rFonts w:asciiTheme="minorHAnsi" w:hAnsiTheme="minorHAnsi"/>
          <w:b/>
          <w:i/>
          <w:sz w:val="22"/>
        </w:rPr>
        <w:t>rossing</w:t>
      </w:r>
    </w:p>
    <w:p w:rsidR="00F91AC6" w:rsidRDefault="002433C3" w:rsidP="00327070">
      <w:pPr>
        <w:spacing w:line="256" w:lineRule="auto"/>
        <w:rPr>
          <w:rFonts w:asciiTheme="minorHAnsi" w:hAnsiTheme="minorHAnsi"/>
          <w:sz w:val="22"/>
        </w:rPr>
      </w:pPr>
      <w:r>
        <w:rPr>
          <w:rFonts w:asciiTheme="minorHAnsi" w:hAnsiTheme="minorHAnsi"/>
          <w:sz w:val="22"/>
        </w:rPr>
        <w:t>The Wurundjeri</w:t>
      </w:r>
      <w:r w:rsidR="0003006F">
        <w:rPr>
          <w:rFonts w:asciiTheme="minorHAnsi" w:hAnsiTheme="minorHAnsi"/>
          <w:sz w:val="22"/>
        </w:rPr>
        <w:t xml:space="preserve"> Council</w:t>
      </w:r>
      <w:r>
        <w:rPr>
          <w:rFonts w:asciiTheme="minorHAnsi" w:hAnsiTheme="minorHAnsi"/>
          <w:sz w:val="22"/>
        </w:rPr>
        <w:t xml:space="preserve"> did not endorse the then-pr</w:t>
      </w:r>
      <w:r w:rsidR="0005083A">
        <w:rPr>
          <w:rFonts w:asciiTheme="minorHAnsi" w:hAnsiTheme="minorHAnsi"/>
          <w:sz w:val="22"/>
        </w:rPr>
        <w:t xml:space="preserve">oposed northern crossing of </w:t>
      </w:r>
      <w:r>
        <w:rPr>
          <w:rFonts w:asciiTheme="minorHAnsi" w:hAnsiTheme="minorHAnsi"/>
          <w:sz w:val="22"/>
        </w:rPr>
        <w:t>Jacksons Creek</w:t>
      </w:r>
      <w:r w:rsidR="00F91AC6">
        <w:rPr>
          <w:rFonts w:asciiTheme="minorHAnsi" w:hAnsiTheme="minorHAnsi"/>
          <w:sz w:val="22"/>
        </w:rPr>
        <w:t xml:space="preserve">, because it travelled down a gully containing </w:t>
      </w:r>
      <w:proofErr w:type="spellStart"/>
      <w:r w:rsidR="00F91AC6">
        <w:rPr>
          <w:rFonts w:asciiTheme="minorHAnsi" w:hAnsiTheme="minorHAnsi"/>
          <w:sz w:val="22"/>
        </w:rPr>
        <w:t>Bunjil’</w:t>
      </w:r>
      <w:r w:rsidR="0005083A">
        <w:rPr>
          <w:rFonts w:asciiTheme="minorHAnsi" w:hAnsiTheme="minorHAnsi"/>
          <w:sz w:val="22"/>
        </w:rPr>
        <w:t>s</w:t>
      </w:r>
      <w:proofErr w:type="spellEnd"/>
      <w:r w:rsidR="0005083A">
        <w:rPr>
          <w:rFonts w:asciiTheme="minorHAnsi" w:hAnsiTheme="minorHAnsi"/>
          <w:sz w:val="22"/>
        </w:rPr>
        <w:t xml:space="preserve"> nest and an associated platfor</w:t>
      </w:r>
      <w:r w:rsidR="00F91AC6">
        <w:rPr>
          <w:rFonts w:asciiTheme="minorHAnsi" w:hAnsiTheme="minorHAnsi"/>
          <w:sz w:val="22"/>
        </w:rPr>
        <w:t>m.</w:t>
      </w:r>
    </w:p>
    <w:p w:rsidR="00C1733B" w:rsidRDefault="00C1733B" w:rsidP="00327070">
      <w:pPr>
        <w:spacing w:line="256" w:lineRule="auto"/>
        <w:rPr>
          <w:rFonts w:asciiTheme="minorHAnsi" w:hAnsiTheme="minorHAnsi"/>
          <w:sz w:val="22"/>
        </w:rPr>
      </w:pPr>
      <w:r>
        <w:rPr>
          <w:rFonts w:asciiTheme="minorHAnsi" w:hAnsiTheme="minorHAnsi"/>
          <w:sz w:val="22"/>
        </w:rPr>
        <w:t xml:space="preserve">The VPA has been in subsequent correspondence </w:t>
      </w:r>
      <w:r w:rsidR="008D589F">
        <w:rPr>
          <w:rFonts w:asciiTheme="minorHAnsi" w:hAnsiTheme="minorHAnsi"/>
          <w:sz w:val="22"/>
        </w:rPr>
        <w:t>with the Wurundjeri</w:t>
      </w:r>
      <w:r w:rsidR="00312173">
        <w:rPr>
          <w:rFonts w:asciiTheme="minorHAnsi" w:hAnsiTheme="minorHAnsi"/>
          <w:sz w:val="22"/>
        </w:rPr>
        <w:t xml:space="preserve"> Council</w:t>
      </w:r>
      <w:r w:rsidR="008D589F">
        <w:rPr>
          <w:rFonts w:asciiTheme="minorHAnsi" w:hAnsiTheme="minorHAnsi"/>
          <w:sz w:val="22"/>
        </w:rPr>
        <w:t xml:space="preserve">, including </w:t>
      </w:r>
      <w:r w:rsidR="00796F96">
        <w:rPr>
          <w:rFonts w:asciiTheme="minorHAnsi" w:hAnsiTheme="minorHAnsi"/>
          <w:sz w:val="22"/>
        </w:rPr>
        <w:t xml:space="preserve">undertaking further site visits, </w:t>
      </w:r>
      <w:r w:rsidR="005A4FE0">
        <w:rPr>
          <w:rFonts w:asciiTheme="minorHAnsi" w:hAnsiTheme="minorHAnsi"/>
          <w:sz w:val="22"/>
        </w:rPr>
        <w:t xml:space="preserve">to identify an appropriate </w:t>
      </w:r>
      <w:r w:rsidR="00040284">
        <w:rPr>
          <w:rFonts w:asciiTheme="minorHAnsi" w:hAnsiTheme="minorHAnsi"/>
          <w:sz w:val="22"/>
        </w:rPr>
        <w:t xml:space="preserve">road crossing alignment. </w:t>
      </w:r>
    </w:p>
    <w:p w:rsidR="001E2277" w:rsidRDefault="004272EB" w:rsidP="00327070">
      <w:pPr>
        <w:spacing w:line="256" w:lineRule="auto"/>
        <w:rPr>
          <w:rFonts w:asciiTheme="minorHAnsi" w:hAnsiTheme="minorHAnsi"/>
          <w:sz w:val="22"/>
        </w:rPr>
      </w:pPr>
      <w:r>
        <w:rPr>
          <w:rFonts w:asciiTheme="minorHAnsi" w:hAnsiTheme="minorHAnsi"/>
          <w:sz w:val="22"/>
        </w:rPr>
        <w:t>T</w:t>
      </w:r>
      <w:r w:rsidR="00206FC0">
        <w:rPr>
          <w:rFonts w:asciiTheme="minorHAnsi" w:hAnsiTheme="minorHAnsi"/>
          <w:sz w:val="22"/>
        </w:rPr>
        <w:t xml:space="preserve">he Wurundjeri Council </w:t>
      </w:r>
      <w:r w:rsidR="003F550A">
        <w:rPr>
          <w:rFonts w:asciiTheme="minorHAnsi" w:hAnsiTheme="minorHAnsi"/>
          <w:sz w:val="22"/>
        </w:rPr>
        <w:t xml:space="preserve">has since </w:t>
      </w:r>
      <w:r w:rsidR="0003006F">
        <w:rPr>
          <w:rFonts w:asciiTheme="minorHAnsi" w:hAnsiTheme="minorHAnsi"/>
          <w:sz w:val="22"/>
        </w:rPr>
        <w:t xml:space="preserve">endorsed the revised alignment as having </w:t>
      </w:r>
      <w:r w:rsidR="001F73DB">
        <w:rPr>
          <w:rFonts w:asciiTheme="minorHAnsi" w:hAnsiTheme="minorHAnsi"/>
          <w:sz w:val="22"/>
        </w:rPr>
        <w:t>satisfactorily responded to its</w:t>
      </w:r>
      <w:r w:rsidR="00C23412">
        <w:rPr>
          <w:rFonts w:asciiTheme="minorHAnsi" w:hAnsiTheme="minorHAnsi"/>
          <w:sz w:val="22"/>
        </w:rPr>
        <w:t xml:space="preserve"> cultural heritage concerns</w:t>
      </w:r>
      <w:r w:rsidR="001E2277">
        <w:rPr>
          <w:rFonts w:asciiTheme="minorHAnsi" w:hAnsiTheme="minorHAnsi"/>
          <w:sz w:val="22"/>
        </w:rPr>
        <w:t>.</w:t>
      </w:r>
      <w:r w:rsidR="009C587B">
        <w:rPr>
          <w:rFonts w:asciiTheme="minorHAnsi" w:hAnsiTheme="minorHAnsi"/>
          <w:sz w:val="22"/>
        </w:rPr>
        <w:t xml:space="preserve">  A copy of the letter dated 3 July 2017 confirming that endorsement is at Appendix 10 to the VPA’s Part A submission.</w:t>
      </w:r>
      <w:r w:rsidR="001E2277">
        <w:rPr>
          <w:rFonts w:asciiTheme="minorHAnsi" w:hAnsiTheme="minorHAnsi"/>
          <w:sz w:val="22"/>
        </w:rPr>
        <w:t xml:space="preserve">  </w:t>
      </w:r>
    </w:p>
    <w:p w:rsidR="00871402" w:rsidRPr="00871402" w:rsidRDefault="00871402" w:rsidP="00327070">
      <w:pPr>
        <w:spacing w:line="256" w:lineRule="auto"/>
        <w:rPr>
          <w:rFonts w:asciiTheme="minorHAnsi" w:hAnsiTheme="minorHAnsi"/>
          <w:b/>
          <w:i/>
          <w:sz w:val="22"/>
        </w:rPr>
      </w:pPr>
      <w:r w:rsidRPr="00871402">
        <w:rPr>
          <w:rFonts w:asciiTheme="minorHAnsi" w:hAnsiTheme="minorHAnsi"/>
          <w:b/>
          <w:i/>
          <w:sz w:val="22"/>
        </w:rPr>
        <w:lastRenderedPageBreak/>
        <w:t xml:space="preserve">Sites within a Heritage Overlay </w:t>
      </w:r>
    </w:p>
    <w:p w:rsidR="000C70F0" w:rsidRDefault="000C70F0" w:rsidP="000C70F0">
      <w:pPr>
        <w:spacing w:line="256" w:lineRule="auto"/>
        <w:rPr>
          <w:rFonts w:asciiTheme="minorHAnsi" w:hAnsiTheme="minorHAnsi"/>
          <w:sz w:val="22"/>
        </w:rPr>
      </w:pPr>
      <w:r>
        <w:rPr>
          <w:rFonts w:asciiTheme="minorHAnsi" w:hAnsiTheme="minorHAnsi"/>
          <w:sz w:val="22"/>
        </w:rPr>
        <w:t xml:space="preserve">The heritage places identified in the Schedule to the Heritage Overlay as an Aboriginal heritage place are also subject to the requirements of the </w:t>
      </w:r>
      <w:r>
        <w:rPr>
          <w:rFonts w:asciiTheme="minorHAnsi" w:hAnsiTheme="minorHAnsi"/>
          <w:i/>
          <w:sz w:val="22"/>
        </w:rPr>
        <w:t>Aboriginal Heritage Act 2006</w:t>
      </w:r>
      <w:r>
        <w:rPr>
          <w:rFonts w:asciiTheme="minorHAnsi" w:hAnsiTheme="minorHAnsi"/>
          <w:sz w:val="22"/>
        </w:rPr>
        <w:t>.</w:t>
      </w:r>
    </w:p>
    <w:p w:rsidR="00871402" w:rsidRPr="00871402" w:rsidRDefault="00871402" w:rsidP="000C70F0">
      <w:pPr>
        <w:spacing w:line="256" w:lineRule="auto"/>
        <w:rPr>
          <w:rFonts w:asciiTheme="minorHAnsi" w:hAnsiTheme="minorHAnsi"/>
          <w:b/>
          <w:i/>
          <w:sz w:val="22"/>
        </w:rPr>
      </w:pPr>
      <w:r>
        <w:rPr>
          <w:rFonts w:asciiTheme="minorHAnsi" w:hAnsiTheme="minorHAnsi"/>
          <w:b/>
          <w:i/>
          <w:sz w:val="22"/>
        </w:rPr>
        <w:t>Submissions</w:t>
      </w:r>
    </w:p>
    <w:p w:rsidR="00E879AA" w:rsidRDefault="007924FB" w:rsidP="00631497">
      <w:pPr>
        <w:spacing w:line="256" w:lineRule="auto"/>
        <w:rPr>
          <w:rFonts w:asciiTheme="minorHAnsi" w:hAnsiTheme="minorHAnsi"/>
          <w:sz w:val="22"/>
        </w:rPr>
      </w:pPr>
      <w:proofErr w:type="gramStart"/>
      <w:r>
        <w:rPr>
          <w:rFonts w:asciiTheme="minorHAnsi" w:hAnsiTheme="minorHAnsi"/>
          <w:sz w:val="22"/>
        </w:rPr>
        <w:t>A number of</w:t>
      </w:r>
      <w:proofErr w:type="gramEnd"/>
      <w:r>
        <w:rPr>
          <w:rFonts w:asciiTheme="minorHAnsi" w:hAnsiTheme="minorHAnsi"/>
          <w:sz w:val="22"/>
        </w:rPr>
        <w:t xml:space="preserve"> submitters requested that a CHMP </w:t>
      </w:r>
      <w:r w:rsidR="00603036">
        <w:rPr>
          <w:rFonts w:asciiTheme="minorHAnsi" w:hAnsiTheme="minorHAnsi"/>
          <w:sz w:val="22"/>
        </w:rPr>
        <w:t>be prepared for the land to be subject to the Jacksons Creek crossing.</w:t>
      </w:r>
    </w:p>
    <w:p w:rsidR="00D61921" w:rsidRDefault="00D61921" w:rsidP="00631497">
      <w:pPr>
        <w:spacing w:line="256" w:lineRule="auto"/>
        <w:rPr>
          <w:rFonts w:asciiTheme="minorHAnsi" w:hAnsiTheme="minorHAnsi"/>
          <w:sz w:val="22"/>
        </w:rPr>
      </w:pPr>
      <w:r>
        <w:rPr>
          <w:rFonts w:asciiTheme="minorHAnsi" w:hAnsiTheme="minorHAnsi"/>
          <w:sz w:val="22"/>
        </w:rPr>
        <w:t xml:space="preserve">The Council submission additionally sought the rejection of the section 96A planning permit application for </w:t>
      </w:r>
      <w:r w:rsidR="00987DC8">
        <w:rPr>
          <w:rFonts w:asciiTheme="minorHAnsi" w:hAnsiTheme="minorHAnsi"/>
          <w:sz w:val="22"/>
        </w:rPr>
        <w:t xml:space="preserve">the </w:t>
      </w:r>
      <w:r>
        <w:rPr>
          <w:rFonts w:asciiTheme="minorHAnsi" w:hAnsiTheme="minorHAnsi"/>
          <w:sz w:val="22"/>
        </w:rPr>
        <w:t>Sherwood Heights</w:t>
      </w:r>
      <w:r w:rsidR="00987DC8">
        <w:rPr>
          <w:rFonts w:asciiTheme="minorHAnsi" w:hAnsiTheme="minorHAnsi"/>
          <w:sz w:val="22"/>
        </w:rPr>
        <w:t xml:space="preserve"> / Racecourse Road site</w:t>
      </w:r>
      <w:r w:rsidR="00385E7E">
        <w:rPr>
          <w:rFonts w:asciiTheme="minorHAnsi" w:hAnsiTheme="minorHAnsi"/>
          <w:sz w:val="22"/>
        </w:rPr>
        <w:t>,</w:t>
      </w:r>
      <w:r w:rsidR="00385E7E">
        <w:rPr>
          <w:rStyle w:val="FootnoteReference"/>
          <w:rFonts w:asciiTheme="minorHAnsi" w:hAnsiTheme="minorHAnsi"/>
          <w:sz w:val="22"/>
        </w:rPr>
        <w:footnoteReference w:id="17"/>
      </w:r>
      <w:r w:rsidR="00987DC8">
        <w:rPr>
          <w:rFonts w:asciiTheme="minorHAnsi" w:hAnsiTheme="minorHAnsi"/>
          <w:sz w:val="22"/>
        </w:rPr>
        <w:t xml:space="preserve"> </w:t>
      </w:r>
      <w:r w:rsidR="00385E7E">
        <w:rPr>
          <w:rFonts w:asciiTheme="minorHAnsi" w:hAnsiTheme="minorHAnsi"/>
          <w:sz w:val="22"/>
        </w:rPr>
        <w:t>on the basis that a CHMP had not yet been approved for the land.</w:t>
      </w:r>
    </w:p>
    <w:p w:rsidR="0025251D" w:rsidRDefault="00F2665D" w:rsidP="00873AD5">
      <w:pPr>
        <w:spacing w:line="256" w:lineRule="auto"/>
        <w:rPr>
          <w:rFonts w:asciiTheme="minorHAnsi" w:hAnsiTheme="minorHAnsi"/>
          <w:sz w:val="22"/>
        </w:rPr>
      </w:pPr>
      <w:r>
        <w:rPr>
          <w:rFonts w:asciiTheme="minorHAnsi" w:hAnsiTheme="minorHAnsi"/>
          <w:sz w:val="22"/>
        </w:rPr>
        <w:t xml:space="preserve">The VPA does not consider a CHMP to be required </w:t>
      </w:r>
      <w:r w:rsidR="00873AD5">
        <w:rPr>
          <w:rFonts w:asciiTheme="minorHAnsi" w:hAnsiTheme="minorHAnsi"/>
          <w:sz w:val="22"/>
        </w:rPr>
        <w:t>through the PSP process.</w:t>
      </w:r>
      <w:r w:rsidR="00352D0E">
        <w:rPr>
          <w:rFonts w:asciiTheme="minorHAnsi" w:hAnsiTheme="minorHAnsi"/>
          <w:sz w:val="22"/>
        </w:rPr>
        <w:t xml:space="preserve"> </w:t>
      </w:r>
      <w:r w:rsidR="00873AD5">
        <w:rPr>
          <w:rFonts w:asciiTheme="minorHAnsi" w:hAnsiTheme="minorHAnsi"/>
          <w:sz w:val="22"/>
        </w:rPr>
        <w:t xml:space="preserve"> </w:t>
      </w:r>
      <w:r w:rsidR="00352D0E">
        <w:rPr>
          <w:rFonts w:asciiTheme="minorHAnsi" w:hAnsiTheme="minorHAnsi"/>
          <w:sz w:val="22"/>
        </w:rPr>
        <w:t>The VPA understands</w:t>
      </w:r>
      <w:r w:rsidR="00873AD5">
        <w:rPr>
          <w:rFonts w:asciiTheme="minorHAnsi" w:hAnsiTheme="minorHAnsi"/>
          <w:sz w:val="22"/>
        </w:rPr>
        <w:t xml:space="preserve"> its position to be </w:t>
      </w:r>
      <w:r w:rsidR="00352D0E">
        <w:rPr>
          <w:rFonts w:asciiTheme="minorHAnsi" w:hAnsiTheme="minorHAnsi"/>
          <w:sz w:val="22"/>
        </w:rPr>
        <w:t xml:space="preserve">consistent with the approach of previous Panels considering Amendment C183 to the Whittlesea Planning Scheme </w:t>
      </w:r>
      <w:r w:rsidR="0025251D">
        <w:rPr>
          <w:rFonts w:asciiTheme="minorHAnsi" w:hAnsiTheme="minorHAnsi"/>
          <w:sz w:val="22"/>
        </w:rPr>
        <w:t>(English Street PSP) and Amendment C198 to the Hume Planning Scheme (Craigieburn North Employment Area PSP).</w:t>
      </w:r>
    </w:p>
    <w:p w:rsidR="00084725" w:rsidRDefault="00B3097E" w:rsidP="00631497">
      <w:pPr>
        <w:spacing w:line="256" w:lineRule="auto"/>
        <w:rPr>
          <w:rFonts w:asciiTheme="minorHAnsi" w:hAnsiTheme="minorHAnsi"/>
          <w:sz w:val="22"/>
        </w:rPr>
      </w:pPr>
      <w:r>
        <w:rPr>
          <w:rFonts w:asciiTheme="minorHAnsi" w:hAnsiTheme="minorHAnsi"/>
          <w:sz w:val="22"/>
        </w:rPr>
        <w:t>Those Panels</w:t>
      </w:r>
      <w:r w:rsidR="0025251D">
        <w:rPr>
          <w:rFonts w:asciiTheme="minorHAnsi" w:hAnsiTheme="minorHAnsi"/>
          <w:sz w:val="22"/>
        </w:rPr>
        <w:t xml:space="preserve"> considered submissions in relation to a proposed Merri Creek road bridge crossing and rail bridge crossing respectively.</w:t>
      </w:r>
      <w:r w:rsidR="00F871F3">
        <w:rPr>
          <w:rFonts w:asciiTheme="minorHAnsi" w:hAnsiTheme="minorHAnsi"/>
          <w:sz w:val="22"/>
        </w:rPr>
        <w:t xml:space="preserve">  In each, the Panel concluded there was no reason to delay gazettal of the Amendment</w:t>
      </w:r>
      <w:r w:rsidR="00F10466">
        <w:rPr>
          <w:rFonts w:asciiTheme="minorHAnsi" w:hAnsiTheme="minorHAnsi"/>
          <w:sz w:val="22"/>
        </w:rPr>
        <w:t>s</w:t>
      </w:r>
      <w:r w:rsidR="00F871F3">
        <w:rPr>
          <w:rFonts w:asciiTheme="minorHAnsi" w:hAnsiTheme="minorHAnsi"/>
          <w:sz w:val="22"/>
        </w:rPr>
        <w:t xml:space="preserve"> pending approval of CHMPs.  </w:t>
      </w:r>
      <w:r w:rsidR="0025251D">
        <w:rPr>
          <w:rFonts w:asciiTheme="minorHAnsi" w:hAnsiTheme="minorHAnsi"/>
          <w:sz w:val="22"/>
        </w:rPr>
        <w:t xml:space="preserve">  </w:t>
      </w:r>
      <w:r w:rsidR="002228E3">
        <w:rPr>
          <w:rFonts w:asciiTheme="minorHAnsi" w:hAnsiTheme="minorHAnsi"/>
          <w:sz w:val="22"/>
        </w:rPr>
        <w:t xml:space="preserve"> </w:t>
      </w:r>
    </w:p>
    <w:p w:rsidR="003F2ED5" w:rsidRPr="00671B05" w:rsidRDefault="003F2ED5" w:rsidP="0076427E">
      <w:pPr>
        <w:pStyle w:val="Heading2"/>
        <w:rPr>
          <w:rFonts w:asciiTheme="minorHAnsi" w:hAnsiTheme="minorHAnsi"/>
          <w:b/>
        </w:rPr>
      </w:pPr>
      <w:bookmarkStart w:id="6" w:name="_Toc491027643"/>
      <w:r w:rsidRPr="00671B05">
        <w:rPr>
          <w:rFonts w:asciiTheme="minorHAnsi" w:hAnsiTheme="minorHAnsi"/>
          <w:b/>
        </w:rPr>
        <w:t>Earth Rings, Cannon Gully and Zig</w:t>
      </w:r>
      <w:r w:rsidR="000C3D76" w:rsidRPr="00671B05">
        <w:rPr>
          <w:rFonts w:asciiTheme="minorHAnsi" w:hAnsiTheme="minorHAnsi"/>
          <w:b/>
        </w:rPr>
        <w:t xml:space="preserve"> Zag Track, Emu Bottom wetlands</w:t>
      </w:r>
      <w:r w:rsidR="00EE390B" w:rsidRPr="00671B05">
        <w:rPr>
          <w:rFonts w:asciiTheme="minorHAnsi" w:hAnsiTheme="minorHAnsi"/>
          <w:b/>
        </w:rPr>
        <w:t xml:space="preserve"> locations</w:t>
      </w:r>
      <w:bookmarkEnd w:id="6"/>
    </w:p>
    <w:p w:rsidR="0067505C" w:rsidRPr="0067505C" w:rsidRDefault="0067505C" w:rsidP="00A76B8A">
      <w:pPr>
        <w:spacing w:after="120"/>
        <w:rPr>
          <w:rFonts w:asciiTheme="minorHAnsi" w:hAnsiTheme="minorHAnsi"/>
          <w:sz w:val="22"/>
        </w:rPr>
      </w:pPr>
      <w:r w:rsidRPr="0067505C">
        <w:rPr>
          <w:rFonts w:asciiTheme="minorHAnsi" w:hAnsiTheme="minorHAnsi"/>
          <w:sz w:val="22"/>
        </w:rPr>
        <w:t xml:space="preserve">The </w:t>
      </w:r>
      <w:r>
        <w:rPr>
          <w:rFonts w:asciiTheme="minorHAnsi" w:hAnsiTheme="minorHAnsi"/>
          <w:sz w:val="22"/>
        </w:rPr>
        <w:t xml:space="preserve">VPA has prepared </w:t>
      </w:r>
      <w:r w:rsidR="0000175E">
        <w:rPr>
          <w:rFonts w:asciiTheme="minorHAnsi" w:hAnsiTheme="minorHAnsi"/>
          <w:sz w:val="22"/>
        </w:rPr>
        <w:t xml:space="preserve">maps showing </w:t>
      </w:r>
      <w:r w:rsidR="00021F91">
        <w:rPr>
          <w:rFonts w:asciiTheme="minorHAnsi" w:hAnsiTheme="minorHAnsi"/>
          <w:sz w:val="22"/>
        </w:rPr>
        <w:t xml:space="preserve">the </w:t>
      </w:r>
      <w:r w:rsidR="00340239">
        <w:rPr>
          <w:rFonts w:asciiTheme="minorHAnsi" w:hAnsiTheme="minorHAnsi"/>
          <w:sz w:val="22"/>
        </w:rPr>
        <w:t xml:space="preserve">sites and </w:t>
      </w:r>
      <w:r w:rsidR="0000175E">
        <w:rPr>
          <w:rFonts w:asciiTheme="minorHAnsi" w:hAnsiTheme="minorHAnsi"/>
          <w:sz w:val="22"/>
        </w:rPr>
        <w:t>areas of heritage significance in each precinct</w:t>
      </w:r>
      <w:r w:rsidR="00460100">
        <w:rPr>
          <w:rFonts w:asciiTheme="minorHAnsi" w:hAnsiTheme="minorHAnsi"/>
          <w:sz w:val="22"/>
        </w:rPr>
        <w:t>.</w:t>
      </w:r>
    </w:p>
    <w:p w:rsidR="003F2ED5" w:rsidRPr="00671B05" w:rsidRDefault="000C3D76" w:rsidP="000C3D76">
      <w:pPr>
        <w:pStyle w:val="Heading2"/>
        <w:rPr>
          <w:rFonts w:asciiTheme="minorHAnsi" w:hAnsiTheme="minorHAnsi"/>
          <w:b/>
        </w:rPr>
      </w:pPr>
      <w:bookmarkStart w:id="7" w:name="_Toc491027644"/>
      <w:r w:rsidRPr="00671B05">
        <w:rPr>
          <w:rFonts w:asciiTheme="minorHAnsi" w:hAnsiTheme="minorHAnsi"/>
          <w:b/>
        </w:rPr>
        <w:t>Jacksons Creek crossing</w:t>
      </w:r>
      <w:r w:rsidR="00EE390B" w:rsidRPr="00671B05">
        <w:rPr>
          <w:rFonts w:asciiTheme="minorHAnsi" w:hAnsiTheme="minorHAnsi"/>
          <w:b/>
        </w:rPr>
        <w:t xml:space="preserve"> alignments</w:t>
      </w:r>
      <w:bookmarkEnd w:id="7"/>
    </w:p>
    <w:p w:rsidR="00117C31" w:rsidRDefault="00230761" w:rsidP="00117C31">
      <w:pPr>
        <w:rPr>
          <w:rFonts w:asciiTheme="minorHAnsi" w:hAnsiTheme="minorHAnsi"/>
          <w:sz w:val="22"/>
        </w:rPr>
      </w:pPr>
      <w:r>
        <w:rPr>
          <w:rFonts w:asciiTheme="minorHAnsi" w:hAnsiTheme="minorHAnsi"/>
          <w:sz w:val="22"/>
        </w:rPr>
        <w:t>The proposed alignments of both the northern and southern crossings of Jacksons Creek have been confirmed.</w:t>
      </w:r>
    </w:p>
    <w:p w:rsidR="00230761" w:rsidRDefault="00EF2616" w:rsidP="00117C31">
      <w:pPr>
        <w:rPr>
          <w:rFonts w:asciiTheme="minorHAnsi" w:hAnsiTheme="minorHAnsi"/>
          <w:sz w:val="22"/>
        </w:rPr>
      </w:pPr>
      <w:r>
        <w:rPr>
          <w:rFonts w:asciiTheme="minorHAnsi" w:hAnsiTheme="minorHAnsi"/>
          <w:sz w:val="22"/>
        </w:rPr>
        <w:t xml:space="preserve">In 2011, the VPA commissioned GHD to </w:t>
      </w:r>
      <w:proofErr w:type="gramStart"/>
      <w:r>
        <w:rPr>
          <w:rFonts w:asciiTheme="minorHAnsi" w:hAnsiTheme="minorHAnsi"/>
          <w:sz w:val="22"/>
        </w:rPr>
        <w:t>undertake a study of</w:t>
      </w:r>
      <w:proofErr w:type="gramEnd"/>
      <w:r>
        <w:rPr>
          <w:rFonts w:asciiTheme="minorHAnsi" w:hAnsiTheme="minorHAnsi"/>
          <w:sz w:val="22"/>
        </w:rPr>
        <w:t xml:space="preserve"> poten</w:t>
      </w:r>
      <w:r w:rsidR="009B5C12">
        <w:rPr>
          <w:rFonts w:asciiTheme="minorHAnsi" w:hAnsiTheme="minorHAnsi"/>
          <w:sz w:val="22"/>
        </w:rPr>
        <w:t>tial crossing alignments to inform the preparation of the Diggers Rest / Sunbury Growth Corridor Plan.</w:t>
      </w:r>
    </w:p>
    <w:p w:rsidR="00DE74BA" w:rsidRDefault="009B5C12" w:rsidP="00117C31">
      <w:pPr>
        <w:rPr>
          <w:rFonts w:asciiTheme="minorHAnsi" w:hAnsiTheme="minorHAnsi"/>
          <w:sz w:val="22"/>
        </w:rPr>
      </w:pPr>
      <w:r>
        <w:rPr>
          <w:rFonts w:asciiTheme="minorHAnsi" w:hAnsiTheme="minorHAnsi"/>
          <w:sz w:val="22"/>
        </w:rPr>
        <w:t xml:space="preserve">In 2014, the VPA engaged GTA Consultants to </w:t>
      </w:r>
      <w:r w:rsidR="008E580C">
        <w:rPr>
          <w:rFonts w:asciiTheme="minorHAnsi" w:hAnsiTheme="minorHAnsi"/>
          <w:sz w:val="22"/>
        </w:rPr>
        <w:t>review GHD’s study, evaluate the alignment options and advise as to the preferred crossings.  The evaluation considered engineering feasibility, cultural heritage, ecology, amenity, transport network and development considerations.   GTA identified and evaluated six options for the southern crossing and two options for the northern crossing.</w:t>
      </w:r>
    </w:p>
    <w:p w:rsidR="00DE74BA" w:rsidRDefault="00DE74BA" w:rsidP="00117C31">
      <w:pPr>
        <w:rPr>
          <w:rFonts w:asciiTheme="minorHAnsi" w:hAnsiTheme="minorHAnsi"/>
          <w:sz w:val="22"/>
        </w:rPr>
      </w:pPr>
      <w:r>
        <w:rPr>
          <w:rFonts w:asciiTheme="minorHAnsi" w:hAnsiTheme="minorHAnsi"/>
          <w:sz w:val="22"/>
        </w:rPr>
        <w:t xml:space="preserve">The VPA also consulted on the alignment options with: </w:t>
      </w:r>
    </w:p>
    <w:p w:rsidR="008E580C" w:rsidRPr="00DE74BA" w:rsidRDefault="00DE74BA" w:rsidP="00A31EB8">
      <w:pPr>
        <w:pStyle w:val="ListParagraph"/>
        <w:numPr>
          <w:ilvl w:val="0"/>
          <w:numId w:val="44"/>
        </w:numPr>
        <w:rPr>
          <w:rFonts w:cs="Times New Roman"/>
          <w:szCs w:val="18"/>
        </w:rPr>
      </w:pPr>
      <w:r w:rsidRPr="00DE74BA">
        <w:lastRenderedPageBreak/>
        <w:t xml:space="preserve">Parks Victoria in relation </w:t>
      </w:r>
      <w:r>
        <w:t>to</w:t>
      </w:r>
      <w:r w:rsidRPr="00DE74BA">
        <w:t xml:space="preserve"> potential i</w:t>
      </w:r>
      <w:r>
        <w:t>mpacts on biodiversity values; and</w:t>
      </w:r>
    </w:p>
    <w:p w:rsidR="00DE74BA" w:rsidRPr="009E1338" w:rsidRDefault="009E1338" w:rsidP="00A31EB8">
      <w:pPr>
        <w:pStyle w:val="ListParagraph"/>
        <w:numPr>
          <w:ilvl w:val="0"/>
          <w:numId w:val="44"/>
        </w:numPr>
        <w:rPr>
          <w:rFonts w:cs="Times New Roman"/>
          <w:szCs w:val="18"/>
        </w:rPr>
      </w:pPr>
      <w:r>
        <w:t>t</w:t>
      </w:r>
      <w:r w:rsidR="00DB62DB">
        <w:t>he Wurundjeri Council as described above</w:t>
      </w:r>
      <w:r>
        <w:t>; and</w:t>
      </w:r>
    </w:p>
    <w:p w:rsidR="009E1338" w:rsidRPr="00DE74BA" w:rsidRDefault="009E1338" w:rsidP="00A31EB8">
      <w:pPr>
        <w:pStyle w:val="ListParagraph"/>
        <w:numPr>
          <w:ilvl w:val="0"/>
          <w:numId w:val="44"/>
        </w:numPr>
        <w:rPr>
          <w:rFonts w:cs="Times New Roman"/>
          <w:szCs w:val="18"/>
        </w:rPr>
      </w:pPr>
      <w:r>
        <w:t>Council.</w:t>
      </w:r>
    </w:p>
    <w:p w:rsidR="005D6B83" w:rsidRDefault="00B40BA0" w:rsidP="00F204A4">
      <w:pPr>
        <w:rPr>
          <w:rFonts w:asciiTheme="minorHAnsi" w:hAnsiTheme="minorHAnsi"/>
          <w:sz w:val="22"/>
        </w:rPr>
      </w:pPr>
      <w:r>
        <w:rPr>
          <w:rFonts w:asciiTheme="minorHAnsi" w:hAnsiTheme="minorHAnsi"/>
          <w:sz w:val="22"/>
        </w:rPr>
        <w:t xml:space="preserve">The Wurundjeri Council endorsed the alignment of the southern crossing </w:t>
      </w:r>
      <w:r w:rsidR="00F204A4">
        <w:rPr>
          <w:rFonts w:asciiTheme="minorHAnsi" w:hAnsiTheme="minorHAnsi"/>
          <w:sz w:val="22"/>
        </w:rPr>
        <w:t>in March 2015, as part of the preparation of the cultural values assessment for both precincts.</w:t>
      </w:r>
      <w:r w:rsidR="00C07C34">
        <w:rPr>
          <w:rFonts w:asciiTheme="minorHAnsi" w:hAnsiTheme="minorHAnsi"/>
          <w:sz w:val="22"/>
        </w:rPr>
        <w:t xml:space="preserve">  The alignment of the southern crossing has not changed since the Amendments were exhibited.</w:t>
      </w:r>
    </w:p>
    <w:p w:rsidR="003539D0" w:rsidRDefault="00C31520" w:rsidP="003539D0">
      <w:pPr>
        <w:rPr>
          <w:rFonts w:asciiTheme="minorHAnsi" w:hAnsiTheme="minorHAnsi"/>
          <w:sz w:val="22"/>
        </w:rPr>
      </w:pPr>
      <w:r>
        <w:rPr>
          <w:rFonts w:asciiTheme="minorHAnsi" w:hAnsiTheme="minorHAnsi"/>
          <w:sz w:val="22"/>
        </w:rPr>
        <w:t xml:space="preserve">The VPA received confirmation of Wurundjeri Council endorsement </w:t>
      </w:r>
      <w:r w:rsidR="00C07C34">
        <w:rPr>
          <w:rFonts w:asciiTheme="minorHAnsi" w:hAnsiTheme="minorHAnsi"/>
          <w:sz w:val="22"/>
        </w:rPr>
        <w:t xml:space="preserve">of the northern crossing on 3 July 2017.   </w:t>
      </w:r>
      <w:r w:rsidR="00474012">
        <w:rPr>
          <w:rFonts w:asciiTheme="minorHAnsi" w:hAnsiTheme="minorHAnsi"/>
          <w:sz w:val="22"/>
        </w:rPr>
        <w:t xml:space="preserve">The </w:t>
      </w:r>
      <w:r w:rsidR="00AC73CA">
        <w:rPr>
          <w:rFonts w:asciiTheme="minorHAnsi" w:hAnsiTheme="minorHAnsi"/>
          <w:sz w:val="22"/>
        </w:rPr>
        <w:t>proposed alignment of the northern crossing was circulated to the Panel and parties on 24 July 2017.  A copy of the Wurundjeri endorsement of that alignment is at Appendix 10 to the VPA’s Part A submission.</w:t>
      </w:r>
    </w:p>
    <w:p w:rsidR="003F2ED5" w:rsidRPr="00671B05" w:rsidRDefault="003F2ED5" w:rsidP="00CA2D32">
      <w:pPr>
        <w:pStyle w:val="Heading2"/>
        <w:rPr>
          <w:rFonts w:asciiTheme="minorHAnsi" w:hAnsiTheme="minorHAnsi"/>
          <w:b/>
        </w:rPr>
      </w:pPr>
      <w:bookmarkStart w:id="8" w:name="_Toc491027645"/>
      <w:r w:rsidRPr="00671B05">
        <w:rPr>
          <w:rFonts w:asciiTheme="minorHAnsi" w:hAnsiTheme="minorHAnsi"/>
          <w:b/>
        </w:rPr>
        <w:t xml:space="preserve">Integrated </w:t>
      </w:r>
      <w:r w:rsidR="00171431">
        <w:rPr>
          <w:rFonts w:asciiTheme="minorHAnsi" w:hAnsiTheme="minorHAnsi"/>
          <w:b/>
        </w:rPr>
        <w:t>w</w:t>
      </w:r>
      <w:r w:rsidRPr="00671B05">
        <w:rPr>
          <w:rFonts w:asciiTheme="minorHAnsi" w:hAnsiTheme="minorHAnsi"/>
          <w:b/>
        </w:rPr>
        <w:t xml:space="preserve">ater </w:t>
      </w:r>
      <w:r w:rsidR="00171431">
        <w:rPr>
          <w:rFonts w:asciiTheme="minorHAnsi" w:hAnsiTheme="minorHAnsi"/>
          <w:b/>
        </w:rPr>
        <w:t>m</w:t>
      </w:r>
      <w:r w:rsidRPr="00671B05">
        <w:rPr>
          <w:rFonts w:asciiTheme="minorHAnsi" w:hAnsiTheme="minorHAnsi"/>
          <w:b/>
        </w:rPr>
        <w:t xml:space="preserve">anagement requirements </w:t>
      </w:r>
      <w:r w:rsidR="00F02FB3" w:rsidRPr="00671B05">
        <w:rPr>
          <w:rFonts w:asciiTheme="minorHAnsi" w:hAnsiTheme="minorHAnsi"/>
          <w:b/>
        </w:rPr>
        <w:t>process</w:t>
      </w:r>
      <w:bookmarkEnd w:id="8"/>
      <w:r w:rsidR="00F02FB3" w:rsidRPr="00671B05">
        <w:rPr>
          <w:rFonts w:asciiTheme="minorHAnsi" w:hAnsiTheme="minorHAnsi"/>
          <w:b/>
        </w:rPr>
        <w:t xml:space="preserve"> </w:t>
      </w:r>
    </w:p>
    <w:p w:rsidR="00E57C32" w:rsidRDefault="00FC6390" w:rsidP="005E41E1">
      <w:pPr>
        <w:rPr>
          <w:rFonts w:asciiTheme="minorHAnsi" w:hAnsiTheme="minorHAnsi"/>
          <w:sz w:val="22"/>
        </w:rPr>
      </w:pPr>
      <w:r w:rsidRPr="00FC6390">
        <w:rPr>
          <w:rFonts w:asciiTheme="minorHAnsi" w:hAnsiTheme="minorHAnsi"/>
          <w:sz w:val="22"/>
        </w:rPr>
        <w:t xml:space="preserve">The PSP areas </w:t>
      </w:r>
      <w:r w:rsidR="00725F4E">
        <w:rPr>
          <w:rFonts w:asciiTheme="minorHAnsi" w:hAnsiTheme="minorHAnsi"/>
          <w:sz w:val="22"/>
        </w:rPr>
        <w:t>involve</w:t>
      </w:r>
      <w:r w:rsidRPr="00FC6390">
        <w:rPr>
          <w:rFonts w:asciiTheme="minorHAnsi" w:hAnsiTheme="minorHAnsi"/>
          <w:sz w:val="22"/>
        </w:rPr>
        <w:t xml:space="preserve"> challenging land forms for drainage and</w:t>
      </w:r>
      <w:r w:rsidR="00725F4E">
        <w:rPr>
          <w:rFonts w:asciiTheme="minorHAnsi" w:hAnsiTheme="minorHAnsi"/>
          <w:sz w:val="22"/>
        </w:rPr>
        <w:t>,</w:t>
      </w:r>
      <w:r w:rsidRPr="00FC6390">
        <w:rPr>
          <w:rFonts w:asciiTheme="minorHAnsi" w:hAnsiTheme="minorHAnsi"/>
          <w:sz w:val="22"/>
        </w:rPr>
        <w:t xml:space="preserve"> more particularly</w:t>
      </w:r>
      <w:r w:rsidR="00725F4E">
        <w:rPr>
          <w:rFonts w:asciiTheme="minorHAnsi" w:hAnsiTheme="minorHAnsi"/>
          <w:sz w:val="22"/>
        </w:rPr>
        <w:t>,</w:t>
      </w:r>
      <w:r w:rsidRPr="00FC6390">
        <w:rPr>
          <w:rFonts w:asciiTheme="minorHAnsi" w:hAnsiTheme="minorHAnsi"/>
          <w:sz w:val="22"/>
        </w:rPr>
        <w:t xml:space="preserve"> for the equitab</w:t>
      </w:r>
      <w:r>
        <w:rPr>
          <w:rFonts w:asciiTheme="minorHAnsi" w:hAnsiTheme="minorHAnsi"/>
          <w:sz w:val="22"/>
        </w:rPr>
        <w:t xml:space="preserve">le preparation of </w:t>
      </w:r>
      <w:r w:rsidR="00725F4E">
        <w:rPr>
          <w:rFonts w:asciiTheme="minorHAnsi" w:hAnsiTheme="minorHAnsi"/>
          <w:sz w:val="22"/>
        </w:rPr>
        <w:t>DSSs</w:t>
      </w:r>
      <w:r w:rsidRPr="00FC6390">
        <w:rPr>
          <w:rFonts w:asciiTheme="minorHAnsi" w:hAnsiTheme="minorHAnsi"/>
          <w:sz w:val="22"/>
        </w:rPr>
        <w:t xml:space="preserve">.  </w:t>
      </w:r>
      <w:r w:rsidR="00E9053B">
        <w:rPr>
          <w:rFonts w:asciiTheme="minorHAnsi" w:hAnsiTheme="minorHAnsi"/>
          <w:sz w:val="22"/>
        </w:rPr>
        <w:t xml:space="preserve">Work commenced </w:t>
      </w:r>
      <w:r w:rsidR="00E57C32">
        <w:rPr>
          <w:rFonts w:asciiTheme="minorHAnsi" w:hAnsiTheme="minorHAnsi"/>
          <w:sz w:val="22"/>
        </w:rPr>
        <w:t>on integrated water management requirements and DSSs for the Sunbury area in 2014</w:t>
      </w:r>
      <w:r w:rsidR="00504396">
        <w:rPr>
          <w:rFonts w:asciiTheme="minorHAnsi" w:hAnsiTheme="minorHAnsi"/>
          <w:sz w:val="22"/>
        </w:rPr>
        <w:t>.</w:t>
      </w:r>
    </w:p>
    <w:p w:rsidR="00504396" w:rsidRDefault="005346FF" w:rsidP="005E41E1">
      <w:pPr>
        <w:rPr>
          <w:rFonts w:asciiTheme="minorHAnsi" w:hAnsiTheme="minorHAnsi"/>
          <w:sz w:val="22"/>
        </w:rPr>
      </w:pPr>
      <w:r>
        <w:rPr>
          <w:rFonts w:asciiTheme="minorHAnsi" w:hAnsiTheme="minorHAnsi"/>
          <w:sz w:val="22"/>
        </w:rPr>
        <w:t>Numerous</w:t>
      </w:r>
      <w:r w:rsidR="00E57C32">
        <w:rPr>
          <w:rFonts w:asciiTheme="minorHAnsi" w:hAnsiTheme="minorHAnsi"/>
          <w:sz w:val="22"/>
        </w:rPr>
        <w:t xml:space="preserve"> background reports and studies have </w:t>
      </w:r>
      <w:r>
        <w:rPr>
          <w:rFonts w:asciiTheme="minorHAnsi" w:hAnsiTheme="minorHAnsi"/>
          <w:sz w:val="22"/>
        </w:rPr>
        <w:t>since been prepared</w:t>
      </w:r>
      <w:r w:rsidR="00E57C32">
        <w:rPr>
          <w:rFonts w:asciiTheme="minorHAnsi" w:hAnsiTheme="minorHAnsi"/>
          <w:sz w:val="22"/>
        </w:rPr>
        <w:t xml:space="preserve"> by consultants on behalf of Melbourne Water and other authorities, including Western Water.</w:t>
      </w:r>
      <w:r w:rsidR="00504396">
        <w:rPr>
          <w:rFonts w:asciiTheme="minorHAnsi" w:hAnsiTheme="minorHAnsi"/>
          <w:sz w:val="22"/>
        </w:rPr>
        <w:t xml:space="preserve">  These consider opportunities and constraints for alternative water, stormwater treatment assets, waterway values and future risks in the catchment.  </w:t>
      </w:r>
    </w:p>
    <w:p w:rsidR="00596B76" w:rsidRDefault="00504396" w:rsidP="005E41E1">
      <w:pPr>
        <w:rPr>
          <w:rFonts w:asciiTheme="minorHAnsi" w:hAnsiTheme="minorHAnsi"/>
          <w:sz w:val="22"/>
        </w:rPr>
      </w:pPr>
      <w:r>
        <w:rPr>
          <w:rFonts w:asciiTheme="minorHAnsi" w:hAnsiTheme="minorHAnsi"/>
          <w:sz w:val="22"/>
        </w:rPr>
        <w:t>T</w:t>
      </w:r>
      <w:r w:rsidR="00AF6062">
        <w:rPr>
          <w:rFonts w:asciiTheme="minorHAnsi" w:hAnsiTheme="minorHAnsi"/>
          <w:sz w:val="22"/>
        </w:rPr>
        <w:t xml:space="preserve">he </w:t>
      </w:r>
      <w:r w:rsidR="003B6EED">
        <w:rPr>
          <w:rFonts w:asciiTheme="minorHAnsi" w:hAnsiTheme="minorHAnsi"/>
          <w:sz w:val="22"/>
        </w:rPr>
        <w:t>reports include</w:t>
      </w:r>
      <w:r w:rsidR="005E41E1" w:rsidRPr="005E41E1">
        <w:rPr>
          <w:rFonts w:asciiTheme="minorHAnsi" w:hAnsiTheme="minorHAnsi"/>
          <w:sz w:val="22"/>
        </w:rPr>
        <w:t xml:space="preserve"> information and analysis of riparian vegetation and geomorphology, erosion potential, conceptual and selected functional design of assets based on hydrological, hydraulic, stormwater treatment and alternative water supply functions. </w:t>
      </w:r>
    </w:p>
    <w:p w:rsidR="00853934" w:rsidRDefault="005E41E1" w:rsidP="005E41E1">
      <w:pPr>
        <w:rPr>
          <w:rFonts w:asciiTheme="minorHAnsi" w:hAnsiTheme="minorHAnsi"/>
          <w:sz w:val="22"/>
        </w:rPr>
      </w:pPr>
      <w:r w:rsidRPr="005E41E1">
        <w:rPr>
          <w:rFonts w:asciiTheme="minorHAnsi" w:hAnsiTheme="minorHAnsi"/>
          <w:sz w:val="22"/>
        </w:rPr>
        <w:t xml:space="preserve">Many of these reports </w:t>
      </w:r>
      <w:r w:rsidR="00596B76">
        <w:rPr>
          <w:rFonts w:asciiTheme="minorHAnsi" w:hAnsiTheme="minorHAnsi"/>
          <w:sz w:val="22"/>
        </w:rPr>
        <w:t>remain</w:t>
      </w:r>
      <w:r w:rsidR="00853934">
        <w:rPr>
          <w:rFonts w:asciiTheme="minorHAnsi" w:hAnsiTheme="minorHAnsi"/>
          <w:sz w:val="22"/>
        </w:rPr>
        <w:t xml:space="preserve"> working documents, with the DSSs still to be finalised. </w:t>
      </w:r>
      <w:r w:rsidR="00F24FBB">
        <w:rPr>
          <w:rFonts w:asciiTheme="minorHAnsi" w:hAnsiTheme="minorHAnsi"/>
          <w:sz w:val="22"/>
        </w:rPr>
        <w:t xml:space="preserve"> The VPA is advised that these reports can be made available to the Panel if further background information is required for the purposes of considered the Amendments.</w:t>
      </w:r>
    </w:p>
    <w:p w:rsidR="00F24FBB" w:rsidRDefault="00163772" w:rsidP="005E41E1">
      <w:pPr>
        <w:rPr>
          <w:rFonts w:asciiTheme="minorHAnsi" w:hAnsiTheme="minorHAnsi"/>
          <w:sz w:val="22"/>
        </w:rPr>
      </w:pPr>
      <w:r>
        <w:rPr>
          <w:rFonts w:asciiTheme="minorHAnsi" w:hAnsiTheme="minorHAnsi"/>
          <w:sz w:val="22"/>
        </w:rPr>
        <w:t>The conceptual design of the integrated water management assets and DSS layouts have been refined over the years with the complet</w:t>
      </w:r>
      <w:r w:rsidR="008647B1">
        <w:rPr>
          <w:rFonts w:asciiTheme="minorHAnsi" w:hAnsiTheme="minorHAnsi"/>
          <w:sz w:val="22"/>
        </w:rPr>
        <w:t>ion of the background reports, which have clarified the opportunities and constraints for the landscape and stakeholders.</w:t>
      </w:r>
    </w:p>
    <w:p w:rsidR="005B73C1" w:rsidRDefault="005B73C1" w:rsidP="005E41E1">
      <w:pPr>
        <w:rPr>
          <w:rFonts w:asciiTheme="minorHAnsi" w:hAnsiTheme="minorHAnsi"/>
          <w:sz w:val="22"/>
        </w:rPr>
      </w:pPr>
      <w:r>
        <w:rPr>
          <w:rFonts w:asciiTheme="minorHAnsi" w:hAnsiTheme="minorHAnsi"/>
          <w:sz w:val="22"/>
        </w:rPr>
        <w:t>The VPA and Melbou</w:t>
      </w:r>
      <w:r w:rsidR="00E62BEF">
        <w:rPr>
          <w:rFonts w:asciiTheme="minorHAnsi" w:hAnsiTheme="minorHAnsi"/>
          <w:sz w:val="22"/>
        </w:rPr>
        <w:t>rne Water have</w:t>
      </w:r>
      <w:r>
        <w:rPr>
          <w:rFonts w:asciiTheme="minorHAnsi" w:hAnsiTheme="minorHAnsi"/>
          <w:sz w:val="22"/>
        </w:rPr>
        <w:t xml:space="preserve"> engaged in consultation with landowners and stakeholders during this process.  This has included updates </w:t>
      </w:r>
      <w:r w:rsidR="001E06D3">
        <w:rPr>
          <w:rFonts w:asciiTheme="minorHAnsi" w:hAnsiTheme="minorHAnsi"/>
          <w:sz w:val="22"/>
        </w:rPr>
        <w:t xml:space="preserve">to </w:t>
      </w:r>
      <w:r w:rsidR="00F04E5F">
        <w:rPr>
          <w:rFonts w:asciiTheme="minorHAnsi" w:hAnsiTheme="minorHAnsi"/>
          <w:sz w:val="22"/>
        </w:rPr>
        <w:t>plans</w:t>
      </w:r>
      <w:r w:rsidR="001E06D3">
        <w:rPr>
          <w:rFonts w:asciiTheme="minorHAnsi" w:hAnsiTheme="minorHAnsi"/>
          <w:sz w:val="22"/>
        </w:rPr>
        <w:t xml:space="preserve"> </w:t>
      </w:r>
      <w:r w:rsidR="00E62BEF">
        <w:rPr>
          <w:rFonts w:asciiTheme="minorHAnsi" w:hAnsiTheme="minorHAnsi"/>
          <w:sz w:val="22"/>
        </w:rPr>
        <w:t>in response to alternative water designs, feedback and drainage designs submitted by landowners.</w:t>
      </w:r>
      <w:r w:rsidR="00427966">
        <w:rPr>
          <w:rFonts w:asciiTheme="minorHAnsi" w:hAnsiTheme="minorHAnsi"/>
          <w:sz w:val="22"/>
        </w:rPr>
        <w:t xml:space="preserve">  The results of the background studies, consultation and functional design reports have shaped the integrated water management requirements in the PSPs.</w:t>
      </w:r>
      <w:r w:rsidR="00E62BEF">
        <w:rPr>
          <w:rFonts w:asciiTheme="minorHAnsi" w:hAnsiTheme="minorHAnsi"/>
          <w:sz w:val="22"/>
        </w:rPr>
        <w:t xml:space="preserve">  </w:t>
      </w:r>
    </w:p>
    <w:p w:rsidR="006B0238" w:rsidRDefault="006B0238" w:rsidP="005E41E1">
      <w:pPr>
        <w:rPr>
          <w:rFonts w:asciiTheme="minorHAnsi" w:hAnsiTheme="minorHAnsi"/>
          <w:sz w:val="22"/>
        </w:rPr>
      </w:pPr>
      <w:r>
        <w:rPr>
          <w:rFonts w:asciiTheme="minorHAnsi" w:hAnsiTheme="minorHAnsi"/>
          <w:sz w:val="22"/>
        </w:rPr>
        <w:t>The exhibited PSPs reflect a working version of the DSSs, which indicated the conceptual locations of waterways and drainage infrastructure within the precincts.</w:t>
      </w:r>
    </w:p>
    <w:p w:rsidR="00E34DE5" w:rsidRDefault="00E34DE5" w:rsidP="005E41E1">
      <w:pPr>
        <w:rPr>
          <w:rFonts w:asciiTheme="minorHAnsi" w:hAnsiTheme="minorHAnsi"/>
          <w:sz w:val="22"/>
        </w:rPr>
      </w:pPr>
      <w:r>
        <w:rPr>
          <w:rFonts w:asciiTheme="minorHAnsi" w:hAnsiTheme="minorHAnsi"/>
          <w:sz w:val="22"/>
        </w:rPr>
        <w:lastRenderedPageBreak/>
        <w:t xml:space="preserve">On 27 June 2017, the </w:t>
      </w:r>
      <w:r w:rsidR="008709B6">
        <w:rPr>
          <w:rFonts w:asciiTheme="minorHAnsi" w:hAnsiTheme="minorHAnsi"/>
          <w:sz w:val="22"/>
        </w:rPr>
        <w:t xml:space="preserve">VPA wrote to </w:t>
      </w:r>
      <w:r w:rsidR="00AB7C67">
        <w:rPr>
          <w:rFonts w:asciiTheme="minorHAnsi" w:hAnsiTheme="minorHAnsi"/>
          <w:sz w:val="22"/>
        </w:rPr>
        <w:t>affecte</w:t>
      </w:r>
      <w:r w:rsidR="00755798">
        <w:rPr>
          <w:rFonts w:asciiTheme="minorHAnsi" w:hAnsiTheme="minorHAnsi"/>
          <w:sz w:val="22"/>
        </w:rPr>
        <w:t xml:space="preserve">d landowners and submitters to advise that Melbourne Water had completed a review of the drainage infrastructure required to service the PSP areas, </w:t>
      </w:r>
      <w:r w:rsidR="007562FD">
        <w:rPr>
          <w:rFonts w:asciiTheme="minorHAnsi" w:hAnsiTheme="minorHAnsi"/>
          <w:sz w:val="22"/>
        </w:rPr>
        <w:t>which</w:t>
      </w:r>
      <w:r w:rsidR="00755798">
        <w:rPr>
          <w:rFonts w:asciiTheme="minorHAnsi" w:hAnsiTheme="minorHAnsi"/>
          <w:sz w:val="22"/>
        </w:rPr>
        <w:t xml:space="preserve"> will form the basis of the draft DSS</w:t>
      </w:r>
      <w:r w:rsidR="00D96BC3">
        <w:rPr>
          <w:rFonts w:asciiTheme="minorHAnsi" w:hAnsiTheme="minorHAnsi"/>
          <w:sz w:val="22"/>
        </w:rPr>
        <w:t>s</w:t>
      </w:r>
      <w:r w:rsidR="00755798">
        <w:rPr>
          <w:rFonts w:asciiTheme="minorHAnsi" w:hAnsiTheme="minorHAnsi"/>
          <w:sz w:val="22"/>
        </w:rPr>
        <w:t>.</w:t>
      </w:r>
      <w:r w:rsidR="00D548EB">
        <w:rPr>
          <w:rFonts w:asciiTheme="minorHAnsi" w:hAnsiTheme="minorHAnsi"/>
          <w:sz w:val="22"/>
        </w:rPr>
        <w:t xml:space="preserve">  Attached to this letter</w:t>
      </w:r>
      <w:r w:rsidR="00AB7C67">
        <w:rPr>
          <w:rFonts w:asciiTheme="minorHAnsi" w:hAnsiTheme="minorHAnsi"/>
          <w:sz w:val="22"/>
        </w:rPr>
        <w:t xml:space="preserve"> </w:t>
      </w:r>
      <w:r w:rsidR="007562FD">
        <w:rPr>
          <w:rFonts w:asciiTheme="minorHAnsi" w:hAnsiTheme="minorHAnsi"/>
          <w:sz w:val="22"/>
        </w:rPr>
        <w:t>were:</w:t>
      </w:r>
    </w:p>
    <w:p w:rsidR="007562FD" w:rsidRDefault="007562FD" w:rsidP="007562FD">
      <w:pPr>
        <w:pStyle w:val="ListParagraph"/>
        <w:numPr>
          <w:ilvl w:val="0"/>
          <w:numId w:val="43"/>
        </w:numPr>
      </w:pPr>
      <w:r>
        <w:t>a map showing the draft DSS water quality assets and waterway corridors laid over the exhibited Future Urban Structure; and</w:t>
      </w:r>
    </w:p>
    <w:p w:rsidR="007562FD" w:rsidRPr="007562FD" w:rsidRDefault="00C03257" w:rsidP="007562FD">
      <w:pPr>
        <w:pStyle w:val="ListParagraph"/>
        <w:numPr>
          <w:ilvl w:val="0"/>
          <w:numId w:val="43"/>
        </w:numPr>
      </w:pPr>
      <w:r>
        <w:t>a comparison between the exhibited and revised draft DSS water quality assets land take for each property within the PSPs.</w:t>
      </w:r>
    </w:p>
    <w:p w:rsidR="005E41E1" w:rsidRDefault="007300D2" w:rsidP="005E41E1">
      <w:pPr>
        <w:rPr>
          <w:rFonts w:asciiTheme="minorHAnsi" w:hAnsiTheme="minorHAnsi"/>
          <w:sz w:val="22"/>
        </w:rPr>
      </w:pPr>
      <w:r>
        <w:rPr>
          <w:rFonts w:asciiTheme="minorHAnsi" w:hAnsiTheme="minorHAnsi"/>
          <w:sz w:val="22"/>
        </w:rPr>
        <w:t>The VPA understands the DSSs to</w:t>
      </w:r>
      <w:r w:rsidR="005E41E1" w:rsidRPr="005E41E1">
        <w:rPr>
          <w:rFonts w:asciiTheme="minorHAnsi" w:hAnsiTheme="minorHAnsi"/>
          <w:sz w:val="22"/>
        </w:rPr>
        <w:t xml:space="preserve"> offer </w:t>
      </w:r>
      <w:r>
        <w:rPr>
          <w:rFonts w:asciiTheme="minorHAnsi" w:hAnsiTheme="minorHAnsi"/>
          <w:sz w:val="22"/>
        </w:rPr>
        <w:t xml:space="preserve">flexibility in drainage design, typically at the time of subdivision, </w:t>
      </w:r>
      <w:r w:rsidR="005E41E1" w:rsidRPr="005E41E1">
        <w:rPr>
          <w:rFonts w:asciiTheme="minorHAnsi" w:hAnsiTheme="minorHAnsi"/>
          <w:sz w:val="22"/>
        </w:rPr>
        <w:t xml:space="preserve">provided the objectives of the DSS are met. </w:t>
      </w:r>
    </w:p>
    <w:p w:rsidR="00811301" w:rsidRDefault="00811301" w:rsidP="005E41E1">
      <w:pPr>
        <w:rPr>
          <w:rFonts w:asciiTheme="minorHAnsi" w:hAnsiTheme="minorHAnsi"/>
          <w:sz w:val="22"/>
        </w:rPr>
      </w:pPr>
      <w:r>
        <w:rPr>
          <w:rFonts w:asciiTheme="minorHAnsi" w:hAnsiTheme="minorHAnsi"/>
          <w:sz w:val="22"/>
        </w:rPr>
        <w:t>The VPA relies on the following expert witness reports that provide further information and opinions in relation to the preparation of the DSSs:</w:t>
      </w:r>
    </w:p>
    <w:p w:rsidR="00811301" w:rsidRDefault="00811301" w:rsidP="00811301">
      <w:pPr>
        <w:pStyle w:val="ListParagraph"/>
        <w:numPr>
          <w:ilvl w:val="0"/>
          <w:numId w:val="16"/>
        </w:numPr>
      </w:pPr>
      <w:r>
        <w:t>Mr Blackham of Alluvium in relation to geomorphology;</w:t>
      </w:r>
    </w:p>
    <w:p w:rsidR="00811301" w:rsidRDefault="00811301" w:rsidP="00811301">
      <w:pPr>
        <w:pStyle w:val="ListParagraph"/>
        <w:numPr>
          <w:ilvl w:val="0"/>
          <w:numId w:val="16"/>
        </w:numPr>
      </w:pPr>
      <w:r>
        <w:t xml:space="preserve">Mr Gilmore of </w:t>
      </w:r>
      <w:proofErr w:type="spellStart"/>
      <w:r>
        <w:t>Biosis</w:t>
      </w:r>
      <w:proofErr w:type="spellEnd"/>
      <w:r>
        <w:t xml:space="preserve"> in relation to ecology; and</w:t>
      </w:r>
    </w:p>
    <w:p w:rsidR="00811301" w:rsidRDefault="00811301" w:rsidP="00811301">
      <w:pPr>
        <w:pStyle w:val="ListParagraph"/>
        <w:numPr>
          <w:ilvl w:val="0"/>
          <w:numId w:val="16"/>
        </w:numPr>
      </w:pPr>
      <w:r>
        <w:t xml:space="preserve">Mr Clemson of </w:t>
      </w:r>
      <w:proofErr w:type="spellStart"/>
      <w:r>
        <w:t>Engeny</w:t>
      </w:r>
      <w:proofErr w:type="spellEnd"/>
      <w:r>
        <w:t xml:space="preserve"> Water Management in relation to drainage engineering.</w:t>
      </w:r>
    </w:p>
    <w:p w:rsidR="00811301" w:rsidRPr="00811301" w:rsidRDefault="00353C10" w:rsidP="00811301">
      <w:pPr>
        <w:rPr>
          <w:rFonts w:asciiTheme="minorHAnsi" w:hAnsiTheme="minorHAnsi"/>
          <w:sz w:val="22"/>
        </w:rPr>
      </w:pPr>
      <w:r>
        <w:rPr>
          <w:rFonts w:asciiTheme="minorHAnsi" w:hAnsiTheme="minorHAnsi"/>
          <w:sz w:val="22"/>
        </w:rPr>
        <w:t>These describe</w:t>
      </w:r>
      <w:r w:rsidR="00811301">
        <w:rPr>
          <w:rFonts w:asciiTheme="minorHAnsi" w:hAnsiTheme="minorHAnsi"/>
          <w:sz w:val="22"/>
        </w:rPr>
        <w:t xml:space="preserve"> the involvement of the authors and their colleagues in preparing the various background reports.</w:t>
      </w:r>
    </w:p>
    <w:p w:rsidR="003F2ED5" w:rsidRPr="00671B05" w:rsidRDefault="003F2ED5" w:rsidP="00CA2D32">
      <w:pPr>
        <w:pStyle w:val="Heading2"/>
        <w:rPr>
          <w:rFonts w:asciiTheme="minorHAnsi" w:hAnsiTheme="minorHAnsi"/>
          <w:b/>
        </w:rPr>
      </w:pPr>
      <w:bookmarkStart w:id="9" w:name="_Toc491027646"/>
      <w:proofErr w:type="spellStart"/>
      <w:r w:rsidRPr="00671B05">
        <w:rPr>
          <w:rFonts w:asciiTheme="minorHAnsi" w:hAnsiTheme="minorHAnsi"/>
          <w:b/>
        </w:rPr>
        <w:t>Bal</w:t>
      </w:r>
      <w:r w:rsidR="00CA2D32" w:rsidRPr="00671B05">
        <w:rPr>
          <w:rFonts w:asciiTheme="minorHAnsi" w:hAnsiTheme="minorHAnsi"/>
          <w:b/>
        </w:rPr>
        <w:t>bethan</w:t>
      </w:r>
      <w:proofErr w:type="spellEnd"/>
      <w:r w:rsidR="00CA2D32" w:rsidRPr="00671B05">
        <w:rPr>
          <w:rFonts w:asciiTheme="minorHAnsi" w:hAnsiTheme="minorHAnsi"/>
          <w:b/>
        </w:rPr>
        <w:t xml:space="preserve"> Residential Concept Plan</w:t>
      </w:r>
      <w:r w:rsidR="00EE390B" w:rsidRPr="00671B05">
        <w:rPr>
          <w:rFonts w:asciiTheme="minorHAnsi" w:hAnsiTheme="minorHAnsi"/>
          <w:b/>
        </w:rPr>
        <w:t xml:space="preserve"> status</w:t>
      </w:r>
      <w:bookmarkEnd w:id="9"/>
    </w:p>
    <w:p w:rsidR="00D54E89" w:rsidRDefault="00D54E89" w:rsidP="00D54E89">
      <w:pPr>
        <w:rPr>
          <w:rFonts w:asciiTheme="minorHAnsi" w:hAnsiTheme="minorHAnsi"/>
          <w:i/>
          <w:sz w:val="22"/>
          <w:lang w:eastAsia="en-US"/>
        </w:rPr>
      </w:pPr>
      <w:r>
        <w:rPr>
          <w:rFonts w:asciiTheme="minorHAnsi" w:hAnsiTheme="minorHAnsi"/>
          <w:i/>
          <w:sz w:val="22"/>
          <w:lang w:eastAsia="en-US"/>
        </w:rPr>
        <w:t>Lancefield Road PSP (C208) – Submission 77 (M Gray)</w:t>
      </w:r>
      <w:r w:rsidR="00E87CCD">
        <w:rPr>
          <w:rFonts w:asciiTheme="minorHAnsi" w:hAnsiTheme="minorHAnsi"/>
          <w:i/>
          <w:sz w:val="22"/>
          <w:lang w:eastAsia="en-US"/>
        </w:rPr>
        <w:t xml:space="preserve"> and others in relation to the same matters</w:t>
      </w:r>
    </w:p>
    <w:p w:rsidR="00B91FA4" w:rsidRDefault="004660FC" w:rsidP="00B91FA4">
      <w:pPr>
        <w:rPr>
          <w:rFonts w:asciiTheme="minorHAnsi" w:hAnsiTheme="minorHAnsi"/>
          <w:sz w:val="22"/>
        </w:rPr>
      </w:pPr>
      <w:r>
        <w:rPr>
          <w:rFonts w:asciiTheme="minorHAnsi" w:hAnsiTheme="minorHAnsi"/>
          <w:sz w:val="22"/>
        </w:rPr>
        <w:t xml:space="preserve">The </w:t>
      </w:r>
      <w:proofErr w:type="spellStart"/>
      <w:r>
        <w:rPr>
          <w:rFonts w:asciiTheme="minorHAnsi" w:hAnsiTheme="minorHAnsi"/>
          <w:sz w:val="22"/>
        </w:rPr>
        <w:t>Balbethan</w:t>
      </w:r>
      <w:proofErr w:type="spellEnd"/>
      <w:r>
        <w:rPr>
          <w:rFonts w:asciiTheme="minorHAnsi" w:hAnsiTheme="minorHAnsi"/>
          <w:sz w:val="22"/>
        </w:rPr>
        <w:t xml:space="preserve"> Residential Concept Plan </w:t>
      </w:r>
      <w:r w:rsidR="009A00CD">
        <w:rPr>
          <w:rFonts w:asciiTheme="minorHAnsi" w:hAnsiTheme="minorHAnsi"/>
          <w:sz w:val="22"/>
        </w:rPr>
        <w:t>is at Figure 1 in the Lancefield Road PSP.</w:t>
      </w:r>
      <w:r w:rsidR="009A00CD">
        <w:rPr>
          <w:rStyle w:val="FootnoteReference"/>
          <w:rFonts w:asciiTheme="minorHAnsi" w:hAnsiTheme="minorHAnsi"/>
          <w:sz w:val="22"/>
        </w:rPr>
        <w:footnoteReference w:id="18"/>
      </w:r>
      <w:r w:rsidR="00F77650">
        <w:rPr>
          <w:rFonts w:asciiTheme="minorHAnsi" w:hAnsiTheme="minorHAnsi"/>
          <w:sz w:val="22"/>
        </w:rPr>
        <w:t xml:space="preserve">  It includes a note stating:</w:t>
      </w:r>
    </w:p>
    <w:p w:rsidR="00F77650" w:rsidRPr="00F77650" w:rsidRDefault="00F77650" w:rsidP="00F77650">
      <w:pPr>
        <w:ind w:left="360"/>
        <w:rPr>
          <w:rFonts w:asciiTheme="minorHAnsi" w:hAnsiTheme="minorHAnsi"/>
          <w:i/>
          <w:sz w:val="22"/>
        </w:rPr>
      </w:pPr>
      <w:r>
        <w:rPr>
          <w:rFonts w:asciiTheme="minorHAnsi" w:hAnsiTheme="minorHAnsi"/>
          <w:i/>
          <w:sz w:val="22"/>
        </w:rPr>
        <w:t>Plan is for illustrative purposes and is indicative only.  It is subject to further development to determine viability of/compatibility with existing dwellings.</w:t>
      </w:r>
    </w:p>
    <w:p w:rsidR="0093591C" w:rsidRDefault="00557D5C" w:rsidP="0093591C">
      <w:pPr>
        <w:rPr>
          <w:rFonts w:asciiTheme="minorHAnsi" w:hAnsiTheme="minorHAnsi"/>
          <w:sz w:val="22"/>
        </w:rPr>
      </w:pPr>
      <w:r>
        <w:rPr>
          <w:rFonts w:asciiTheme="minorHAnsi" w:hAnsiTheme="minorHAnsi"/>
          <w:sz w:val="22"/>
        </w:rPr>
        <w:t xml:space="preserve">Each of the concept plans exhibited with the PSPs were considered draft versions, to be refined following receipt of submissions.  </w:t>
      </w:r>
      <w:r w:rsidR="00942C0C">
        <w:rPr>
          <w:rFonts w:asciiTheme="minorHAnsi" w:hAnsiTheme="minorHAnsi"/>
          <w:sz w:val="22"/>
        </w:rPr>
        <w:t xml:space="preserve">A revised </w:t>
      </w:r>
      <w:proofErr w:type="spellStart"/>
      <w:r w:rsidR="00942C0C">
        <w:rPr>
          <w:rFonts w:asciiTheme="minorHAnsi" w:hAnsiTheme="minorHAnsi"/>
          <w:sz w:val="22"/>
        </w:rPr>
        <w:t>Balbethan</w:t>
      </w:r>
      <w:proofErr w:type="spellEnd"/>
      <w:r w:rsidR="00942C0C">
        <w:rPr>
          <w:rFonts w:asciiTheme="minorHAnsi" w:hAnsiTheme="minorHAnsi"/>
          <w:sz w:val="22"/>
        </w:rPr>
        <w:t xml:space="preserve"> Residential Concept Plan has since been prepared.</w:t>
      </w:r>
    </w:p>
    <w:p w:rsidR="00942C0C" w:rsidRDefault="00886C24" w:rsidP="0093591C">
      <w:pPr>
        <w:rPr>
          <w:rFonts w:asciiTheme="minorHAnsi" w:hAnsiTheme="minorHAnsi"/>
          <w:sz w:val="22"/>
        </w:rPr>
      </w:pPr>
      <w:r>
        <w:rPr>
          <w:rFonts w:asciiTheme="minorHAnsi" w:hAnsiTheme="minorHAnsi"/>
          <w:sz w:val="22"/>
        </w:rPr>
        <w:t xml:space="preserve">The </w:t>
      </w:r>
      <w:proofErr w:type="spellStart"/>
      <w:r>
        <w:rPr>
          <w:rFonts w:asciiTheme="minorHAnsi" w:hAnsiTheme="minorHAnsi"/>
          <w:sz w:val="22"/>
        </w:rPr>
        <w:t>Balbethan</w:t>
      </w:r>
      <w:proofErr w:type="spellEnd"/>
      <w:r>
        <w:rPr>
          <w:rFonts w:asciiTheme="minorHAnsi" w:hAnsiTheme="minorHAnsi"/>
          <w:sz w:val="22"/>
        </w:rPr>
        <w:t xml:space="preserve"> area is subject to </w:t>
      </w:r>
      <w:proofErr w:type="gramStart"/>
      <w:r>
        <w:rPr>
          <w:rFonts w:asciiTheme="minorHAnsi" w:hAnsiTheme="minorHAnsi"/>
          <w:sz w:val="22"/>
        </w:rPr>
        <w:t>a greater degree of</w:t>
      </w:r>
      <w:proofErr w:type="gramEnd"/>
      <w:r>
        <w:rPr>
          <w:rFonts w:asciiTheme="minorHAnsi" w:hAnsiTheme="minorHAnsi"/>
          <w:sz w:val="22"/>
        </w:rPr>
        <w:t xml:space="preserve"> land fragmentation and </w:t>
      </w:r>
      <w:r w:rsidR="00BB7A07">
        <w:rPr>
          <w:rFonts w:asciiTheme="minorHAnsi" w:hAnsiTheme="minorHAnsi"/>
          <w:sz w:val="22"/>
        </w:rPr>
        <w:t>more existing development than other areas within the precincts.  The VPA considers that staging development and infrastructure will therefore be more challenging in this area.</w:t>
      </w:r>
    </w:p>
    <w:p w:rsidR="00BB7A07" w:rsidRDefault="00BB7A07" w:rsidP="0093591C">
      <w:pPr>
        <w:rPr>
          <w:rFonts w:asciiTheme="minorHAnsi" w:hAnsiTheme="minorHAnsi"/>
          <w:sz w:val="22"/>
        </w:rPr>
      </w:pPr>
      <w:r>
        <w:rPr>
          <w:rFonts w:asciiTheme="minorHAnsi" w:hAnsiTheme="minorHAnsi"/>
          <w:sz w:val="22"/>
        </w:rPr>
        <w:t>In response to those challenges, the VPA has included the upgrades of key access roads through the area as ICP-funded items.  This is to ensure that the core infrastructure for the area can be delivered in a cohesive manner.</w:t>
      </w:r>
    </w:p>
    <w:p w:rsidR="00BB7A07" w:rsidRDefault="00BB7A07" w:rsidP="0093591C">
      <w:pPr>
        <w:rPr>
          <w:rFonts w:asciiTheme="minorHAnsi" w:hAnsiTheme="minorHAnsi"/>
          <w:sz w:val="22"/>
        </w:rPr>
      </w:pPr>
      <w:r>
        <w:rPr>
          <w:rFonts w:asciiTheme="minorHAnsi" w:hAnsiTheme="minorHAnsi"/>
          <w:sz w:val="22"/>
        </w:rPr>
        <w:lastRenderedPageBreak/>
        <w:t>In addition, the VPA has prepared a set of ‘development principles’ and additional requ</w:t>
      </w:r>
      <w:r w:rsidR="000B583C">
        <w:rPr>
          <w:rFonts w:asciiTheme="minorHAnsi" w:hAnsiTheme="minorHAnsi"/>
          <w:sz w:val="22"/>
        </w:rPr>
        <w:t>irements and guidelines for the</w:t>
      </w:r>
      <w:r>
        <w:rPr>
          <w:rFonts w:asciiTheme="minorHAnsi" w:hAnsiTheme="minorHAnsi"/>
          <w:sz w:val="22"/>
        </w:rPr>
        <w:t xml:space="preserve"> area.  </w:t>
      </w:r>
    </w:p>
    <w:p w:rsidR="00BB7A07" w:rsidRDefault="00BB7A07" w:rsidP="0093591C">
      <w:pPr>
        <w:rPr>
          <w:rFonts w:asciiTheme="minorHAnsi" w:hAnsiTheme="minorHAnsi"/>
          <w:sz w:val="22"/>
        </w:rPr>
      </w:pPr>
      <w:r>
        <w:rPr>
          <w:rFonts w:asciiTheme="minorHAnsi" w:hAnsiTheme="minorHAnsi"/>
          <w:sz w:val="22"/>
        </w:rPr>
        <w:t xml:space="preserve">The </w:t>
      </w:r>
      <w:r w:rsidR="005858D8">
        <w:rPr>
          <w:rFonts w:asciiTheme="minorHAnsi" w:hAnsiTheme="minorHAnsi"/>
          <w:sz w:val="22"/>
        </w:rPr>
        <w:t>new requirements will:</w:t>
      </w:r>
    </w:p>
    <w:p w:rsidR="001C5FE9" w:rsidRPr="005858D8" w:rsidRDefault="005858D8" w:rsidP="003340E2">
      <w:pPr>
        <w:pStyle w:val="ListParagraph"/>
        <w:numPr>
          <w:ilvl w:val="0"/>
          <w:numId w:val="35"/>
        </w:numPr>
      </w:pPr>
      <w:r>
        <w:t>e</w:t>
      </w:r>
      <w:r w:rsidR="001C5FE9" w:rsidRPr="005858D8">
        <w:t>nsure that all lots have access to a connected pedestrian path network extending beyond the concept plan area</w:t>
      </w:r>
      <w:r>
        <w:t>;</w:t>
      </w:r>
      <w:r w:rsidR="001C5FE9" w:rsidRPr="005858D8">
        <w:t xml:space="preserve"> </w:t>
      </w:r>
    </w:p>
    <w:p w:rsidR="001C5FE9" w:rsidRPr="005858D8" w:rsidRDefault="005858D8" w:rsidP="003340E2">
      <w:pPr>
        <w:pStyle w:val="ListParagraph"/>
        <w:numPr>
          <w:ilvl w:val="0"/>
          <w:numId w:val="35"/>
        </w:numPr>
      </w:pPr>
      <w:r>
        <w:t>p</w:t>
      </w:r>
      <w:r w:rsidR="001C5FE9" w:rsidRPr="005858D8">
        <w:t>rovide for the orderly upgrade of the existing connector road network to support development of fragmented parcels</w:t>
      </w:r>
      <w:r>
        <w:t>;</w:t>
      </w:r>
    </w:p>
    <w:p w:rsidR="001C5FE9" w:rsidRPr="005858D8" w:rsidRDefault="005858D8" w:rsidP="003340E2">
      <w:pPr>
        <w:pStyle w:val="ListParagraph"/>
        <w:numPr>
          <w:ilvl w:val="0"/>
          <w:numId w:val="35"/>
        </w:numPr>
      </w:pPr>
      <w:r>
        <w:t>e</w:t>
      </w:r>
      <w:r w:rsidR="001C5FE9" w:rsidRPr="005858D8">
        <w:t>nsure that street layouts of individual subdivisions integrate to form a coherent movement network across the wider precinct and ensure no dwelling is disadvantaged by poor access to open space or community facilities</w:t>
      </w:r>
      <w:r>
        <w:t>;</w:t>
      </w:r>
    </w:p>
    <w:p w:rsidR="001C5FE9" w:rsidRPr="005858D8" w:rsidRDefault="005858D8" w:rsidP="003340E2">
      <w:pPr>
        <w:pStyle w:val="ListParagraph"/>
        <w:numPr>
          <w:ilvl w:val="0"/>
          <w:numId w:val="35"/>
        </w:numPr>
      </w:pPr>
      <w:r>
        <w:t>p</w:t>
      </w:r>
      <w:r w:rsidR="001C5FE9" w:rsidRPr="005858D8">
        <w:t>rovide for the timely connection of road links between properties, as well as to the connector street, arterial road and off-road p</w:t>
      </w:r>
      <w:r>
        <w:t>edestrian and bicycle networks; and</w:t>
      </w:r>
    </w:p>
    <w:p w:rsidR="001C5FE9" w:rsidRDefault="005858D8" w:rsidP="003340E2">
      <w:pPr>
        <w:pStyle w:val="ListParagraph"/>
        <w:numPr>
          <w:ilvl w:val="0"/>
          <w:numId w:val="35"/>
        </w:numPr>
      </w:pPr>
      <w:r>
        <w:t>e</w:t>
      </w:r>
      <w:r w:rsidR="001C5FE9" w:rsidRPr="005858D8">
        <w:t>nsure that any local street connections to the south of the concept plan area are consistent with the local access street functions of this road network, and not place unnecessary burden on the capacity of these roads</w:t>
      </w:r>
      <w:r>
        <w:t>.</w:t>
      </w:r>
    </w:p>
    <w:p w:rsidR="005858D8" w:rsidRDefault="005858D8" w:rsidP="005858D8">
      <w:pPr>
        <w:rPr>
          <w:rFonts w:asciiTheme="minorHAnsi" w:hAnsiTheme="minorHAnsi"/>
          <w:sz w:val="22"/>
        </w:rPr>
      </w:pPr>
      <w:r w:rsidRPr="00DD233F">
        <w:rPr>
          <w:rFonts w:asciiTheme="minorHAnsi" w:hAnsiTheme="minorHAnsi"/>
          <w:sz w:val="22"/>
        </w:rPr>
        <w:t xml:space="preserve">These </w:t>
      </w:r>
      <w:r w:rsidR="00DD233F" w:rsidRPr="00DD233F">
        <w:rPr>
          <w:rFonts w:asciiTheme="minorHAnsi" w:hAnsiTheme="minorHAnsi"/>
          <w:sz w:val="22"/>
        </w:rPr>
        <w:t xml:space="preserve">requirements </w:t>
      </w:r>
      <w:r w:rsidR="003519B8">
        <w:rPr>
          <w:rFonts w:asciiTheme="minorHAnsi" w:hAnsiTheme="minorHAnsi"/>
          <w:sz w:val="22"/>
        </w:rPr>
        <w:t xml:space="preserve">will be supported by development principles and guidelines that seek to maintain the amenity of existing residents and ensure a sensitive response </w:t>
      </w:r>
      <w:r w:rsidR="002F1FB2">
        <w:rPr>
          <w:rFonts w:asciiTheme="minorHAnsi" w:hAnsiTheme="minorHAnsi"/>
          <w:sz w:val="22"/>
        </w:rPr>
        <w:t>to the existing low-density residential development to the south.</w:t>
      </w:r>
    </w:p>
    <w:p w:rsidR="008D6674" w:rsidRDefault="00635A4B" w:rsidP="005858D8">
      <w:pPr>
        <w:rPr>
          <w:rFonts w:asciiTheme="minorHAnsi" w:hAnsiTheme="minorHAnsi"/>
          <w:sz w:val="22"/>
        </w:rPr>
      </w:pPr>
      <w:r>
        <w:rPr>
          <w:rFonts w:asciiTheme="minorHAnsi" w:hAnsiTheme="minorHAnsi"/>
          <w:sz w:val="22"/>
        </w:rPr>
        <w:t xml:space="preserve">The </w:t>
      </w:r>
      <w:proofErr w:type="spellStart"/>
      <w:r>
        <w:rPr>
          <w:rFonts w:asciiTheme="minorHAnsi" w:hAnsiTheme="minorHAnsi"/>
          <w:sz w:val="22"/>
        </w:rPr>
        <w:t>Balbethan</w:t>
      </w:r>
      <w:proofErr w:type="spellEnd"/>
      <w:r>
        <w:rPr>
          <w:rFonts w:asciiTheme="minorHAnsi" w:hAnsiTheme="minorHAnsi"/>
          <w:sz w:val="22"/>
        </w:rPr>
        <w:t xml:space="preserve"> area is identified as a ‘sensitive residential area’ on Plan 5 (Image, Character, Housing and Heritage) </w:t>
      </w:r>
      <w:r w:rsidR="003D0EB1">
        <w:rPr>
          <w:rFonts w:asciiTheme="minorHAnsi" w:hAnsiTheme="minorHAnsi"/>
          <w:sz w:val="22"/>
        </w:rPr>
        <w:t xml:space="preserve">in the </w:t>
      </w:r>
      <w:r w:rsidR="008D6674">
        <w:rPr>
          <w:rFonts w:asciiTheme="minorHAnsi" w:hAnsiTheme="minorHAnsi"/>
          <w:sz w:val="22"/>
        </w:rPr>
        <w:t xml:space="preserve">Lancefield Road PSP.  Clause 3.4 in Schedule 10 to the UGZ applies to subdivision applications within sensitive residential areas.  </w:t>
      </w:r>
    </w:p>
    <w:p w:rsidR="002F1FB2" w:rsidRDefault="008D6674" w:rsidP="005858D8">
      <w:pPr>
        <w:rPr>
          <w:rFonts w:asciiTheme="minorHAnsi" w:hAnsiTheme="minorHAnsi"/>
          <w:sz w:val="22"/>
        </w:rPr>
      </w:pPr>
      <w:r>
        <w:rPr>
          <w:rFonts w:asciiTheme="minorHAnsi" w:hAnsiTheme="minorHAnsi"/>
          <w:sz w:val="22"/>
        </w:rPr>
        <w:t xml:space="preserve">The post-exhibition version of Schedule 10 </w:t>
      </w:r>
      <w:r w:rsidR="002E0409">
        <w:rPr>
          <w:rFonts w:asciiTheme="minorHAnsi" w:hAnsiTheme="minorHAnsi"/>
          <w:sz w:val="22"/>
        </w:rPr>
        <w:t xml:space="preserve">at Appendix </w:t>
      </w:r>
      <w:r w:rsidR="00076487">
        <w:rPr>
          <w:rFonts w:asciiTheme="minorHAnsi" w:hAnsiTheme="minorHAnsi"/>
          <w:sz w:val="22"/>
        </w:rPr>
        <w:t xml:space="preserve">6 to the VPA’s Part A submission has been amended to respond more appropriately to the </w:t>
      </w:r>
      <w:proofErr w:type="spellStart"/>
      <w:r w:rsidR="00076487">
        <w:rPr>
          <w:rFonts w:asciiTheme="minorHAnsi" w:hAnsiTheme="minorHAnsi"/>
          <w:sz w:val="22"/>
        </w:rPr>
        <w:t>Balbethan</w:t>
      </w:r>
      <w:proofErr w:type="spellEnd"/>
      <w:r w:rsidR="00076487">
        <w:rPr>
          <w:rFonts w:asciiTheme="minorHAnsi" w:hAnsiTheme="minorHAnsi"/>
          <w:sz w:val="22"/>
        </w:rPr>
        <w:t xml:space="preserve"> area context.  </w:t>
      </w:r>
      <w:r w:rsidR="00BB3E26">
        <w:rPr>
          <w:rFonts w:asciiTheme="minorHAnsi" w:hAnsiTheme="minorHAnsi"/>
          <w:sz w:val="22"/>
        </w:rPr>
        <w:t xml:space="preserve">The exhibition version of this clause required applications to </w:t>
      </w:r>
      <w:r w:rsidR="00687457">
        <w:rPr>
          <w:rFonts w:asciiTheme="minorHAnsi" w:hAnsiTheme="minorHAnsi"/>
          <w:sz w:val="22"/>
        </w:rPr>
        <w:t xml:space="preserve">be accompanied by an ‘indicative subdivision concept design for the entire area, including an indicative lot layout’.  </w:t>
      </w:r>
    </w:p>
    <w:p w:rsidR="00687457" w:rsidRDefault="00687457" w:rsidP="005858D8">
      <w:pPr>
        <w:rPr>
          <w:rFonts w:asciiTheme="minorHAnsi" w:hAnsiTheme="minorHAnsi"/>
          <w:sz w:val="22"/>
        </w:rPr>
      </w:pPr>
      <w:r>
        <w:rPr>
          <w:rFonts w:asciiTheme="minorHAnsi" w:hAnsiTheme="minorHAnsi"/>
          <w:sz w:val="22"/>
        </w:rPr>
        <w:t xml:space="preserve">The VPA acknowledges that this requirement would be difficult for applicants in the </w:t>
      </w:r>
      <w:proofErr w:type="spellStart"/>
      <w:r>
        <w:rPr>
          <w:rFonts w:asciiTheme="minorHAnsi" w:hAnsiTheme="minorHAnsi"/>
          <w:sz w:val="22"/>
        </w:rPr>
        <w:t>Balbethan</w:t>
      </w:r>
      <w:proofErr w:type="spellEnd"/>
      <w:r>
        <w:rPr>
          <w:rFonts w:asciiTheme="minorHAnsi" w:hAnsiTheme="minorHAnsi"/>
          <w:sz w:val="22"/>
        </w:rPr>
        <w:t xml:space="preserve"> area due to the land fragmentation.  The post-exhibition version accordingly requires applications to be accompanied by ‘an indicative subdivision concept design which demonstrates consistency with the relevant concept plan in the </w:t>
      </w:r>
      <w:r>
        <w:rPr>
          <w:rFonts w:asciiTheme="minorHAnsi" w:hAnsiTheme="minorHAnsi"/>
          <w:i/>
          <w:sz w:val="22"/>
        </w:rPr>
        <w:t>Lancefield Road Precinct Structure Plan</w:t>
      </w:r>
      <w:r>
        <w:rPr>
          <w:rFonts w:asciiTheme="minorHAnsi" w:hAnsiTheme="minorHAnsi"/>
          <w:sz w:val="22"/>
        </w:rPr>
        <w:t>’.</w:t>
      </w:r>
      <w:r w:rsidR="00B8594C">
        <w:rPr>
          <w:rFonts w:asciiTheme="minorHAnsi" w:hAnsiTheme="minorHAnsi"/>
          <w:sz w:val="22"/>
        </w:rPr>
        <w:t xml:space="preserve">  The reference to ‘opportunities for higher density housing’ has also been removed in the post-exhibition version.</w:t>
      </w:r>
    </w:p>
    <w:p w:rsidR="00AA633E" w:rsidRPr="00687457" w:rsidRDefault="00401046" w:rsidP="005858D8">
      <w:pPr>
        <w:rPr>
          <w:rFonts w:asciiTheme="minorHAnsi" w:hAnsiTheme="minorHAnsi"/>
          <w:sz w:val="22"/>
        </w:rPr>
      </w:pPr>
      <w:r>
        <w:rPr>
          <w:rFonts w:asciiTheme="minorHAnsi" w:hAnsiTheme="minorHAnsi"/>
          <w:sz w:val="22"/>
        </w:rPr>
        <w:t xml:space="preserve">The </w:t>
      </w:r>
      <w:r w:rsidR="00B60F12">
        <w:rPr>
          <w:rFonts w:asciiTheme="minorHAnsi" w:hAnsiTheme="minorHAnsi"/>
          <w:sz w:val="22"/>
        </w:rPr>
        <w:t xml:space="preserve">VPA considers the matters above to address the issues raised in Ms </w:t>
      </w:r>
      <w:proofErr w:type="spellStart"/>
      <w:r w:rsidR="00B60F12">
        <w:rPr>
          <w:rFonts w:asciiTheme="minorHAnsi" w:hAnsiTheme="minorHAnsi"/>
          <w:sz w:val="22"/>
        </w:rPr>
        <w:t>Gray’s</w:t>
      </w:r>
      <w:proofErr w:type="spellEnd"/>
      <w:r w:rsidR="00B60F12">
        <w:rPr>
          <w:rFonts w:asciiTheme="minorHAnsi" w:hAnsiTheme="minorHAnsi"/>
          <w:sz w:val="22"/>
        </w:rPr>
        <w:t xml:space="preserve"> submission.</w:t>
      </w:r>
    </w:p>
    <w:p w:rsidR="003F2ED5" w:rsidRPr="00671B05" w:rsidRDefault="00CA2D32" w:rsidP="00CA2D32">
      <w:pPr>
        <w:pStyle w:val="Heading2"/>
        <w:rPr>
          <w:rFonts w:asciiTheme="minorHAnsi" w:hAnsiTheme="minorHAnsi"/>
          <w:b/>
        </w:rPr>
      </w:pPr>
      <w:bookmarkStart w:id="10" w:name="_Toc491027647"/>
      <w:r w:rsidRPr="00671B05">
        <w:rPr>
          <w:rFonts w:asciiTheme="minorHAnsi" w:hAnsiTheme="minorHAnsi"/>
          <w:b/>
        </w:rPr>
        <w:t>Section 96A application</w:t>
      </w:r>
      <w:r w:rsidR="00EE390B" w:rsidRPr="00671B05">
        <w:rPr>
          <w:rFonts w:asciiTheme="minorHAnsi" w:hAnsiTheme="minorHAnsi"/>
          <w:b/>
        </w:rPr>
        <w:t xml:space="preserve"> assessments</w:t>
      </w:r>
      <w:bookmarkEnd w:id="10"/>
    </w:p>
    <w:p w:rsidR="001D5121" w:rsidRPr="009754ED" w:rsidRDefault="001D5121" w:rsidP="001D5121">
      <w:pPr>
        <w:rPr>
          <w:rFonts w:asciiTheme="minorHAnsi" w:hAnsiTheme="minorHAnsi"/>
          <w:i/>
          <w:sz w:val="22"/>
          <w:lang w:eastAsia="en-US"/>
        </w:rPr>
      </w:pPr>
      <w:r w:rsidRPr="009754ED">
        <w:rPr>
          <w:rFonts w:asciiTheme="minorHAnsi" w:hAnsiTheme="minorHAnsi"/>
          <w:i/>
          <w:sz w:val="22"/>
          <w:lang w:eastAsia="en-US"/>
        </w:rPr>
        <w:t>Sunbury South PSP (C207) – Subm</w:t>
      </w:r>
      <w:r w:rsidR="00BC0B25" w:rsidRPr="009754ED">
        <w:rPr>
          <w:rFonts w:asciiTheme="minorHAnsi" w:hAnsiTheme="minorHAnsi"/>
          <w:i/>
          <w:sz w:val="22"/>
          <w:lang w:eastAsia="en-US"/>
        </w:rPr>
        <w:t>issions 57 (Hume City Council);</w:t>
      </w:r>
      <w:r w:rsidR="0006116E" w:rsidRPr="009754ED">
        <w:rPr>
          <w:rFonts w:asciiTheme="minorHAnsi" w:hAnsiTheme="minorHAnsi"/>
          <w:i/>
          <w:sz w:val="22"/>
          <w:lang w:eastAsia="en-US"/>
        </w:rPr>
        <w:t xml:space="preserve"> 71 (Villawood Properties)</w:t>
      </w:r>
      <w:r w:rsidR="00BC0B25" w:rsidRPr="009754ED">
        <w:rPr>
          <w:rFonts w:asciiTheme="minorHAnsi" w:hAnsiTheme="minorHAnsi"/>
          <w:i/>
          <w:sz w:val="22"/>
          <w:lang w:eastAsia="en-US"/>
        </w:rPr>
        <w:t xml:space="preserve"> </w:t>
      </w:r>
    </w:p>
    <w:p w:rsidR="00A76B8A" w:rsidRPr="009754ED" w:rsidRDefault="00BC0B25" w:rsidP="002A4676">
      <w:pPr>
        <w:rPr>
          <w:rFonts w:asciiTheme="minorHAnsi" w:hAnsiTheme="minorHAnsi"/>
          <w:i/>
          <w:sz w:val="22"/>
          <w:lang w:eastAsia="en-US"/>
        </w:rPr>
      </w:pPr>
      <w:r w:rsidRPr="009754ED">
        <w:rPr>
          <w:rFonts w:asciiTheme="minorHAnsi" w:hAnsiTheme="minorHAnsi"/>
          <w:i/>
          <w:sz w:val="22"/>
          <w:lang w:eastAsia="en-US"/>
        </w:rPr>
        <w:t>Lancefield Road PSP (C208) – Submission</w:t>
      </w:r>
      <w:r w:rsidR="0006116E" w:rsidRPr="009754ED">
        <w:rPr>
          <w:rFonts w:asciiTheme="minorHAnsi" w:hAnsiTheme="minorHAnsi"/>
          <w:i/>
          <w:sz w:val="22"/>
          <w:lang w:eastAsia="en-US"/>
        </w:rPr>
        <w:t>s</w:t>
      </w:r>
      <w:r w:rsidRPr="009754ED">
        <w:rPr>
          <w:rFonts w:asciiTheme="minorHAnsi" w:hAnsiTheme="minorHAnsi"/>
          <w:i/>
          <w:sz w:val="22"/>
          <w:lang w:eastAsia="en-US"/>
        </w:rPr>
        <w:t xml:space="preserve"> </w:t>
      </w:r>
      <w:r w:rsidR="0006116E" w:rsidRPr="009754ED">
        <w:rPr>
          <w:rFonts w:asciiTheme="minorHAnsi" w:hAnsiTheme="minorHAnsi"/>
          <w:i/>
          <w:sz w:val="22"/>
          <w:lang w:eastAsia="en-US"/>
        </w:rPr>
        <w:t>46 (</w:t>
      </w:r>
      <w:proofErr w:type="spellStart"/>
      <w:r w:rsidR="0006116E" w:rsidRPr="009754ED">
        <w:rPr>
          <w:rFonts w:asciiTheme="minorHAnsi" w:hAnsiTheme="minorHAnsi"/>
          <w:i/>
          <w:sz w:val="22"/>
          <w:lang w:eastAsia="en-US"/>
        </w:rPr>
        <w:t>Wincity</w:t>
      </w:r>
      <w:proofErr w:type="spellEnd"/>
      <w:r w:rsidR="0006116E" w:rsidRPr="009754ED">
        <w:rPr>
          <w:rFonts w:asciiTheme="minorHAnsi" w:hAnsiTheme="minorHAnsi"/>
          <w:i/>
          <w:sz w:val="22"/>
          <w:lang w:eastAsia="en-US"/>
        </w:rPr>
        <w:t xml:space="preserve"> Pty Ltd)</w:t>
      </w:r>
      <w:r w:rsidR="002758DC" w:rsidRPr="009754ED">
        <w:rPr>
          <w:rFonts w:asciiTheme="minorHAnsi" w:hAnsiTheme="minorHAnsi"/>
          <w:i/>
          <w:sz w:val="22"/>
          <w:lang w:eastAsia="en-US"/>
        </w:rPr>
        <w:t>;</w:t>
      </w:r>
      <w:r w:rsidR="0006116E" w:rsidRPr="009754ED">
        <w:rPr>
          <w:rFonts w:asciiTheme="minorHAnsi" w:hAnsiTheme="minorHAnsi"/>
          <w:i/>
          <w:sz w:val="22"/>
          <w:lang w:eastAsia="en-US"/>
        </w:rPr>
        <w:t xml:space="preserve"> </w:t>
      </w:r>
      <w:r w:rsidRPr="009754ED">
        <w:rPr>
          <w:rFonts w:asciiTheme="minorHAnsi" w:hAnsiTheme="minorHAnsi"/>
          <w:i/>
          <w:sz w:val="22"/>
          <w:lang w:eastAsia="en-US"/>
        </w:rPr>
        <w:t>54 (Hume City Council)</w:t>
      </w:r>
      <w:r w:rsidR="0006116E" w:rsidRPr="009754ED">
        <w:rPr>
          <w:rFonts w:asciiTheme="minorHAnsi" w:hAnsiTheme="minorHAnsi"/>
          <w:i/>
          <w:sz w:val="22"/>
          <w:lang w:eastAsia="en-US"/>
        </w:rPr>
        <w:t>; 71 (Villawood Properties)</w:t>
      </w:r>
    </w:p>
    <w:p w:rsidR="00415D41" w:rsidRDefault="007B3EE2" w:rsidP="0076280C">
      <w:pPr>
        <w:pStyle w:val="Heading3"/>
        <w:numPr>
          <w:ilvl w:val="0"/>
          <w:numId w:val="0"/>
        </w:numPr>
        <w:spacing w:after="280"/>
        <w:rPr>
          <w:rFonts w:asciiTheme="minorHAnsi" w:hAnsiTheme="minorHAnsi"/>
        </w:rPr>
      </w:pPr>
      <w:r w:rsidRPr="009754ED">
        <w:rPr>
          <w:rFonts w:asciiTheme="minorHAnsi" w:hAnsiTheme="minorHAnsi"/>
        </w:rPr>
        <w:lastRenderedPageBreak/>
        <w:t>Three planning</w:t>
      </w:r>
      <w:r>
        <w:rPr>
          <w:rFonts w:asciiTheme="minorHAnsi" w:hAnsiTheme="minorHAnsi"/>
        </w:rPr>
        <w:t xml:space="preserve"> permit applications </w:t>
      </w:r>
      <w:r w:rsidR="00DF208C">
        <w:rPr>
          <w:rFonts w:asciiTheme="minorHAnsi" w:hAnsiTheme="minorHAnsi"/>
        </w:rPr>
        <w:t>under section 96A of the P&amp;E Act were exhibited with the Amendments</w:t>
      </w:r>
      <w:r w:rsidR="00337107">
        <w:rPr>
          <w:rFonts w:asciiTheme="minorHAnsi" w:hAnsiTheme="minorHAnsi"/>
        </w:rPr>
        <w:t>:</w:t>
      </w:r>
    </w:p>
    <w:tbl>
      <w:tblPr>
        <w:tblStyle w:val="TableGrid"/>
        <w:tblW w:w="0" w:type="auto"/>
        <w:tblLook w:val="04A0" w:firstRow="1" w:lastRow="0" w:firstColumn="1" w:lastColumn="0" w:noHBand="0" w:noVBand="1"/>
      </w:tblPr>
      <w:tblGrid>
        <w:gridCol w:w="997"/>
        <w:gridCol w:w="1339"/>
        <w:gridCol w:w="3042"/>
        <w:gridCol w:w="1736"/>
        <w:gridCol w:w="1384"/>
      </w:tblGrid>
      <w:tr w:rsidR="00F80F30" w:rsidRPr="00572FA4" w:rsidTr="00E95FE3">
        <w:tc>
          <w:tcPr>
            <w:tcW w:w="1034" w:type="dxa"/>
            <w:shd w:val="clear" w:color="auto" w:fill="D9D9D9" w:themeFill="background1" w:themeFillShade="D9"/>
          </w:tcPr>
          <w:p w:rsidR="00572FA4" w:rsidRPr="00572FA4" w:rsidRDefault="00572FA4" w:rsidP="00E95FE3">
            <w:pPr>
              <w:spacing w:before="60" w:after="60"/>
              <w:jc w:val="left"/>
              <w:rPr>
                <w:rFonts w:asciiTheme="minorHAnsi" w:hAnsiTheme="minorHAnsi" w:cstheme="minorHAnsi"/>
                <w:b/>
                <w:szCs w:val="20"/>
              </w:rPr>
            </w:pPr>
            <w:r w:rsidRPr="00572FA4">
              <w:rPr>
                <w:rFonts w:asciiTheme="minorHAnsi" w:hAnsiTheme="minorHAnsi" w:cstheme="minorHAnsi"/>
                <w:b/>
                <w:szCs w:val="20"/>
              </w:rPr>
              <w:t>No.</w:t>
            </w:r>
          </w:p>
        </w:tc>
        <w:tc>
          <w:tcPr>
            <w:tcW w:w="1410" w:type="dxa"/>
            <w:shd w:val="clear" w:color="auto" w:fill="D9D9D9" w:themeFill="background1" w:themeFillShade="D9"/>
          </w:tcPr>
          <w:p w:rsidR="00572FA4" w:rsidRPr="00572FA4" w:rsidRDefault="00572FA4" w:rsidP="00E95FE3">
            <w:pPr>
              <w:spacing w:before="60" w:after="60"/>
              <w:jc w:val="left"/>
              <w:rPr>
                <w:rFonts w:asciiTheme="minorHAnsi" w:hAnsiTheme="minorHAnsi" w:cstheme="minorHAnsi"/>
                <w:b/>
                <w:szCs w:val="20"/>
              </w:rPr>
            </w:pPr>
            <w:r w:rsidRPr="00572FA4">
              <w:rPr>
                <w:rFonts w:asciiTheme="minorHAnsi" w:hAnsiTheme="minorHAnsi" w:cstheme="minorHAnsi"/>
                <w:b/>
                <w:szCs w:val="20"/>
              </w:rPr>
              <w:t>Applicant</w:t>
            </w:r>
          </w:p>
        </w:tc>
        <w:tc>
          <w:tcPr>
            <w:tcW w:w="3476" w:type="dxa"/>
            <w:shd w:val="clear" w:color="auto" w:fill="D9D9D9" w:themeFill="background1" w:themeFillShade="D9"/>
          </w:tcPr>
          <w:p w:rsidR="00572FA4" w:rsidRPr="00572FA4" w:rsidRDefault="00572FA4" w:rsidP="00E95FE3">
            <w:pPr>
              <w:spacing w:before="60" w:after="60"/>
              <w:jc w:val="left"/>
              <w:rPr>
                <w:rFonts w:asciiTheme="minorHAnsi" w:hAnsiTheme="minorHAnsi" w:cstheme="minorHAnsi"/>
                <w:b/>
                <w:szCs w:val="20"/>
              </w:rPr>
            </w:pPr>
            <w:r w:rsidRPr="00572FA4">
              <w:rPr>
                <w:rFonts w:asciiTheme="minorHAnsi" w:hAnsiTheme="minorHAnsi" w:cstheme="minorHAnsi"/>
                <w:b/>
                <w:szCs w:val="20"/>
              </w:rPr>
              <w:t>Address</w:t>
            </w:r>
          </w:p>
        </w:tc>
        <w:tc>
          <w:tcPr>
            <w:tcW w:w="1843" w:type="dxa"/>
            <w:shd w:val="clear" w:color="auto" w:fill="D9D9D9" w:themeFill="background1" w:themeFillShade="D9"/>
          </w:tcPr>
          <w:p w:rsidR="00572FA4" w:rsidRPr="00572FA4" w:rsidRDefault="00572FA4" w:rsidP="00E95FE3">
            <w:pPr>
              <w:spacing w:before="60" w:after="60"/>
              <w:jc w:val="left"/>
              <w:rPr>
                <w:rFonts w:asciiTheme="minorHAnsi" w:hAnsiTheme="minorHAnsi" w:cstheme="minorHAnsi"/>
                <w:b/>
                <w:szCs w:val="20"/>
              </w:rPr>
            </w:pPr>
            <w:r w:rsidRPr="00572FA4">
              <w:rPr>
                <w:rFonts w:asciiTheme="minorHAnsi" w:hAnsiTheme="minorHAnsi" w:cstheme="minorHAnsi"/>
                <w:b/>
                <w:szCs w:val="20"/>
              </w:rPr>
              <w:t>PSP / Amendment</w:t>
            </w:r>
          </w:p>
        </w:tc>
        <w:tc>
          <w:tcPr>
            <w:tcW w:w="1482" w:type="dxa"/>
            <w:shd w:val="clear" w:color="auto" w:fill="D9D9D9" w:themeFill="background1" w:themeFillShade="D9"/>
          </w:tcPr>
          <w:p w:rsidR="00572FA4" w:rsidRPr="00572FA4" w:rsidRDefault="00572FA4" w:rsidP="00E95FE3">
            <w:pPr>
              <w:spacing w:before="60" w:after="60"/>
              <w:jc w:val="left"/>
              <w:rPr>
                <w:rFonts w:asciiTheme="minorHAnsi" w:hAnsiTheme="minorHAnsi" w:cstheme="minorHAnsi"/>
                <w:b/>
                <w:szCs w:val="20"/>
              </w:rPr>
            </w:pPr>
            <w:r w:rsidRPr="00572FA4">
              <w:rPr>
                <w:rFonts w:asciiTheme="minorHAnsi" w:hAnsiTheme="minorHAnsi" w:cstheme="minorHAnsi"/>
                <w:b/>
                <w:szCs w:val="20"/>
              </w:rPr>
              <w:t xml:space="preserve">PSP property </w:t>
            </w:r>
          </w:p>
        </w:tc>
      </w:tr>
      <w:tr w:rsidR="00F80F30" w:rsidRPr="00572FA4" w:rsidTr="00E95FE3">
        <w:tc>
          <w:tcPr>
            <w:tcW w:w="1034" w:type="dxa"/>
          </w:tcPr>
          <w:p w:rsidR="00572FA4" w:rsidRPr="00572FA4" w:rsidRDefault="00572FA4" w:rsidP="00E95FE3">
            <w:pPr>
              <w:spacing w:before="60" w:after="60"/>
              <w:jc w:val="left"/>
              <w:rPr>
                <w:rFonts w:asciiTheme="minorHAnsi" w:hAnsiTheme="minorHAnsi" w:cstheme="minorHAnsi"/>
                <w:szCs w:val="20"/>
              </w:rPr>
            </w:pPr>
            <w:r w:rsidRPr="00572FA4">
              <w:rPr>
                <w:rFonts w:asciiTheme="minorHAnsi" w:hAnsiTheme="minorHAnsi" w:cstheme="minorHAnsi"/>
                <w:szCs w:val="20"/>
              </w:rPr>
              <w:t>P18854</w:t>
            </w:r>
          </w:p>
        </w:tc>
        <w:tc>
          <w:tcPr>
            <w:tcW w:w="1410" w:type="dxa"/>
          </w:tcPr>
          <w:p w:rsidR="00572FA4" w:rsidRPr="00572FA4" w:rsidRDefault="00572FA4" w:rsidP="00E95FE3">
            <w:pPr>
              <w:spacing w:before="60" w:after="60"/>
              <w:jc w:val="left"/>
              <w:rPr>
                <w:rFonts w:asciiTheme="minorHAnsi" w:hAnsiTheme="minorHAnsi" w:cstheme="minorHAnsi"/>
                <w:szCs w:val="20"/>
              </w:rPr>
            </w:pPr>
            <w:r w:rsidRPr="00572FA4">
              <w:rPr>
                <w:rFonts w:asciiTheme="minorHAnsi" w:hAnsiTheme="minorHAnsi" w:cstheme="minorHAnsi"/>
                <w:szCs w:val="20"/>
              </w:rPr>
              <w:t>Villawood</w:t>
            </w:r>
          </w:p>
        </w:tc>
        <w:tc>
          <w:tcPr>
            <w:tcW w:w="3476" w:type="dxa"/>
          </w:tcPr>
          <w:p w:rsidR="00572FA4" w:rsidRPr="00572FA4" w:rsidRDefault="00572FA4" w:rsidP="00E95FE3">
            <w:pPr>
              <w:spacing w:before="60" w:after="60"/>
              <w:jc w:val="left"/>
              <w:rPr>
                <w:rFonts w:asciiTheme="minorHAnsi" w:hAnsiTheme="minorHAnsi" w:cstheme="minorHAnsi"/>
                <w:szCs w:val="20"/>
              </w:rPr>
            </w:pPr>
            <w:r w:rsidRPr="00572FA4">
              <w:rPr>
                <w:rFonts w:asciiTheme="minorHAnsi" w:hAnsiTheme="minorHAnsi" w:cstheme="minorHAnsi"/>
                <w:szCs w:val="20"/>
              </w:rPr>
              <w:t>‘Sherwood Heights’, 3-5 Macedon Road, Sunbury</w:t>
            </w:r>
          </w:p>
        </w:tc>
        <w:tc>
          <w:tcPr>
            <w:tcW w:w="1843" w:type="dxa"/>
          </w:tcPr>
          <w:p w:rsidR="00572FA4" w:rsidRPr="00572FA4" w:rsidRDefault="00572FA4" w:rsidP="00E95FE3">
            <w:pPr>
              <w:spacing w:before="60" w:after="60"/>
              <w:jc w:val="left"/>
              <w:rPr>
                <w:rFonts w:asciiTheme="minorHAnsi" w:hAnsiTheme="minorHAnsi" w:cstheme="minorHAnsi"/>
                <w:szCs w:val="20"/>
              </w:rPr>
            </w:pPr>
            <w:r w:rsidRPr="00572FA4">
              <w:rPr>
                <w:rFonts w:asciiTheme="minorHAnsi" w:hAnsiTheme="minorHAnsi" w:cstheme="minorHAnsi"/>
                <w:szCs w:val="20"/>
              </w:rPr>
              <w:t>Lancefield Road PSP / C208</w:t>
            </w:r>
          </w:p>
        </w:tc>
        <w:tc>
          <w:tcPr>
            <w:tcW w:w="1482" w:type="dxa"/>
          </w:tcPr>
          <w:p w:rsidR="00572FA4" w:rsidRPr="00572FA4" w:rsidRDefault="00572FA4" w:rsidP="00E95FE3">
            <w:pPr>
              <w:spacing w:before="60" w:after="60"/>
              <w:jc w:val="left"/>
              <w:rPr>
                <w:rFonts w:asciiTheme="minorHAnsi" w:hAnsiTheme="minorHAnsi" w:cstheme="minorHAnsi"/>
                <w:szCs w:val="20"/>
              </w:rPr>
            </w:pPr>
            <w:r w:rsidRPr="00572FA4">
              <w:rPr>
                <w:rFonts w:asciiTheme="minorHAnsi" w:hAnsiTheme="minorHAnsi" w:cstheme="minorHAnsi"/>
                <w:szCs w:val="20"/>
              </w:rPr>
              <w:t>2</w:t>
            </w:r>
          </w:p>
        </w:tc>
      </w:tr>
      <w:tr w:rsidR="00F80F30" w:rsidRPr="00572FA4" w:rsidTr="00E95FE3">
        <w:tc>
          <w:tcPr>
            <w:tcW w:w="1034" w:type="dxa"/>
          </w:tcPr>
          <w:p w:rsidR="00572FA4" w:rsidRPr="00572FA4" w:rsidRDefault="00572FA4" w:rsidP="00E95FE3">
            <w:pPr>
              <w:spacing w:before="60" w:after="60"/>
              <w:jc w:val="left"/>
              <w:rPr>
                <w:rFonts w:asciiTheme="minorHAnsi" w:hAnsiTheme="minorHAnsi" w:cstheme="minorHAnsi"/>
                <w:szCs w:val="20"/>
              </w:rPr>
            </w:pPr>
            <w:r w:rsidRPr="00572FA4">
              <w:rPr>
                <w:rFonts w:asciiTheme="minorHAnsi" w:hAnsiTheme="minorHAnsi" w:cstheme="minorHAnsi"/>
                <w:szCs w:val="20"/>
              </w:rPr>
              <w:t>P18855</w:t>
            </w:r>
          </w:p>
        </w:tc>
        <w:tc>
          <w:tcPr>
            <w:tcW w:w="1410" w:type="dxa"/>
          </w:tcPr>
          <w:p w:rsidR="00572FA4" w:rsidRPr="00572FA4" w:rsidRDefault="00572FA4" w:rsidP="00E95FE3">
            <w:pPr>
              <w:spacing w:before="60" w:after="60"/>
              <w:jc w:val="left"/>
              <w:rPr>
                <w:rFonts w:asciiTheme="minorHAnsi" w:hAnsiTheme="minorHAnsi" w:cstheme="minorHAnsi"/>
                <w:szCs w:val="20"/>
              </w:rPr>
            </w:pPr>
            <w:proofErr w:type="spellStart"/>
            <w:r w:rsidRPr="00572FA4">
              <w:rPr>
                <w:rFonts w:asciiTheme="minorHAnsi" w:hAnsiTheme="minorHAnsi" w:cstheme="minorHAnsi"/>
                <w:szCs w:val="20"/>
              </w:rPr>
              <w:t>Wincity</w:t>
            </w:r>
            <w:proofErr w:type="spellEnd"/>
            <w:r w:rsidRPr="00572FA4">
              <w:rPr>
                <w:rFonts w:asciiTheme="minorHAnsi" w:hAnsiTheme="minorHAnsi" w:cstheme="minorHAnsi"/>
                <w:szCs w:val="20"/>
              </w:rPr>
              <w:t xml:space="preserve"> Pty Ltd (</w:t>
            </w:r>
            <w:proofErr w:type="spellStart"/>
            <w:r w:rsidRPr="00572FA4">
              <w:rPr>
                <w:rFonts w:asciiTheme="minorHAnsi" w:hAnsiTheme="minorHAnsi" w:cstheme="minorHAnsi"/>
                <w:b/>
                <w:szCs w:val="20"/>
              </w:rPr>
              <w:t>Wincity</w:t>
            </w:r>
            <w:proofErr w:type="spellEnd"/>
            <w:r w:rsidRPr="00572FA4">
              <w:rPr>
                <w:rFonts w:asciiTheme="minorHAnsi" w:hAnsiTheme="minorHAnsi" w:cstheme="minorHAnsi"/>
                <w:szCs w:val="20"/>
              </w:rPr>
              <w:t>)</w:t>
            </w:r>
          </w:p>
        </w:tc>
        <w:tc>
          <w:tcPr>
            <w:tcW w:w="3476" w:type="dxa"/>
          </w:tcPr>
          <w:p w:rsidR="00572FA4" w:rsidRPr="00572FA4" w:rsidRDefault="00F80F30" w:rsidP="00E95FE3">
            <w:pPr>
              <w:spacing w:before="60" w:after="60"/>
              <w:jc w:val="left"/>
              <w:rPr>
                <w:rFonts w:asciiTheme="minorHAnsi" w:hAnsiTheme="minorHAnsi" w:cstheme="minorHAnsi"/>
                <w:szCs w:val="20"/>
              </w:rPr>
            </w:pPr>
            <w:r>
              <w:rPr>
                <w:rFonts w:asciiTheme="minorHAnsi" w:hAnsiTheme="minorHAnsi" w:cstheme="minorHAnsi"/>
                <w:szCs w:val="20"/>
              </w:rPr>
              <w:t>‘Kingfisher</w:t>
            </w:r>
            <w:r w:rsidR="00B579B4">
              <w:rPr>
                <w:rFonts w:asciiTheme="minorHAnsi" w:hAnsiTheme="minorHAnsi" w:cstheme="minorHAnsi"/>
                <w:szCs w:val="20"/>
              </w:rPr>
              <w:t xml:space="preserve"> Estate</w:t>
            </w:r>
            <w:r>
              <w:rPr>
                <w:rFonts w:asciiTheme="minorHAnsi" w:hAnsiTheme="minorHAnsi" w:cstheme="minorHAnsi"/>
                <w:szCs w:val="20"/>
              </w:rPr>
              <w:t xml:space="preserve">’, </w:t>
            </w:r>
            <w:r w:rsidR="00572FA4" w:rsidRPr="00572FA4">
              <w:rPr>
                <w:rFonts w:asciiTheme="minorHAnsi" w:hAnsiTheme="minorHAnsi" w:cstheme="minorHAnsi"/>
                <w:szCs w:val="20"/>
              </w:rPr>
              <w:t>170 Lancefield Road, Sunbury</w:t>
            </w:r>
          </w:p>
        </w:tc>
        <w:tc>
          <w:tcPr>
            <w:tcW w:w="1843" w:type="dxa"/>
          </w:tcPr>
          <w:p w:rsidR="00572FA4" w:rsidRPr="00572FA4" w:rsidRDefault="00572FA4" w:rsidP="00E95FE3">
            <w:pPr>
              <w:spacing w:before="60" w:after="60"/>
              <w:jc w:val="left"/>
              <w:rPr>
                <w:rFonts w:asciiTheme="minorHAnsi" w:hAnsiTheme="minorHAnsi" w:cstheme="minorHAnsi"/>
                <w:szCs w:val="20"/>
              </w:rPr>
            </w:pPr>
            <w:r w:rsidRPr="00572FA4">
              <w:rPr>
                <w:rFonts w:asciiTheme="minorHAnsi" w:hAnsiTheme="minorHAnsi" w:cstheme="minorHAnsi"/>
                <w:szCs w:val="20"/>
              </w:rPr>
              <w:t>Lancefield Road PSP / C208</w:t>
            </w:r>
          </w:p>
        </w:tc>
        <w:tc>
          <w:tcPr>
            <w:tcW w:w="1482" w:type="dxa"/>
          </w:tcPr>
          <w:p w:rsidR="00572FA4" w:rsidRPr="00572FA4" w:rsidRDefault="00572FA4" w:rsidP="00E95FE3">
            <w:pPr>
              <w:spacing w:before="60" w:after="60"/>
              <w:jc w:val="left"/>
              <w:rPr>
                <w:rFonts w:asciiTheme="minorHAnsi" w:hAnsiTheme="minorHAnsi" w:cstheme="minorHAnsi"/>
                <w:szCs w:val="20"/>
              </w:rPr>
            </w:pPr>
            <w:r w:rsidRPr="00572FA4">
              <w:rPr>
                <w:rFonts w:asciiTheme="minorHAnsi" w:hAnsiTheme="minorHAnsi" w:cstheme="minorHAnsi"/>
                <w:szCs w:val="20"/>
              </w:rPr>
              <w:t>19 &amp; 23</w:t>
            </w:r>
          </w:p>
        </w:tc>
      </w:tr>
      <w:tr w:rsidR="00F80F30" w:rsidRPr="00572FA4" w:rsidTr="00E95FE3">
        <w:tc>
          <w:tcPr>
            <w:tcW w:w="1034" w:type="dxa"/>
          </w:tcPr>
          <w:p w:rsidR="00572FA4" w:rsidRPr="00572FA4" w:rsidRDefault="00572FA4" w:rsidP="00E95FE3">
            <w:pPr>
              <w:spacing w:before="60" w:after="60"/>
              <w:jc w:val="left"/>
              <w:rPr>
                <w:rFonts w:asciiTheme="minorHAnsi" w:hAnsiTheme="minorHAnsi" w:cstheme="minorHAnsi"/>
                <w:szCs w:val="20"/>
              </w:rPr>
            </w:pPr>
            <w:r w:rsidRPr="00572FA4">
              <w:rPr>
                <w:rFonts w:asciiTheme="minorHAnsi" w:hAnsiTheme="minorHAnsi" w:cstheme="minorHAnsi"/>
                <w:szCs w:val="20"/>
              </w:rPr>
              <w:t>P18858</w:t>
            </w:r>
          </w:p>
        </w:tc>
        <w:tc>
          <w:tcPr>
            <w:tcW w:w="1410" w:type="dxa"/>
          </w:tcPr>
          <w:p w:rsidR="00572FA4" w:rsidRPr="00572FA4" w:rsidRDefault="00572FA4" w:rsidP="00E95FE3">
            <w:pPr>
              <w:spacing w:before="60" w:after="60"/>
              <w:jc w:val="left"/>
              <w:rPr>
                <w:rFonts w:asciiTheme="minorHAnsi" w:hAnsiTheme="minorHAnsi" w:cstheme="minorHAnsi"/>
                <w:szCs w:val="20"/>
              </w:rPr>
            </w:pPr>
            <w:r w:rsidRPr="00572FA4">
              <w:rPr>
                <w:rFonts w:asciiTheme="minorHAnsi" w:hAnsiTheme="minorHAnsi" w:cstheme="minorHAnsi"/>
                <w:szCs w:val="20"/>
              </w:rPr>
              <w:t>Villawood</w:t>
            </w:r>
          </w:p>
        </w:tc>
        <w:tc>
          <w:tcPr>
            <w:tcW w:w="3476" w:type="dxa"/>
          </w:tcPr>
          <w:p w:rsidR="00572FA4" w:rsidRPr="00572FA4" w:rsidRDefault="00572FA4" w:rsidP="00E95FE3">
            <w:pPr>
              <w:spacing w:before="60" w:after="60"/>
              <w:jc w:val="left"/>
              <w:rPr>
                <w:rFonts w:asciiTheme="minorHAnsi" w:hAnsiTheme="minorHAnsi" w:cstheme="minorHAnsi"/>
                <w:szCs w:val="20"/>
              </w:rPr>
            </w:pPr>
            <w:r w:rsidRPr="00572FA4">
              <w:rPr>
                <w:rFonts w:asciiTheme="minorHAnsi" w:hAnsiTheme="minorHAnsi" w:cstheme="minorHAnsi"/>
                <w:szCs w:val="20"/>
              </w:rPr>
              <w:t>‘Redstone Hill’, 675 Sunbury Road and 80 Redstone Hill Road, Sunbury</w:t>
            </w:r>
          </w:p>
        </w:tc>
        <w:tc>
          <w:tcPr>
            <w:tcW w:w="1843" w:type="dxa"/>
          </w:tcPr>
          <w:p w:rsidR="00572FA4" w:rsidRPr="00572FA4" w:rsidRDefault="00572FA4" w:rsidP="00E95FE3">
            <w:pPr>
              <w:spacing w:before="60" w:after="60"/>
              <w:jc w:val="left"/>
              <w:rPr>
                <w:rFonts w:asciiTheme="minorHAnsi" w:hAnsiTheme="minorHAnsi" w:cstheme="minorHAnsi"/>
                <w:szCs w:val="20"/>
              </w:rPr>
            </w:pPr>
            <w:r w:rsidRPr="00572FA4">
              <w:rPr>
                <w:rFonts w:asciiTheme="minorHAnsi" w:hAnsiTheme="minorHAnsi" w:cstheme="minorHAnsi"/>
                <w:szCs w:val="20"/>
              </w:rPr>
              <w:t xml:space="preserve">Sunbury </w:t>
            </w:r>
            <w:proofErr w:type="gramStart"/>
            <w:r w:rsidRPr="00572FA4">
              <w:rPr>
                <w:rFonts w:asciiTheme="minorHAnsi" w:hAnsiTheme="minorHAnsi" w:cstheme="minorHAnsi"/>
                <w:szCs w:val="20"/>
              </w:rPr>
              <w:t xml:space="preserve">South </w:t>
            </w:r>
            <w:r w:rsidR="009754ED">
              <w:rPr>
                <w:rFonts w:asciiTheme="minorHAnsi" w:hAnsiTheme="minorHAnsi" w:cstheme="minorHAnsi"/>
                <w:szCs w:val="20"/>
              </w:rPr>
              <w:t xml:space="preserve"> </w:t>
            </w:r>
            <w:r w:rsidRPr="00572FA4">
              <w:rPr>
                <w:rFonts w:asciiTheme="minorHAnsi" w:hAnsiTheme="minorHAnsi" w:cstheme="minorHAnsi"/>
                <w:szCs w:val="20"/>
              </w:rPr>
              <w:t>PSP</w:t>
            </w:r>
            <w:proofErr w:type="gramEnd"/>
            <w:r w:rsidRPr="00572FA4">
              <w:rPr>
                <w:rFonts w:asciiTheme="minorHAnsi" w:hAnsiTheme="minorHAnsi" w:cstheme="minorHAnsi"/>
                <w:szCs w:val="20"/>
              </w:rPr>
              <w:t xml:space="preserve"> / C207</w:t>
            </w:r>
          </w:p>
        </w:tc>
        <w:tc>
          <w:tcPr>
            <w:tcW w:w="1482" w:type="dxa"/>
          </w:tcPr>
          <w:p w:rsidR="00572FA4" w:rsidRPr="00572FA4" w:rsidRDefault="00572FA4" w:rsidP="00E95FE3">
            <w:pPr>
              <w:spacing w:before="60" w:after="60"/>
              <w:jc w:val="left"/>
              <w:rPr>
                <w:rFonts w:asciiTheme="minorHAnsi" w:hAnsiTheme="minorHAnsi" w:cstheme="minorHAnsi"/>
                <w:szCs w:val="20"/>
              </w:rPr>
            </w:pPr>
            <w:r w:rsidRPr="00572FA4">
              <w:rPr>
                <w:rFonts w:asciiTheme="minorHAnsi" w:hAnsiTheme="minorHAnsi" w:cstheme="minorHAnsi"/>
                <w:szCs w:val="20"/>
              </w:rPr>
              <w:t>61, 68 &amp; 69</w:t>
            </w:r>
          </w:p>
        </w:tc>
      </w:tr>
    </w:tbl>
    <w:p w:rsidR="00B769C5" w:rsidRDefault="00B769C5" w:rsidP="00B769C5">
      <w:pPr>
        <w:rPr>
          <w:lang w:eastAsia="en-US"/>
        </w:rPr>
      </w:pPr>
    </w:p>
    <w:p w:rsidR="00B769C5" w:rsidRPr="00B769C5" w:rsidRDefault="00B769C5" w:rsidP="00B769C5">
      <w:pPr>
        <w:rPr>
          <w:lang w:eastAsia="en-US"/>
        </w:rPr>
      </w:pPr>
    </w:p>
    <w:p w:rsidR="00337107" w:rsidRPr="00337107" w:rsidRDefault="00337107" w:rsidP="00337107">
      <w:pPr>
        <w:rPr>
          <w:lang w:eastAsia="en-US"/>
        </w:rPr>
      </w:pPr>
    </w:p>
    <w:p w:rsidR="00DF208C" w:rsidRDefault="001D5DE2" w:rsidP="00DF208C">
      <w:pPr>
        <w:rPr>
          <w:rFonts w:asciiTheme="minorHAnsi" w:hAnsiTheme="minorHAnsi"/>
          <w:sz w:val="22"/>
        </w:rPr>
      </w:pPr>
      <w:r w:rsidRPr="001D5DE2">
        <w:rPr>
          <w:rFonts w:asciiTheme="minorHAnsi" w:hAnsiTheme="minorHAnsi"/>
          <w:sz w:val="22"/>
        </w:rPr>
        <w:t>These applications</w:t>
      </w:r>
      <w:r w:rsidR="003A0852">
        <w:rPr>
          <w:rFonts w:asciiTheme="minorHAnsi" w:hAnsiTheme="minorHAnsi"/>
          <w:sz w:val="22"/>
        </w:rPr>
        <w:t xml:space="preserve"> are summarised in the VPA’s Part A submission.  The VPA has also circulated officer reports </w:t>
      </w:r>
      <w:r w:rsidR="00B95AEE">
        <w:rPr>
          <w:rFonts w:asciiTheme="minorHAnsi" w:hAnsiTheme="minorHAnsi"/>
          <w:sz w:val="22"/>
        </w:rPr>
        <w:t>assessing each</w:t>
      </w:r>
      <w:r w:rsidR="003A0852">
        <w:rPr>
          <w:rFonts w:asciiTheme="minorHAnsi" w:hAnsiTheme="minorHAnsi"/>
          <w:sz w:val="22"/>
        </w:rPr>
        <w:t xml:space="preserve"> application.</w:t>
      </w:r>
      <w:r w:rsidR="00101981">
        <w:rPr>
          <w:rStyle w:val="FootnoteReference"/>
          <w:rFonts w:asciiTheme="minorHAnsi" w:hAnsiTheme="minorHAnsi"/>
          <w:sz w:val="22"/>
        </w:rPr>
        <w:footnoteReference w:id="19"/>
      </w:r>
      <w:r w:rsidR="0094797E">
        <w:rPr>
          <w:rFonts w:asciiTheme="minorHAnsi" w:hAnsiTheme="minorHAnsi"/>
          <w:sz w:val="22"/>
        </w:rPr>
        <w:t xml:space="preserve">  Since </w:t>
      </w:r>
      <w:r w:rsidR="0075189E">
        <w:rPr>
          <w:rFonts w:asciiTheme="minorHAnsi" w:hAnsiTheme="minorHAnsi"/>
          <w:sz w:val="22"/>
        </w:rPr>
        <w:t>the officer reports were circulated:</w:t>
      </w:r>
    </w:p>
    <w:p w:rsidR="00FA65C7" w:rsidRDefault="0075189E" w:rsidP="0094797E">
      <w:pPr>
        <w:pStyle w:val="ListParagraph"/>
        <w:numPr>
          <w:ilvl w:val="0"/>
          <w:numId w:val="47"/>
        </w:numPr>
      </w:pPr>
      <w:r>
        <w:t>the VPA has circulated</w:t>
      </w:r>
      <w:r w:rsidR="00FA65C7">
        <w:t>:</w:t>
      </w:r>
    </w:p>
    <w:p w:rsidR="00FA65C7" w:rsidRDefault="005C6898" w:rsidP="00FA65C7">
      <w:pPr>
        <w:pStyle w:val="ListParagraph"/>
        <w:numPr>
          <w:ilvl w:val="1"/>
          <w:numId w:val="30"/>
        </w:numPr>
      </w:pPr>
      <w:r>
        <w:t xml:space="preserve">design controls proposed for </w:t>
      </w:r>
      <w:r w:rsidR="00C51D71">
        <w:t>inclusion in Amendment C20</w:t>
      </w:r>
      <w:r w:rsidR="00891C7D">
        <w:t xml:space="preserve">8 relating specifically to </w:t>
      </w:r>
      <w:r>
        <w:t>the Sherwood Heights / Racecourse</w:t>
      </w:r>
      <w:r w:rsidR="00471F30">
        <w:t xml:space="preserve"> Road site; and</w:t>
      </w:r>
      <w:r>
        <w:t xml:space="preserve"> </w:t>
      </w:r>
    </w:p>
    <w:p w:rsidR="0075189E" w:rsidRDefault="00471F30" w:rsidP="00FA65C7">
      <w:pPr>
        <w:pStyle w:val="ListParagraph"/>
        <w:numPr>
          <w:ilvl w:val="1"/>
          <w:numId w:val="30"/>
        </w:numPr>
      </w:pPr>
      <w:r>
        <w:t>a proposed revision to the development area within the Sherwood Heights / Racecourse Road site;</w:t>
      </w:r>
    </w:p>
    <w:p w:rsidR="0094797E" w:rsidRDefault="001804E7" w:rsidP="0094797E">
      <w:pPr>
        <w:pStyle w:val="ListParagraph"/>
        <w:numPr>
          <w:ilvl w:val="0"/>
          <w:numId w:val="47"/>
        </w:numPr>
      </w:pPr>
      <w:r>
        <w:t>expert evidence has been circulated</w:t>
      </w:r>
      <w:r w:rsidR="00732FBA">
        <w:t xml:space="preserve"> in respect of the three applications</w:t>
      </w:r>
      <w:r>
        <w:t xml:space="preserve">; </w:t>
      </w:r>
    </w:p>
    <w:p w:rsidR="00047CAA" w:rsidRDefault="00047CAA" w:rsidP="0094797E">
      <w:pPr>
        <w:pStyle w:val="ListParagraph"/>
        <w:numPr>
          <w:ilvl w:val="0"/>
          <w:numId w:val="47"/>
        </w:numPr>
      </w:pPr>
      <w:r>
        <w:t>the</w:t>
      </w:r>
      <w:r w:rsidR="009C0C9F">
        <w:t xml:space="preserve"> expert </w:t>
      </w:r>
      <w:r w:rsidR="00161FEA">
        <w:t xml:space="preserve">evidence for </w:t>
      </w:r>
      <w:proofErr w:type="spellStart"/>
      <w:r w:rsidR="00161FEA">
        <w:t>Wincity</w:t>
      </w:r>
      <w:proofErr w:type="spellEnd"/>
      <w:r w:rsidR="00161FEA">
        <w:t xml:space="preserve"> includes</w:t>
      </w:r>
      <w:r w:rsidR="00732FBA">
        <w:t xml:space="preserve"> </w:t>
      </w:r>
      <w:r w:rsidR="00E705DA">
        <w:t>an amended plan of subdivision</w:t>
      </w:r>
      <w:r w:rsidR="00732FBA">
        <w:t>;</w:t>
      </w:r>
      <w:r w:rsidR="009C0C9F">
        <w:t xml:space="preserve"> </w:t>
      </w:r>
    </w:p>
    <w:p w:rsidR="00047CAA" w:rsidRDefault="00047CAA" w:rsidP="0094797E">
      <w:pPr>
        <w:pStyle w:val="ListParagraph"/>
        <w:numPr>
          <w:ilvl w:val="0"/>
          <w:numId w:val="47"/>
        </w:numPr>
      </w:pPr>
      <w:r>
        <w:t xml:space="preserve">Melbourne </w:t>
      </w:r>
      <w:r w:rsidR="00732FBA">
        <w:t>W</w:t>
      </w:r>
      <w:r w:rsidR="00E705DA">
        <w:t xml:space="preserve">ater has reviewed the </w:t>
      </w:r>
      <w:proofErr w:type="spellStart"/>
      <w:r w:rsidR="00E705DA">
        <w:t>Wincity</w:t>
      </w:r>
      <w:proofErr w:type="spellEnd"/>
      <w:r w:rsidR="00E705DA">
        <w:t xml:space="preserve"> amended plan of subdivision and withdrawn its objection; and</w:t>
      </w:r>
    </w:p>
    <w:p w:rsidR="00E705DA" w:rsidRDefault="00696AD8" w:rsidP="00E705DA">
      <w:pPr>
        <w:pStyle w:val="ListParagraph"/>
        <w:numPr>
          <w:ilvl w:val="0"/>
          <w:numId w:val="47"/>
        </w:numPr>
      </w:pPr>
      <w:r>
        <w:t xml:space="preserve">Melbourne Water has </w:t>
      </w:r>
      <w:r w:rsidR="00E41B77">
        <w:t xml:space="preserve">provided comments on the </w:t>
      </w:r>
      <w:r w:rsidR="00047CAA">
        <w:t xml:space="preserve">functional designs submitted by </w:t>
      </w:r>
      <w:r w:rsidR="00E705DA">
        <w:t>Villawood in respect of the Sherwood Heights and Redstone Hill applications.</w:t>
      </w:r>
    </w:p>
    <w:p w:rsidR="00695791" w:rsidRDefault="00695791" w:rsidP="00DF208C">
      <w:pPr>
        <w:rPr>
          <w:rFonts w:asciiTheme="minorHAnsi" w:hAnsiTheme="minorHAnsi"/>
          <w:sz w:val="22"/>
        </w:rPr>
      </w:pPr>
      <w:r>
        <w:rPr>
          <w:rFonts w:asciiTheme="minorHAnsi" w:hAnsiTheme="minorHAnsi"/>
          <w:sz w:val="22"/>
        </w:rPr>
        <w:t xml:space="preserve">The VPA has </w:t>
      </w:r>
      <w:r w:rsidR="00A21A87">
        <w:rPr>
          <w:rFonts w:asciiTheme="minorHAnsi" w:hAnsiTheme="minorHAnsi"/>
          <w:sz w:val="22"/>
        </w:rPr>
        <w:t xml:space="preserve">now </w:t>
      </w:r>
      <w:r>
        <w:rPr>
          <w:rFonts w:asciiTheme="minorHAnsi" w:hAnsiTheme="minorHAnsi"/>
          <w:sz w:val="22"/>
        </w:rPr>
        <w:t xml:space="preserve">updated its </w:t>
      </w:r>
      <w:r w:rsidR="006A03F6">
        <w:rPr>
          <w:rFonts w:asciiTheme="minorHAnsi" w:hAnsiTheme="minorHAnsi"/>
          <w:sz w:val="22"/>
        </w:rPr>
        <w:t xml:space="preserve">officer report assessing the </w:t>
      </w:r>
      <w:proofErr w:type="spellStart"/>
      <w:r w:rsidR="006A03F6">
        <w:rPr>
          <w:rFonts w:asciiTheme="minorHAnsi" w:hAnsiTheme="minorHAnsi"/>
          <w:sz w:val="22"/>
        </w:rPr>
        <w:t>Wincity</w:t>
      </w:r>
      <w:proofErr w:type="spellEnd"/>
      <w:r w:rsidR="006A03F6">
        <w:rPr>
          <w:rFonts w:asciiTheme="minorHAnsi" w:hAnsiTheme="minorHAnsi"/>
          <w:sz w:val="22"/>
        </w:rPr>
        <w:t xml:space="preserve"> application in response to the amended plan of subdivision.  </w:t>
      </w:r>
      <w:r w:rsidR="008C6A41">
        <w:rPr>
          <w:rFonts w:asciiTheme="minorHAnsi" w:hAnsiTheme="minorHAnsi"/>
          <w:sz w:val="22"/>
        </w:rPr>
        <w:t>The differences between the previously prov</w:t>
      </w:r>
      <w:r w:rsidR="00E95FE3">
        <w:rPr>
          <w:rFonts w:asciiTheme="minorHAnsi" w:hAnsiTheme="minorHAnsi"/>
          <w:sz w:val="22"/>
        </w:rPr>
        <w:t>ided and current officer report</w:t>
      </w:r>
      <w:r w:rsidR="008C6A41">
        <w:rPr>
          <w:rFonts w:asciiTheme="minorHAnsi" w:hAnsiTheme="minorHAnsi"/>
          <w:sz w:val="22"/>
        </w:rPr>
        <w:t xml:space="preserve"> are shown in tracked changes.</w:t>
      </w:r>
    </w:p>
    <w:p w:rsidR="008C6A41" w:rsidRDefault="008C6A41" w:rsidP="00DF208C">
      <w:pPr>
        <w:rPr>
          <w:rFonts w:asciiTheme="minorHAnsi" w:hAnsiTheme="minorHAnsi"/>
          <w:sz w:val="22"/>
        </w:rPr>
      </w:pPr>
      <w:r>
        <w:rPr>
          <w:rFonts w:asciiTheme="minorHAnsi" w:hAnsiTheme="minorHAnsi"/>
          <w:sz w:val="22"/>
        </w:rPr>
        <w:t xml:space="preserve">The VPA </w:t>
      </w:r>
      <w:r w:rsidR="00A21A87">
        <w:rPr>
          <w:rFonts w:asciiTheme="minorHAnsi" w:hAnsiTheme="minorHAnsi"/>
          <w:sz w:val="22"/>
        </w:rPr>
        <w:t xml:space="preserve">also provides the </w:t>
      </w:r>
      <w:r w:rsidR="007B2124">
        <w:rPr>
          <w:rFonts w:asciiTheme="minorHAnsi" w:hAnsiTheme="minorHAnsi"/>
          <w:sz w:val="22"/>
        </w:rPr>
        <w:t>following responses to the above matters.</w:t>
      </w:r>
    </w:p>
    <w:p w:rsidR="00A454F6" w:rsidRPr="00102062" w:rsidRDefault="00A454F6" w:rsidP="002F2BFF">
      <w:pPr>
        <w:pStyle w:val="Heading3"/>
        <w:keepNext w:val="0"/>
        <w:rPr>
          <w:rFonts w:asciiTheme="minorHAnsi" w:hAnsiTheme="minorHAnsi"/>
          <w:b/>
        </w:rPr>
      </w:pPr>
      <w:r w:rsidRPr="00102062">
        <w:rPr>
          <w:rFonts w:asciiTheme="minorHAnsi" w:hAnsiTheme="minorHAnsi"/>
          <w:b/>
        </w:rPr>
        <w:lastRenderedPageBreak/>
        <w:t>Sherwood Heights</w:t>
      </w:r>
      <w:r w:rsidR="00B579B4">
        <w:rPr>
          <w:rFonts w:asciiTheme="minorHAnsi" w:hAnsiTheme="minorHAnsi"/>
          <w:b/>
        </w:rPr>
        <w:t xml:space="preserve"> / Racecourse Road</w:t>
      </w:r>
      <w:r w:rsidR="00102062">
        <w:rPr>
          <w:rFonts w:asciiTheme="minorHAnsi" w:hAnsiTheme="minorHAnsi"/>
          <w:b/>
        </w:rPr>
        <w:t xml:space="preserve"> </w:t>
      </w:r>
      <w:r w:rsidR="00B579B4">
        <w:rPr>
          <w:rFonts w:asciiTheme="minorHAnsi" w:hAnsiTheme="minorHAnsi"/>
          <w:b/>
        </w:rPr>
        <w:t>–</w:t>
      </w:r>
      <w:r w:rsidR="00102062">
        <w:rPr>
          <w:rFonts w:asciiTheme="minorHAnsi" w:hAnsiTheme="minorHAnsi"/>
          <w:b/>
        </w:rPr>
        <w:t xml:space="preserve"> Villawood</w:t>
      </w:r>
      <w:r w:rsidR="00B579B4">
        <w:rPr>
          <w:rFonts w:asciiTheme="minorHAnsi" w:hAnsiTheme="minorHAnsi"/>
          <w:b/>
        </w:rPr>
        <w:t xml:space="preserve"> </w:t>
      </w:r>
      <w:r w:rsidRPr="00102062">
        <w:rPr>
          <w:rFonts w:asciiTheme="minorHAnsi" w:hAnsiTheme="minorHAnsi"/>
          <w:b/>
        </w:rPr>
        <w:t>(P18854)</w:t>
      </w:r>
    </w:p>
    <w:p w:rsidR="008465A1" w:rsidRPr="008465A1" w:rsidRDefault="008465A1" w:rsidP="002F2BFF">
      <w:pPr>
        <w:rPr>
          <w:rFonts w:asciiTheme="minorHAnsi" w:hAnsiTheme="minorHAnsi"/>
          <w:sz w:val="22"/>
          <w:lang w:eastAsia="en-US"/>
        </w:rPr>
      </w:pPr>
      <w:r>
        <w:rPr>
          <w:rFonts w:asciiTheme="minorHAnsi" w:hAnsiTheme="minorHAnsi"/>
          <w:sz w:val="22"/>
          <w:lang w:eastAsia="en-US"/>
        </w:rPr>
        <w:t xml:space="preserve">The </w:t>
      </w:r>
      <w:r w:rsidR="00954C68">
        <w:rPr>
          <w:rFonts w:asciiTheme="minorHAnsi" w:hAnsiTheme="minorHAnsi"/>
          <w:sz w:val="22"/>
          <w:lang w:eastAsia="en-US"/>
        </w:rPr>
        <w:t>additional design controls and revision to the development area proposed by the VPA and circulated to the Panel and parties are included at Appendix 9 to the VPA’s Part A submission.</w:t>
      </w:r>
    </w:p>
    <w:p w:rsidR="00A62D9A" w:rsidRDefault="00321F37" w:rsidP="002F2BFF">
      <w:pPr>
        <w:rPr>
          <w:rFonts w:asciiTheme="minorHAnsi" w:hAnsiTheme="minorHAnsi"/>
          <w:b/>
          <w:i/>
          <w:sz w:val="22"/>
          <w:lang w:eastAsia="en-US"/>
        </w:rPr>
      </w:pPr>
      <w:r>
        <w:rPr>
          <w:rFonts w:asciiTheme="minorHAnsi" w:hAnsiTheme="minorHAnsi"/>
          <w:b/>
          <w:i/>
          <w:sz w:val="22"/>
          <w:lang w:eastAsia="en-US"/>
        </w:rPr>
        <w:t xml:space="preserve">Expert evidence </w:t>
      </w:r>
    </w:p>
    <w:p w:rsidR="00C16CEC" w:rsidRDefault="00C16CEC" w:rsidP="00C16CEC">
      <w:pPr>
        <w:rPr>
          <w:rFonts w:asciiTheme="minorHAnsi" w:hAnsiTheme="minorHAnsi"/>
          <w:sz w:val="22"/>
          <w:lang w:eastAsia="en-US"/>
        </w:rPr>
      </w:pPr>
      <w:r>
        <w:rPr>
          <w:rFonts w:asciiTheme="minorHAnsi" w:hAnsiTheme="minorHAnsi"/>
          <w:sz w:val="22"/>
          <w:lang w:eastAsia="en-US"/>
        </w:rPr>
        <w:t xml:space="preserve">Villawood </w:t>
      </w:r>
      <w:r w:rsidRPr="00C16CEC">
        <w:rPr>
          <w:rFonts w:asciiTheme="minorHAnsi" w:hAnsiTheme="minorHAnsi"/>
          <w:sz w:val="22"/>
          <w:lang w:eastAsia="en-US"/>
        </w:rPr>
        <w:t>relies on the following expert witness reports in support of its application and submission:</w:t>
      </w:r>
    </w:p>
    <w:p w:rsidR="00274BAA" w:rsidRPr="00C16CEC" w:rsidRDefault="00DB268E" w:rsidP="00C16CEC">
      <w:pPr>
        <w:pStyle w:val="ListParagraph"/>
        <w:numPr>
          <w:ilvl w:val="0"/>
          <w:numId w:val="48"/>
        </w:numPr>
      </w:pPr>
      <w:r w:rsidRPr="00C16CEC">
        <w:t>Mark Woodland of Echelon Planning</w:t>
      </w:r>
      <w:r w:rsidR="003B7F58" w:rsidRPr="00C16CEC">
        <w:t xml:space="preserve"> in relation to planning;</w:t>
      </w:r>
    </w:p>
    <w:p w:rsidR="003B7F58" w:rsidRDefault="003B7F58" w:rsidP="002F2BFF">
      <w:pPr>
        <w:pStyle w:val="ListParagraph"/>
        <w:numPr>
          <w:ilvl w:val="0"/>
          <w:numId w:val="48"/>
        </w:numPr>
      </w:pPr>
      <w:r>
        <w:t xml:space="preserve">Barry Murphy of MDG Landscape Architects in relation to </w:t>
      </w:r>
      <w:r w:rsidR="000953AD">
        <w:t>landscape;</w:t>
      </w:r>
    </w:p>
    <w:p w:rsidR="00C16CEC" w:rsidRDefault="000B52FF" w:rsidP="000B52FF">
      <w:pPr>
        <w:pStyle w:val="ListParagraph"/>
        <w:numPr>
          <w:ilvl w:val="0"/>
          <w:numId w:val="48"/>
        </w:numPr>
      </w:pPr>
      <w:r>
        <w:t>Steven Hunt of Ratio Consultants in relation to traffic engineering;</w:t>
      </w:r>
      <w:r w:rsidR="00C16CEC">
        <w:t xml:space="preserve"> and</w:t>
      </w:r>
    </w:p>
    <w:p w:rsidR="00767AC4" w:rsidRDefault="000953AD" w:rsidP="00C16CEC">
      <w:pPr>
        <w:pStyle w:val="ListParagraph"/>
        <w:numPr>
          <w:ilvl w:val="0"/>
          <w:numId w:val="48"/>
        </w:numPr>
      </w:pPr>
      <w:r>
        <w:t>Jonathon McLean of Alluvium in relation to drainage</w:t>
      </w:r>
      <w:r w:rsidR="00C16CEC">
        <w:t>.</w:t>
      </w:r>
    </w:p>
    <w:p w:rsidR="00BD4136" w:rsidRDefault="00BD4136" w:rsidP="002F2BFF">
      <w:pPr>
        <w:rPr>
          <w:rFonts w:asciiTheme="minorHAnsi" w:hAnsiTheme="minorHAnsi"/>
          <w:sz w:val="22"/>
        </w:rPr>
      </w:pPr>
      <w:r w:rsidRPr="00BD4136">
        <w:rPr>
          <w:rFonts w:asciiTheme="minorHAnsi" w:hAnsiTheme="minorHAnsi"/>
          <w:sz w:val="22"/>
        </w:rPr>
        <w:t>The expert evide</w:t>
      </w:r>
      <w:r>
        <w:rPr>
          <w:rFonts w:asciiTheme="minorHAnsi" w:hAnsiTheme="minorHAnsi"/>
          <w:sz w:val="22"/>
        </w:rPr>
        <w:t xml:space="preserve">nce </w:t>
      </w:r>
      <w:r w:rsidR="00672982">
        <w:rPr>
          <w:rFonts w:asciiTheme="minorHAnsi" w:hAnsiTheme="minorHAnsi"/>
          <w:sz w:val="22"/>
        </w:rPr>
        <w:t xml:space="preserve">circulated by the permit applicant, Villawood, </w:t>
      </w:r>
      <w:r w:rsidR="007C6514">
        <w:rPr>
          <w:rFonts w:asciiTheme="minorHAnsi" w:hAnsiTheme="minorHAnsi"/>
          <w:sz w:val="22"/>
        </w:rPr>
        <w:t xml:space="preserve">did not contain </w:t>
      </w:r>
      <w:r w:rsidR="00AA71DB">
        <w:rPr>
          <w:rFonts w:asciiTheme="minorHAnsi" w:hAnsiTheme="minorHAnsi"/>
          <w:sz w:val="22"/>
        </w:rPr>
        <w:t>an amended plan of subdivision or material otherwise purporting to amend the permit application.</w:t>
      </w:r>
    </w:p>
    <w:p w:rsidR="001E7C50" w:rsidRDefault="001E7C50" w:rsidP="002F2BFF">
      <w:pPr>
        <w:rPr>
          <w:rFonts w:asciiTheme="minorHAnsi" w:hAnsiTheme="minorHAnsi"/>
          <w:sz w:val="22"/>
        </w:rPr>
      </w:pPr>
      <w:r>
        <w:rPr>
          <w:rFonts w:asciiTheme="minorHAnsi" w:hAnsiTheme="minorHAnsi"/>
          <w:sz w:val="22"/>
        </w:rPr>
        <w:t xml:space="preserve">Overall, the VPA considers the proposed layout and landscape elements of the </w:t>
      </w:r>
      <w:r w:rsidR="007E16ED">
        <w:rPr>
          <w:rFonts w:asciiTheme="minorHAnsi" w:hAnsiTheme="minorHAnsi"/>
          <w:sz w:val="22"/>
        </w:rPr>
        <w:t>subdivision application to be progressing, but notes the application has not yet addressed concerns raised by Melbourne Water, particularly in relation to the treatment of the internal waterway.</w:t>
      </w:r>
    </w:p>
    <w:p w:rsidR="00E16206" w:rsidRDefault="00E16206" w:rsidP="002F2BFF">
      <w:pPr>
        <w:rPr>
          <w:rFonts w:asciiTheme="minorHAnsi" w:hAnsiTheme="minorHAnsi"/>
          <w:sz w:val="22"/>
        </w:rPr>
      </w:pPr>
      <w:r>
        <w:rPr>
          <w:rFonts w:asciiTheme="minorHAnsi" w:hAnsiTheme="minorHAnsi"/>
          <w:sz w:val="22"/>
        </w:rPr>
        <w:t xml:space="preserve">While materials have been passed between the permit applicant and the VPA, the </w:t>
      </w:r>
      <w:r w:rsidR="0010245D">
        <w:rPr>
          <w:rFonts w:asciiTheme="minorHAnsi" w:hAnsiTheme="minorHAnsi"/>
          <w:sz w:val="22"/>
        </w:rPr>
        <w:t>VPA</w:t>
      </w:r>
      <w:r>
        <w:rPr>
          <w:rFonts w:asciiTheme="minorHAnsi" w:hAnsiTheme="minorHAnsi"/>
          <w:sz w:val="22"/>
        </w:rPr>
        <w:t xml:space="preserve"> does not </w:t>
      </w:r>
      <w:r w:rsidR="00EC4889">
        <w:rPr>
          <w:rFonts w:asciiTheme="minorHAnsi" w:hAnsiTheme="minorHAnsi"/>
          <w:sz w:val="22"/>
        </w:rPr>
        <w:t>consider itself to be in</w:t>
      </w:r>
      <w:r w:rsidR="00276DF7">
        <w:rPr>
          <w:rFonts w:asciiTheme="minorHAnsi" w:hAnsiTheme="minorHAnsi"/>
          <w:sz w:val="22"/>
        </w:rPr>
        <w:t xml:space="preserve"> receipt of materials that would constitute an amended permit application.  </w:t>
      </w:r>
    </w:p>
    <w:p w:rsidR="00605819" w:rsidRPr="00605819" w:rsidRDefault="00605819" w:rsidP="00B60A43">
      <w:pPr>
        <w:keepNext/>
        <w:rPr>
          <w:rFonts w:asciiTheme="minorHAnsi" w:hAnsiTheme="minorHAnsi"/>
          <w:i/>
          <w:sz w:val="22"/>
        </w:rPr>
      </w:pPr>
      <w:r>
        <w:rPr>
          <w:rFonts w:asciiTheme="minorHAnsi" w:hAnsiTheme="minorHAnsi"/>
          <w:i/>
          <w:sz w:val="22"/>
        </w:rPr>
        <w:t xml:space="preserve">Planning evidence </w:t>
      </w:r>
    </w:p>
    <w:p w:rsidR="00930554" w:rsidRDefault="00930554" w:rsidP="00B60A43">
      <w:pPr>
        <w:keepNext/>
        <w:rPr>
          <w:rFonts w:asciiTheme="minorHAnsi" w:hAnsiTheme="minorHAnsi"/>
          <w:sz w:val="22"/>
        </w:rPr>
      </w:pPr>
      <w:r>
        <w:rPr>
          <w:rFonts w:asciiTheme="minorHAnsi" w:hAnsiTheme="minorHAnsi"/>
          <w:sz w:val="22"/>
        </w:rPr>
        <w:t>Mr Woodland’s planning evidence:</w:t>
      </w:r>
    </w:p>
    <w:p w:rsidR="0026430D" w:rsidRDefault="00B77D45" w:rsidP="00930554">
      <w:pPr>
        <w:pStyle w:val="ListParagraph"/>
        <w:keepNext/>
        <w:numPr>
          <w:ilvl w:val="0"/>
          <w:numId w:val="49"/>
        </w:numPr>
      </w:pPr>
      <w:r>
        <w:t xml:space="preserve">supports </w:t>
      </w:r>
      <w:r w:rsidR="00995B4F">
        <w:t xml:space="preserve">the inclusion of </w:t>
      </w:r>
      <w:r w:rsidR="00E27D05">
        <w:t>additional controls and guidance relating to this site in Amendment C208,</w:t>
      </w:r>
      <w:r w:rsidR="0026430D">
        <w:t xml:space="preserve"> and elements of the particular controls circulated by the VPA (including the 50% site coverage and 8 metre height limit), but considers other elements need further consideration (including the practicality of limiting cut or fill to </w:t>
      </w:r>
      <w:r w:rsidR="0026430D">
        <w:lastRenderedPageBreak/>
        <w:t>1 metre whi</w:t>
      </w:r>
      <w:r w:rsidR="00AB2C61">
        <w:t>l</w:t>
      </w:r>
      <w:r w:rsidR="0026430D">
        <w:t xml:space="preserve">st still achieving the 4 </w:t>
      </w:r>
      <w:proofErr w:type="gramStart"/>
      <w:r w:rsidR="0026430D">
        <w:t>metre</w:t>
      </w:r>
      <w:proofErr w:type="gramEnd"/>
      <w:r w:rsidR="0026430D">
        <w:t xml:space="preserve"> and 8 metre side and front/rear boundary setbacks on the site);</w:t>
      </w:r>
      <w:r w:rsidR="0026430D">
        <w:rPr>
          <w:rStyle w:val="FootnoteReference"/>
        </w:rPr>
        <w:footnoteReference w:id="20"/>
      </w:r>
    </w:p>
    <w:p w:rsidR="00194159" w:rsidRDefault="00194159" w:rsidP="00930554">
      <w:pPr>
        <w:pStyle w:val="ListParagraph"/>
        <w:keepNext/>
        <w:numPr>
          <w:ilvl w:val="0"/>
          <w:numId w:val="49"/>
        </w:numPr>
      </w:pPr>
      <w:r>
        <w:t xml:space="preserve">considers the </w:t>
      </w:r>
      <w:r w:rsidR="006D1992">
        <w:t>reduction of the development area proposed by the VPA will ‘significantly reduce the visual impact of urban development’ on the adjoining parkland;</w:t>
      </w:r>
      <w:r w:rsidR="00C57880">
        <w:rPr>
          <w:rStyle w:val="FootnoteReference"/>
        </w:rPr>
        <w:footnoteReference w:id="21"/>
      </w:r>
      <w:r w:rsidR="00797FCC">
        <w:t xml:space="preserve"> and</w:t>
      </w:r>
    </w:p>
    <w:p w:rsidR="00930554" w:rsidRDefault="0026430D" w:rsidP="00F97840">
      <w:pPr>
        <w:pStyle w:val="ListParagraph"/>
        <w:keepNext/>
        <w:numPr>
          <w:ilvl w:val="0"/>
          <w:numId w:val="49"/>
        </w:numPr>
      </w:pPr>
      <w:r>
        <w:t xml:space="preserve">recommends the </w:t>
      </w:r>
      <w:r w:rsidR="00F97840">
        <w:t xml:space="preserve">controls be subject </w:t>
      </w:r>
      <w:r w:rsidR="00552BA8">
        <w:t>to further testing and consultation</w:t>
      </w:r>
      <w:r w:rsidR="00797FCC">
        <w:t xml:space="preserve"> with the applicant and Council.</w:t>
      </w:r>
      <w:r w:rsidR="00147CEF">
        <w:rPr>
          <w:rStyle w:val="FootnoteReference"/>
        </w:rPr>
        <w:footnoteReference w:id="22"/>
      </w:r>
    </w:p>
    <w:p w:rsidR="00797FCC" w:rsidRDefault="00797FCC" w:rsidP="000F2C61">
      <w:pPr>
        <w:keepNext/>
        <w:rPr>
          <w:rFonts w:asciiTheme="minorHAnsi" w:hAnsiTheme="minorHAnsi"/>
          <w:sz w:val="22"/>
        </w:rPr>
      </w:pPr>
      <w:r w:rsidRPr="00797FCC">
        <w:rPr>
          <w:rFonts w:asciiTheme="minorHAnsi" w:hAnsiTheme="minorHAnsi"/>
          <w:sz w:val="22"/>
        </w:rPr>
        <w:t xml:space="preserve">The VPA </w:t>
      </w:r>
      <w:r w:rsidR="00F37047">
        <w:rPr>
          <w:rFonts w:asciiTheme="minorHAnsi" w:hAnsiTheme="minorHAnsi"/>
          <w:sz w:val="22"/>
        </w:rPr>
        <w:t>notes the controls proposed for inclusion in Schedule 10 of the UGZ relating to this site include that ‘A permit may be granted to vary a residential design control’</w:t>
      </w:r>
      <w:r w:rsidR="00C7340A">
        <w:rPr>
          <w:rFonts w:asciiTheme="minorHAnsi" w:hAnsiTheme="minorHAnsi"/>
          <w:sz w:val="22"/>
        </w:rPr>
        <w:t xml:space="preserve"> and, as such, the proposed cut or fill</w:t>
      </w:r>
      <w:r w:rsidR="003E13FD">
        <w:rPr>
          <w:rFonts w:asciiTheme="minorHAnsi" w:hAnsiTheme="minorHAnsi"/>
          <w:sz w:val="22"/>
        </w:rPr>
        <w:t xml:space="preserve"> requirement is discretionary and could be varied </w:t>
      </w:r>
      <w:proofErr w:type="gramStart"/>
      <w:r w:rsidR="003E13FD">
        <w:rPr>
          <w:rFonts w:asciiTheme="minorHAnsi" w:hAnsiTheme="minorHAnsi"/>
          <w:sz w:val="22"/>
        </w:rPr>
        <w:t>on the basis of</w:t>
      </w:r>
      <w:proofErr w:type="gramEnd"/>
      <w:r w:rsidR="003E13FD">
        <w:rPr>
          <w:rFonts w:asciiTheme="minorHAnsi" w:hAnsiTheme="minorHAnsi"/>
          <w:sz w:val="22"/>
        </w:rPr>
        <w:t xml:space="preserve"> </w:t>
      </w:r>
      <w:r w:rsidR="00394B5C">
        <w:rPr>
          <w:rFonts w:asciiTheme="minorHAnsi" w:hAnsiTheme="minorHAnsi"/>
          <w:sz w:val="22"/>
        </w:rPr>
        <w:t xml:space="preserve">appropriate </w:t>
      </w:r>
      <w:r w:rsidR="00CC7B38">
        <w:rPr>
          <w:rFonts w:asciiTheme="minorHAnsi" w:hAnsiTheme="minorHAnsi"/>
          <w:sz w:val="22"/>
        </w:rPr>
        <w:t>justification within the application.</w:t>
      </w:r>
      <w:r w:rsidR="00394B5C">
        <w:rPr>
          <w:rFonts w:asciiTheme="minorHAnsi" w:hAnsiTheme="minorHAnsi"/>
          <w:sz w:val="22"/>
        </w:rPr>
        <w:t xml:space="preserve">  </w:t>
      </w:r>
    </w:p>
    <w:p w:rsidR="004B0B6E" w:rsidRDefault="00A971EF" w:rsidP="000F2C61">
      <w:pPr>
        <w:keepNext/>
        <w:rPr>
          <w:rFonts w:asciiTheme="minorHAnsi" w:hAnsiTheme="minorHAnsi"/>
          <w:sz w:val="22"/>
        </w:rPr>
      </w:pPr>
      <w:r>
        <w:rPr>
          <w:rFonts w:asciiTheme="minorHAnsi" w:hAnsiTheme="minorHAnsi"/>
          <w:sz w:val="22"/>
        </w:rPr>
        <w:t xml:space="preserve">The VPA considers that because the planning controls for this site otherwise allow for as-of-right development within parameters, it is appropriate for the </w:t>
      </w:r>
      <w:r w:rsidR="000121F9">
        <w:rPr>
          <w:rFonts w:asciiTheme="minorHAnsi" w:hAnsiTheme="minorHAnsi"/>
          <w:sz w:val="22"/>
        </w:rPr>
        <w:t>design controls to be relatively conservative, but allow applicants the opportunity to justify variations.</w:t>
      </w:r>
    </w:p>
    <w:p w:rsidR="00605819" w:rsidRPr="00605819" w:rsidRDefault="00605819" w:rsidP="000F2C61">
      <w:pPr>
        <w:keepNext/>
        <w:rPr>
          <w:rFonts w:asciiTheme="minorHAnsi" w:hAnsiTheme="minorHAnsi"/>
          <w:i/>
          <w:sz w:val="22"/>
        </w:rPr>
      </w:pPr>
      <w:r>
        <w:rPr>
          <w:rFonts w:asciiTheme="minorHAnsi" w:hAnsiTheme="minorHAnsi"/>
          <w:i/>
          <w:sz w:val="22"/>
        </w:rPr>
        <w:t xml:space="preserve">Landscape evidence </w:t>
      </w:r>
    </w:p>
    <w:p w:rsidR="001C003F" w:rsidRDefault="00CD7750" w:rsidP="00A024B1">
      <w:pPr>
        <w:rPr>
          <w:rFonts w:asciiTheme="minorHAnsi" w:hAnsiTheme="minorHAnsi"/>
          <w:sz w:val="22"/>
        </w:rPr>
      </w:pPr>
      <w:r>
        <w:rPr>
          <w:rFonts w:asciiTheme="minorHAnsi" w:hAnsiTheme="minorHAnsi"/>
          <w:sz w:val="22"/>
        </w:rPr>
        <w:t xml:space="preserve">Mr </w:t>
      </w:r>
      <w:r w:rsidR="00605819">
        <w:rPr>
          <w:rFonts w:asciiTheme="minorHAnsi" w:hAnsiTheme="minorHAnsi"/>
          <w:sz w:val="22"/>
        </w:rPr>
        <w:t>Murphy’s landscape evidence</w:t>
      </w:r>
      <w:r w:rsidR="001C003F">
        <w:rPr>
          <w:rFonts w:asciiTheme="minorHAnsi" w:hAnsiTheme="minorHAnsi"/>
          <w:sz w:val="22"/>
        </w:rPr>
        <w:t>:</w:t>
      </w:r>
    </w:p>
    <w:p w:rsidR="00CD7750" w:rsidRDefault="004B1556" w:rsidP="00A024B1">
      <w:pPr>
        <w:pStyle w:val="ListParagraph"/>
        <w:numPr>
          <w:ilvl w:val="0"/>
          <w:numId w:val="50"/>
        </w:numPr>
      </w:pPr>
      <w:r>
        <w:t>considers the revised extent of development area propose</w:t>
      </w:r>
      <w:r w:rsidR="008348CE">
        <w:t>d by the VPA and finds the revised Villawood proposal (shown in Figure 4.10 of his report) to be generally in accordance with this;</w:t>
      </w:r>
      <w:r w:rsidR="008348CE">
        <w:rPr>
          <w:rStyle w:val="FootnoteReference"/>
        </w:rPr>
        <w:footnoteReference w:id="23"/>
      </w:r>
      <w:r w:rsidR="00F05208">
        <w:t xml:space="preserve"> and </w:t>
      </w:r>
    </w:p>
    <w:p w:rsidR="008348CE" w:rsidRPr="001C003F" w:rsidRDefault="00BD55CA" w:rsidP="00A024B1">
      <w:pPr>
        <w:pStyle w:val="ListParagraph"/>
        <w:numPr>
          <w:ilvl w:val="0"/>
          <w:numId w:val="50"/>
        </w:numPr>
      </w:pPr>
      <w:r>
        <w:t>highlights visual issues to be addressed through the application</w:t>
      </w:r>
      <w:r w:rsidR="00235888">
        <w:t xml:space="preserve"> and the importance of landscaping to the succes</w:t>
      </w:r>
      <w:r w:rsidR="0051745D">
        <w:t>sful integration of development on the site</w:t>
      </w:r>
      <w:r>
        <w:t>.</w:t>
      </w:r>
      <w:r>
        <w:rPr>
          <w:rStyle w:val="FootnoteReference"/>
        </w:rPr>
        <w:footnoteReference w:id="24"/>
      </w:r>
    </w:p>
    <w:p w:rsidR="00A971EF" w:rsidRDefault="00BD55CA" w:rsidP="00A024B1">
      <w:pPr>
        <w:rPr>
          <w:rFonts w:asciiTheme="minorHAnsi" w:hAnsiTheme="minorHAnsi"/>
          <w:sz w:val="22"/>
        </w:rPr>
      </w:pPr>
      <w:r>
        <w:rPr>
          <w:rFonts w:asciiTheme="minorHAnsi" w:hAnsiTheme="minorHAnsi"/>
          <w:sz w:val="22"/>
        </w:rPr>
        <w:t>The VPA notes the visual matters identified by Mr Murphy, including the sensitivity of interface streets with the creek.  The VPA observes that the street proposed to front the creek valley</w:t>
      </w:r>
      <w:r w:rsidR="005F1CA8">
        <w:rPr>
          <w:rFonts w:asciiTheme="minorHAnsi" w:hAnsiTheme="minorHAnsi"/>
          <w:sz w:val="22"/>
        </w:rPr>
        <w:t xml:space="preserve"> is on the flatter area rather than the hill.  The VPA broadly considers this to be a practical response to minimise the engineering and cut and fill associated with the road, and allow for associated paths and recreation facilities to be provided within the valley itself.</w:t>
      </w:r>
    </w:p>
    <w:p w:rsidR="00C64E70" w:rsidRDefault="00C64E70" w:rsidP="00A024B1">
      <w:pPr>
        <w:rPr>
          <w:rFonts w:asciiTheme="minorHAnsi" w:hAnsiTheme="minorHAnsi"/>
          <w:sz w:val="22"/>
        </w:rPr>
      </w:pPr>
      <w:r>
        <w:rPr>
          <w:rFonts w:asciiTheme="minorHAnsi" w:hAnsiTheme="minorHAnsi"/>
          <w:sz w:val="22"/>
        </w:rPr>
        <w:t xml:space="preserve">The VPA agrees with Mr Murphy’s comments in relation to the importance of landscaping and </w:t>
      </w:r>
      <w:r w:rsidR="00101FB4">
        <w:rPr>
          <w:rFonts w:asciiTheme="minorHAnsi" w:hAnsiTheme="minorHAnsi"/>
          <w:sz w:val="22"/>
        </w:rPr>
        <w:t xml:space="preserve">confirms </w:t>
      </w:r>
      <w:r>
        <w:rPr>
          <w:rFonts w:asciiTheme="minorHAnsi" w:hAnsiTheme="minorHAnsi"/>
          <w:sz w:val="22"/>
        </w:rPr>
        <w:t>this would be addressed through landscape implementation conditions on any permit issued for the site.</w:t>
      </w:r>
    </w:p>
    <w:p w:rsidR="00CF687D" w:rsidRDefault="00CF687D" w:rsidP="00A024B1">
      <w:pPr>
        <w:rPr>
          <w:rFonts w:asciiTheme="minorHAnsi" w:hAnsiTheme="minorHAnsi"/>
          <w:i/>
          <w:sz w:val="22"/>
        </w:rPr>
      </w:pPr>
      <w:r>
        <w:rPr>
          <w:rFonts w:asciiTheme="minorHAnsi" w:hAnsiTheme="minorHAnsi"/>
          <w:i/>
          <w:sz w:val="22"/>
        </w:rPr>
        <w:t>Traffic evidence</w:t>
      </w:r>
    </w:p>
    <w:p w:rsidR="00CF687D" w:rsidRDefault="00B60A43" w:rsidP="00A024B1">
      <w:pPr>
        <w:rPr>
          <w:rFonts w:asciiTheme="minorHAnsi" w:hAnsiTheme="minorHAnsi"/>
          <w:sz w:val="22"/>
        </w:rPr>
      </w:pPr>
      <w:r>
        <w:rPr>
          <w:rFonts w:asciiTheme="minorHAnsi" w:hAnsiTheme="minorHAnsi"/>
          <w:sz w:val="22"/>
        </w:rPr>
        <w:lastRenderedPageBreak/>
        <w:t xml:space="preserve">Mr </w:t>
      </w:r>
      <w:r w:rsidR="00A51BD2">
        <w:rPr>
          <w:rFonts w:asciiTheme="minorHAnsi" w:hAnsiTheme="minorHAnsi"/>
          <w:sz w:val="22"/>
        </w:rPr>
        <w:t>Hunt’s traffic evidence:</w:t>
      </w:r>
    </w:p>
    <w:p w:rsidR="00A51BD2" w:rsidRDefault="00A51BD2" w:rsidP="00A51BD2">
      <w:pPr>
        <w:pStyle w:val="ListParagraph"/>
        <w:numPr>
          <w:ilvl w:val="0"/>
          <w:numId w:val="51"/>
        </w:numPr>
      </w:pPr>
      <w:r>
        <w:t>reviews the traffic and transport assessment report prepared by Cardno that accompanied the application</w:t>
      </w:r>
      <w:r w:rsidR="00860374">
        <w:t xml:space="preserve"> and the GTA modelling of interim conditions </w:t>
      </w:r>
      <w:proofErr w:type="gramStart"/>
      <w:r w:rsidR="00860374">
        <w:t>in the vicinity of</w:t>
      </w:r>
      <w:proofErr w:type="gramEnd"/>
      <w:r w:rsidR="00860374">
        <w:t xml:space="preserve"> Racecourse Road and Elizabeth Drive and within Sherwood Heights;</w:t>
      </w:r>
      <w:r w:rsidR="00037693">
        <w:rPr>
          <w:rStyle w:val="FootnoteReference"/>
        </w:rPr>
        <w:footnoteReference w:id="25"/>
      </w:r>
      <w:r w:rsidR="009E0F0F">
        <w:t xml:space="preserve"> and concludes that:</w:t>
      </w:r>
      <w:r w:rsidR="009E0F0F">
        <w:rPr>
          <w:rStyle w:val="FootnoteReference"/>
        </w:rPr>
        <w:footnoteReference w:id="26"/>
      </w:r>
    </w:p>
    <w:p w:rsidR="009E0F0F" w:rsidRDefault="008905A4" w:rsidP="009E0F0F">
      <w:pPr>
        <w:pStyle w:val="ListParagraph"/>
        <w:numPr>
          <w:ilvl w:val="1"/>
          <w:numId w:val="30"/>
        </w:numPr>
      </w:pPr>
      <w:r>
        <w:t>traffic generated by the development of Sherwood Heights will be able to be absorbed; and</w:t>
      </w:r>
    </w:p>
    <w:p w:rsidR="009E0F0F" w:rsidRPr="00A51BD2" w:rsidRDefault="008905A4" w:rsidP="009E0F0F">
      <w:pPr>
        <w:pStyle w:val="ListParagraph"/>
        <w:numPr>
          <w:ilvl w:val="1"/>
          <w:numId w:val="30"/>
        </w:numPr>
      </w:pPr>
      <w:r>
        <w:t>the upgrade of the intersection and construction of Elizabeth Drive east of Racecourse Road provides an appropriate contribution towards regional transport infrastructure.</w:t>
      </w:r>
    </w:p>
    <w:p w:rsidR="00581025" w:rsidRPr="00605819" w:rsidRDefault="00581025" w:rsidP="00A024B1">
      <w:pPr>
        <w:rPr>
          <w:rFonts w:asciiTheme="minorHAnsi" w:hAnsiTheme="minorHAnsi"/>
          <w:i/>
          <w:sz w:val="22"/>
        </w:rPr>
      </w:pPr>
      <w:r>
        <w:rPr>
          <w:rFonts w:asciiTheme="minorHAnsi" w:hAnsiTheme="minorHAnsi"/>
          <w:i/>
          <w:sz w:val="22"/>
        </w:rPr>
        <w:t>Drainage evidence</w:t>
      </w:r>
    </w:p>
    <w:p w:rsidR="00F05181" w:rsidRPr="000E5B3C" w:rsidRDefault="00F05181" w:rsidP="000E5B3C">
      <w:pPr>
        <w:keepNext/>
        <w:rPr>
          <w:rFonts w:asciiTheme="minorHAnsi" w:hAnsiTheme="minorHAnsi"/>
          <w:sz w:val="22"/>
        </w:rPr>
      </w:pPr>
      <w:r>
        <w:rPr>
          <w:rFonts w:asciiTheme="minorHAnsi" w:hAnsiTheme="minorHAnsi"/>
          <w:sz w:val="22"/>
        </w:rPr>
        <w:t>Mr McLean’s drainage evi</w:t>
      </w:r>
      <w:r w:rsidR="000E5B3C">
        <w:rPr>
          <w:rFonts w:asciiTheme="minorHAnsi" w:hAnsiTheme="minorHAnsi"/>
          <w:sz w:val="22"/>
        </w:rPr>
        <w:t>dence refers to the functional design submitted to Melbourne Water responding to Melbourne Water’s objection to the permit application.</w:t>
      </w:r>
      <w:r w:rsidR="000E5B3C">
        <w:rPr>
          <w:rStyle w:val="FootnoteReference"/>
          <w:rFonts w:asciiTheme="minorHAnsi" w:hAnsiTheme="minorHAnsi"/>
          <w:sz w:val="22"/>
        </w:rPr>
        <w:footnoteReference w:id="27"/>
      </w:r>
      <w:r w:rsidR="000565FF">
        <w:rPr>
          <w:rFonts w:asciiTheme="minorHAnsi" w:hAnsiTheme="minorHAnsi"/>
          <w:sz w:val="22"/>
        </w:rPr>
        <w:t xml:space="preserve">  </w:t>
      </w:r>
    </w:p>
    <w:p w:rsidR="00A62D9A" w:rsidRDefault="00321F37" w:rsidP="00A62D9A">
      <w:pPr>
        <w:rPr>
          <w:rFonts w:asciiTheme="minorHAnsi" w:hAnsiTheme="minorHAnsi"/>
          <w:b/>
          <w:i/>
          <w:sz w:val="22"/>
          <w:lang w:eastAsia="en-US"/>
        </w:rPr>
      </w:pPr>
      <w:r>
        <w:rPr>
          <w:rFonts w:asciiTheme="minorHAnsi" w:hAnsiTheme="minorHAnsi"/>
          <w:b/>
          <w:i/>
          <w:sz w:val="22"/>
          <w:lang w:eastAsia="en-US"/>
        </w:rPr>
        <w:t xml:space="preserve">Melbourne Water review </w:t>
      </w:r>
    </w:p>
    <w:p w:rsidR="00595B92" w:rsidRDefault="005745F6" w:rsidP="00354122">
      <w:pPr>
        <w:rPr>
          <w:rFonts w:asciiTheme="minorHAnsi" w:hAnsiTheme="minorHAnsi"/>
          <w:sz w:val="22"/>
        </w:rPr>
      </w:pPr>
      <w:r>
        <w:rPr>
          <w:rFonts w:asciiTheme="minorHAnsi" w:hAnsiTheme="minorHAnsi"/>
          <w:sz w:val="22"/>
        </w:rPr>
        <w:t xml:space="preserve">Melbourne </w:t>
      </w:r>
      <w:r w:rsidR="008C28EE">
        <w:rPr>
          <w:rFonts w:asciiTheme="minorHAnsi" w:hAnsiTheme="minorHAnsi"/>
          <w:sz w:val="22"/>
        </w:rPr>
        <w:t xml:space="preserve">Water has reviewed </w:t>
      </w:r>
      <w:r w:rsidR="00EC4889">
        <w:rPr>
          <w:rFonts w:asciiTheme="minorHAnsi" w:hAnsiTheme="minorHAnsi"/>
          <w:sz w:val="22"/>
        </w:rPr>
        <w:t xml:space="preserve">the </w:t>
      </w:r>
      <w:r w:rsidR="00572F30">
        <w:rPr>
          <w:rFonts w:asciiTheme="minorHAnsi" w:hAnsiTheme="minorHAnsi"/>
          <w:sz w:val="22"/>
        </w:rPr>
        <w:t xml:space="preserve">further </w:t>
      </w:r>
      <w:r w:rsidR="008C28EE">
        <w:rPr>
          <w:rFonts w:asciiTheme="minorHAnsi" w:hAnsiTheme="minorHAnsi"/>
          <w:sz w:val="22"/>
        </w:rPr>
        <w:t xml:space="preserve">functional design prepared by Mr McLean </w:t>
      </w:r>
      <w:r w:rsidR="00595B92">
        <w:rPr>
          <w:rFonts w:asciiTheme="minorHAnsi" w:hAnsiTheme="minorHAnsi"/>
          <w:sz w:val="22"/>
        </w:rPr>
        <w:t>on behalf of Villawood and provided comments and r</w:t>
      </w:r>
      <w:r w:rsidR="009667FD">
        <w:rPr>
          <w:rFonts w:asciiTheme="minorHAnsi" w:hAnsiTheme="minorHAnsi"/>
          <w:sz w:val="22"/>
        </w:rPr>
        <w:t>equests for further information</w:t>
      </w:r>
      <w:r w:rsidR="00103ACF">
        <w:rPr>
          <w:rFonts w:asciiTheme="minorHAnsi" w:hAnsiTheme="minorHAnsi"/>
          <w:sz w:val="22"/>
        </w:rPr>
        <w:t>.</w:t>
      </w:r>
    </w:p>
    <w:p w:rsidR="006630D0" w:rsidRDefault="006630D0" w:rsidP="00354122">
      <w:pPr>
        <w:rPr>
          <w:rFonts w:asciiTheme="minorHAnsi" w:hAnsiTheme="minorHAnsi"/>
          <w:sz w:val="22"/>
        </w:rPr>
      </w:pPr>
      <w:r>
        <w:rPr>
          <w:rFonts w:asciiTheme="minorHAnsi" w:hAnsiTheme="minorHAnsi"/>
          <w:sz w:val="22"/>
        </w:rPr>
        <w:t>The VPA understands the outstanding matter for resolution relates to the treatment of the internal waterway near the southern end of the development area.  The Lancefield Road PSP reflects Melbourne Water’s position on this matter</w:t>
      </w:r>
      <w:r w:rsidR="00475C36">
        <w:rPr>
          <w:rFonts w:asciiTheme="minorHAnsi" w:hAnsiTheme="minorHAnsi"/>
          <w:sz w:val="22"/>
        </w:rPr>
        <w:t xml:space="preserve"> (as does the new residential concept plan for the Racecourse Road site)</w:t>
      </w:r>
      <w:r>
        <w:rPr>
          <w:rFonts w:asciiTheme="minorHAnsi" w:hAnsiTheme="minorHAnsi"/>
          <w:sz w:val="22"/>
        </w:rPr>
        <w:t xml:space="preserve"> and shows the relevant land as allowing for an open drainage solution.</w:t>
      </w:r>
    </w:p>
    <w:p w:rsidR="00207060" w:rsidRDefault="00207060" w:rsidP="00354122">
      <w:pPr>
        <w:rPr>
          <w:rFonts w:asciiTheme="minorHAnsi" w:hAnsiTheme="minorHAnsi"/>
          <w:sz w:val="22"/>
        </w:rPr>
      </w:pPr>
      <w:r>
        <w:rPr>
          <w:rFonts w:asciiTheme="minorHAnsi" w:hAnsiTheme="minorHAnsi"/>
          <w:sz w:val="22"/>
        </w:rPr>
        <w:t xml:space="preserve">Melbourne Water’s </w:t>
      </w:r>
      <w:r w:rsidR="00133BE1">
        <w:rPr>
          <w:rFonts w:asciiTheme="minorHAnsi" w:hAnsiTheme="minorHAnsi"/>
          <w:sz w:val="22"/>
        </w:rPr>
        <w:t xml:space="preserve">most recent </w:t>
      </w:r>
      <w:r>
        <w:rPr>
          <w:rFonts w:asciiTheme="minorHAnsi" w:hAnsiTheme="minorHAnsi"/>
          <w:sz w:val="22"/>
        </w:rPr>
        <w:t>comments on this water</w:t>
      </w:r>
      <w:r w:rsidR="00A81D64">
        <w:rPr>
          <w:rFonts w:asciiTheme="minorHAnsi" w:hAnsiTheme="minorHAnsi"/>
          <w:sz w:val="22"/>
        </w:rPr>
        <w:t xml:space="preserve">way are included in the folders provided to the Panel.  </w:t>
      </w:r>
    </w:p>
    <w:p w:rsidR="00A81D64" w:rsidRDefault="00A81D64" w:rsidP="00354122">
      <w:pPr>
        <w:rPr>
          <w:rFonts w:asciiTheme="minorHAnsi" w:hAnsiTheme="minorHAnsi"/>
          <w:sz w:val="22"/>
        </w:rPr>
      </w:pPr>
      <w:r>
        <w:rPr>
          <w:rFonts w:asciiTheme="minorHAnsi" w:hAnsiTheme="minorHAnsi"/>
          <w:sz w:val="22"/>
        </w:rPr>
        <w:t>The VPA concludes that this application is progressing and</w:t>
      </w:r>
      <w:r w:rsidR="00BD3761">
        <w:rPr>
          <w:rFonts w:asciiTheme="minorHAnsi" w:hAnsiTheme="minorHAnsi"/>
          <w:sz w:val="22"/>
        </w:rPr>
        <w:t>,</w:t>
      </w:r>
      <w:r>
        <w:rPr>
          <w:rFonts w:asciiTheme="minorHAnsi" w:hAnsiTheme="minorHAnsi"/>
          <w:sz w:val="22"/>
        </w:rPr>
        <w:t xml:space="preserve"> with the benefit of th</w:t>
      </w:r>
      <w:r w:rsidR="00BD3761">
        <w:rPr>
          <w:rFonts w:asciiTheme="minorHAnsi" w:hAnsiTheme="minorHAnsi"/>
          <w:sz w:val="22"/>
        </w:rPr>
        <w:t>e</w:t>
      </w:r>
      <w:r>
        <w:rPr>
          <w:rFonts w:asciiTheme="minorHAnsi" w:hAnsiTheme="minorHAnsi"/>
          <w:sz w:val="22"/>
        </w:rPr>
        <w:t xml:space="preserve"> hearing</w:t>
      </w:r>
      <w:r w:rsidR="00BD3761">
        <w:rPr>
          <w:rFonts w:asciiTheme="minorHAnsi" w:hAnsiTheme="minorHAnsi"/>
          <w:sz w:val="22"/>
        </w:rPr>
        <w:t xml:space="preserve"> and </w:t>
      </w:r>
      <w:r>
        <w:rPr>
          <w:rFonts w:asciiTheme="minorHAnsi" w:hAnsiTheme="minorHAnsi"/>
          <w:sz w:val="22"/>
        </w:rPr>
        <w:t xml:space="preserve">further discussions </w:t>
      </w:r>
      <w:r w:rsidR="00BD3761">
        <w:rPr>
          <w:rFonts w:asciiTheme="minorHAnsi" w:hAnsiTheme="minorHAnsi"/>
          <w:sz w:val="22"/>
        </w:rPr>
        <w:t>as required,</w:t>
      </w:r>
      <w:r>
        <w:rPr>
          <w:rFonts w:asciiTheme="minorHAnsi" w:hAnsiTheme="minorHAnsi"/>
          <w:sz w:val="22"/>
        </w:rPr>
        <w:t xml:space="preserve"> </w:t>
      </w:r>
      <w:r w:rsidR="00F73768">
        <w:rPr>
          <w:rFonts w:asciiTheme="minorHAnsi" w:hAnsiTheme="minorHAnsi"/>
          <w:sz w:val="22"/>
        </w:rPr>
        <w:t>it is anticipated that</w:t>
      </w:r>
      <w:r w:rsidR="00BD3761">
        <w:rPr>
          <w:rFonts w:asciiTheme="minorHAnsi" w:hAnsiTheme="minorHAnsi"/>
          <w:sz w:val="22"/>
        </w:rPr>
        <w:t xml:space="preserve"> the</w:t>
      </w:r>
      <w:r w:rsidR="00F73768">
        <w:rPr>
          <w:rFonts w:asciiTheme="minorHAnsi" w:hAnsiTheme="minorHAnsi"/>
          <w:sz w:val="22"/>
        </w:rPr>
        <w:t xml:space="preserve"> matter will resolve.  </w:t>
      </w:r>
    </w:p>
    <w:p w:rsidR="0093762A" w:rsidRPr="00102062" w:rsidRDefault="00B579B4" w:rsidP="003D4FF4">
      <w:pPr>
        <w:pStyle w:val="Heading3"/>
        <w:rPr>
          <w:rFonts w:asciiTheme="minorHAnsi" w:hAnsiTheme="minorHAnsi"/>
          <w:b/>
        </w:rPr>
      </w:pPr>
      <w:r>
        <w:rPr>
          <w:rFonts w:asciiTheme="minorHAnsi" w:hAnsiTheme="minorHAnsi"/>
          <w:b/>
        </w:rPr>
        <w:lastRenderedPageBreak/>
        <w:t>Kingfisher Estate /</w:t>
      </w:r>
      <w:r w:rsidR="00102062">
        <w:rPr>
          <w:rFonts w:asciiTheme="minorHAnsi" w:hAnsiTheme="minorHAnsi"/>
          <w:b/>
        </w:rPr>
        <w:t xml:space="preserve"> Lancefield Road – </w:t>
      </w:r>
      <w:proofErr w:type="spellStart"/>
      <w:r w:rsidR="0093762A" w:rsidRPr="00102062">
        <w:rPr>
          <w:rFonts w:asciiTheme="minorHAnsi" w:hAnsiTheme="minorHAnsi"/>
          <w:b/>
        </w:rPr>
        <w:t>Wincity</w:t>
      </w:r>
      <w:proofErr w:type="spellEnd"/>
      <w:r w:rsidR="0093762A" w:rsidRPr="00102062">
        <w:rPr>
          <w:rFonts w:asciiTheme="minorHAnsi" w:hAnsiTheme="minorHAnsi"/>
          <w:b/>
        </w:rPr>
        <w:t xml:space="preserve"> (P18855)</w:t>
      </w:r>
    </w:p>
    <w:p w:rsidR="00321F37" w:rsidRPr="003A711B" w:rsidRDefault="00321F37" w:rsidP="003D4FF4">
      <w:pPr>
        <w:keepNext/>
        <w:rPr>
          <w:rFonts w:asciiTheme="minorHAnsi" w:hAnsiTheme="minorHAnsi"/>
          <w:b/>
          <w:i/>
          <w:sz w:val="22"/>
          <w:lang w:eastAsia="en-US"/>
        </w:rPr>
      </w:pPr>
      <w:r w:rsidRPr="003A711B">
        <w:rPr>
          <w:rFonts w:asciiTheme="minorHAnsi" w:hAnsiTheme="minorHAnsi"/>
          <w:b/>
          <w:i/>
          <w:sz w:val="22"/>
          <w:lang w:eastAsia="en-US"/>
        </w:rPr>
        <w:t xml:space="preserve">Expert evidence </w:t>
      </w:r>
    </w:p>
    <w:p w:rsidR="00350335" w:rsidRDefault="00350335" w:rsidP="003D4FF4">
      <w:pPr>
        <w:keepNext/>
        <w:rPr>
          <w:rFonts w:asciiTheme="minorHAnsi" w:hAnsiTheme="minorHAnsi"/>
          <w:sz w:val="22"/>
        </w:rPr>
      </w:pPr>
      <w:proofErr w:type="spellStart"/>
      <w:r>
        <w:rPr>
          <w:rFonts w:asciiTheme="minorHAnsi" w:hAnsiTheme="minorHAnsi"/>
          <w:sz w:val="22"/>
        </w:rPr>
        <w:t>Wincity</w:t>
      </w:r>
      <w:proofErr w:type="spellEnd"/>
      <w:r>
        <w:rPr>
          <w:rFonts w:asciiTheme="minorHAnsi" w:hAnsiTheme="minorHAnsi"/>
          <w:sz w:val="22"/>
        </w:rPr>
        <w:t xml:space="preserve"> relies on the following expert witness reports in support of its application and submission:</w:t>
      </w:r>
    </w:p>
    <w:p w:rsidR="00350335" w:rsidRDefault="00FC5AE7" w:rsidP="003D4FF4">
      <w:pPr>
        <w:pStyle w:val="ListParagraph"/>
        <w:keepNext/>
        <w:numPr>
          <w:ilvl w:val="0"/>
          <w:numId w:val="48"/>
        </w:numPr>
      </w:pPr>
      <w:r>
        <w:t>Nick Hooper of Taylor</w:t>
      </w:r>
      <w:r w:rsidR="00EA78A2">
        <w:t>s in relation to planning;</w:t>
      </w:r>
    </w:p>
    <w:p w:rsidR="00EA78A2" w:rsidRDefault="00EA78A2" w:rsidP="003D4FF4">
      <w:pPr>
        <w:pStyle w:val="ListParagraph"/>
        <w:keepNext/>
        <w:numPr>
          <w:ilvl w:val="0"/>
          <w:numId w:val="48"/>
        </w:numPr>
      </w:pPr>
      <w:r>
        <w:t xml:space="preserve">Andrew </w:t>
      </w:r>
      <w:proofErr w:type="spellStart"/>
      <w:r>
        <w:t>Tamme</w:t>
      </w:r>
      <w:proofErr w:type="spellEnd"/>
      <w:r>
        <w:t xml:space="preserve"> of Taylors in relation to urban design;</w:t>
      </w:r>
    </w:p>
    <w:p w:rsidR="00EA78A2" w:rsidRDefault="00EA78A2" w:rsidP="00EA78A2">
      <w:pPr>
        <w:pStyle w:val="ListParagraph"/>
        <w:numPr>
          <w:ilvl w:val="0"/>
          <w:numId w:val="48"/>
        </w:numPr>
      </w:pPr>
      <w:r>
        <w:t xml:space="preserve">Aaron Harvey of </w:t>
      </w:r>
      <w:proofErr w:type="spellStart"/>
      <w:r>
        <w:t>Biosis</w:t>
      </w:r>
      <w:proofErr w:type="spellEnd"/>
      <w:r>
        <w:t xml:space="preserve"> in relation to ecology;</w:t>
      </w:r>
    </w:p>
    <w:p w:rsidR="00EA78A2" w:rsidRDefault="00EA78A2" w:rsidP="00EA78A2">
      <w:pPr>
        <w:pStyle w:val="ListParagraph"/>
        <w:numPr>
          <w:ilvl w:val="0"/>
          <w:numId w:val="48"/>
        </w:numPr>
      </w:pPr>
      <w:r>
        <w:t>Nick Glasson of Cardno in relation to services infrastructure;</w:t>
      </w:r>
    </w:p>
    <w:p w:rsidR="00EA78A2" w:rsidRDefault="00EA78A2" w:rsidP="00EA78A2">
      <w:pPr>
        <w:pStyle w:val="ListParagraph"/>
        <w:numPr>
          <w:ilvl w:val="0"/>
          <w:numId w:val="48"/>
        </w:numPr>
      </w:pPr>
      <w:r>
        <w:t>Chris Butler of Cardno in relation to traffic; and</w:t>
      </w:r>
    </w:p>
    <w:p w:rsidR="00EA78A2" w:rsidRDefault="00EA78A2" w:rsidP="00EA78A2">
      <w:pPr>
        <w:pStyle w:val="ListParagraph"/>
        <w:numPr>
          <w:ilvl w:val="0"/>
          <w:numId w:val="48"/>
        </w:numPr>
      </w:pPr>
      <w:r>
        <w:t>Andrew Matheson of Taylors in relation to drainage engineering.</w:t>
      </w:r>
    </w:p>
    <w:p w:rsidR="00350335" w:rsidRDefault="003E4AF8" w:rsidP="000F2C61">
      <w:pPr>
        <w:rPr>
          <w:rFonts w:asciiTheme="minorHAnsi" w:hAnsiTheme="minorHAnsi"/>
          <w:sz w:val="22"/>
          <w:lang w:eastAsia="en-US"/>
        </w:rPr>
      </w:pPr>
      <w:r w:rsidRPr="003E4AF8">
        <w:rPr>
          <w:rFonts w:asciiTheme="minorHAnsi" w:hAnsiTheme="minorHAnsi"/>
          <w:sz w:val="22"/>
          <w:lang w:eastAsia="en-US"/>
        </w:rPr>
        <w:t xml:space="preserve">Mr </w:t>
      </w:r>
      <w:proofErr w:type="spellStart"/>
      <w:r>
        <w:rPr>
          <w:rFonts w:asciiTheme="minorHAnsi" w:hAnsiTheme="minorHAnsi"/>
          <w:sz w:val="22"/>
          <w:lang w:eastAsia="en-US"/>
        </w:rPr>
        <w:t>Tamme’s</w:t>
      </w:r>
      <w:proofErr w:type="spellEnd"/>
      <w:r>
        <w:rPr>
          <w:rFonts w:asciiTheme="minorHAnsi" w:hAnsiTheme="minorHAnsi"/>
          <w:sz w:val="22"/>
          <w:lang w:eastAsia="en-US"/>
        </w:rPr>
        <w:t xml:space="preserve"> report includes an amended </w:t>
      </w:r>
      <w:r w:rsidR="000D01F4">
        <w:rPr>
          <w:rFonts w:asciiTheme="minorHAnsi" w:hAnsiTheme="minorHAnsi"/>
          <w:sz w:val="22"/>
          <w:lang w:eastAsia="en-US"/>
        </w:rPr>
        <w:t xml:space="preserve">plan of subdivision </w:t>
      </w:r>
      <w:r w:rsidR="00EB6190">
        <w:rPr>
          <w:rFonts w:asciiTheme="minorHAnsi" w:hAnsiTheme="minorHAnsi"/>
          <w:sz w:val="22"/>
          <w:lang w:eastAsia="en-US"/>
        </w:rPr>
        <w:t>submitted for the purposes of the planning permit application</w:t>
      </w:r>
      <w:r w:rsidR="005C77E4">
        <w:rPr>
          <w:rFonts w:asciiTheme="minorHAnsi" w:hAnsiTheme="minorHAnsi"/>
          <w:sz w:val="22"/>
          <w:lang w:eastAsia="en-US"/>
        </w:rPr>
        <w:t>, which</w:t>
      </w:r>
      <w:r w:rsidR="00326C75">
        <w:rPr>
          <w:rFonts w:asciiTheme="minorHAnsi" w:hAnsiTheme="minorHAnsi"/>
          <w:sz w:val="22"/>
          <w:lang w:eastAsia="en-US"/>
        </w:rPr>
        <w:t xml:space="preserve"> </w:t>
      </w:r>
      <w:r w:rsidR="00DA6213">
        <w:rPr>
          <w:rFonts w:asciiTheme="minorHAnsi" w:hAnsiTheme="minorHAnsi"/>
          <w:sz w:val="22"/>
          <w:lang w:eastAsia="en-US"/>
        </w:rPr>
        <w:t>responds to the VPA’s request for further information</w:t>
      </w:r>
      <w:r w:rsidR="00EB6190">
        <w:rPr>
          <w:rFonts w:asciiTheme="minorHAnsi" w:hAnsiTheme="minorHAnsi"/>
          <w:sz w:val="22"/>
          <w:lang w:eastAsia="en-US"/>
        </w:rPr>
        <w:t>.</w:t>
      </w:r>
    </w:p>
    <w:p w:rsidR="00356BBC" w:rsidRDefault="00356BBC" w:rsidP="000F2C61">
      <w:pPr>
        <w:rPr>
          <w:rFonts w:asciiTheme="minorHAnsi" w:hAnsiTheme="minorHAnsi"/>
          <w:sz w:val="22"/>
          <w:lang w:eastAsia="en-US"/>
        </w:rPr>
      </w:pPr>
      <w:r>
        <w:rPr>
          <w:rFonts w:asciiTheme="minorHAnsi" w:hAnsiTheme="minorHAnsi"/>
          <w:sz w:val="22"/>
          <w:lang w:eastAsia="en-US"/>
        </w:rPr>
        <w:t>The revised VPA officer report in respect of this application responds to the evidence circulated.</w:t>
      </w:r>
    </w:p>
    <w:p w:rsidR="002131EA" w:rsidRDefault="00326C75" w:rsidP="000F2C61">
      <w:pPr>
        <w:rPr>
          <w:rFonts w:asciiTheme="minorHAnsi" w:hAnsiTheme="minorHAnsi"/>
          <w:sz w:val="22"/>
          <w:lang w:eastAsia="en-US"/>
        </w:rPr>
      </w:pPr>
      <w:r>
        <w:rPr>
          <w:rFonts w:asciiTheme="minorHAnsi" w:hAnsiTheme="minorHAnsi"/>
          <w:sz w:val="22"/>
          <w:lang w:eastAsia="en-US"/>
        </w:rPr>
        <w:t xml:space="preserve">The VPA considers the </w:t>
      </w:r>
      <w:r w:rsidR="002D5606">
        <w:rPr>
          <w:rFonts w:asciiTheme="minorHAnsi" w:hAnsiTheme="minorHAnsi"/>
          <w:sz w:val="22"/>
          <w:lang w:eastAsia="en-US"/>
        </w:rPr>
        <w:t>subdivision layout in the amended plan to be appropriate</w:t>
      </w:r>
      <w:r w:rsidR="002131EA">
        <w:rPr>
          <w:rFonts w:asciiTheme="minorHAnsi" w:hAnsiTheme="minorHAnsi"/>
          <w:sz w:val="22"/>
          <w:lang w:eastAsia="en-US"/>
        </w:rPr>
        <w:t xml:space="preserve"> and the matters addressed </w:t>
      </w:r>
      <w:r w:rsidR="007A4292">
        <w:rPr>
          <w:rFonts w:asciiTheme="minorHAnsi" w:hAnsiTheme="minorHAnsi"/>
          <w:sz w:val="22"/>
          <w:lang w:eastAsia="en-US"/>
        </w:rPr>
        <w:t>in</w:t>
      </w:r>
      <w:r w:rsidR="002131EA">
        <w:rPr>
          <w:rFonts w:asciiTheme="minorHAnsi" w:hAnsiTheme="minorHAnsi"/>
          <w:sz w:val="22"/>
          <w:lang w:eastAsia="en-US"/>
        </w:rPr>
        <w:t xml:space="preserve"> evidence to be resolved, subject to a relatively minor matter relating to the configuration of road carriageways.</w:t>
      </w:r>
    </w:p>
    <w:p w:rsidR="0047668C" w:rsidRDefault="0047668C" w:rsidP="000F2C61">
      <w:pPr>
        <w:rPr>
          <w:rFonts w:asciiTheme="minorHAnsi" w:hAnsiTheme="minorHAnsi"/>
          <w:sz w:val="22"/>
          <w:lang w:eastAsia="en-US"/>
        </w:rPr>
      </w:pPr>
      <w:r>
        <w:rPr>
          <w:rFonts w:asciiTheme="minorHAnsi" w:hAnsiTheme="minorHAnsi"/>
          <w:sz w:val="22"/>
          <w:lang w:eastAsia="en-US"/>
        </w:rPr>
        <w:t>The amendments to the plan</w:t>
      </w:r>
      <w:r w:rsidR="00AE341A">
        <w:rPr>
          <w:rFonts w:asciiTheme="minorHAnsi" w:hAnsiTheme="minorHAnsi"/>
          <w:sz w:val="22"/>
          <w:lang w:eastAsia="en-US"/>
        </w:rPr>
        <w:t xml:space="preserve"> of subdivision</w:t>
      </w:r>
      <w:r>
        <w:rPr>
          <w:rFonts w:asciiTheme="minorHAnsi" w:hAnsiTheme="minorHAnsi"/>
          <w:sz w:val="22"/>
          <w:lang w:eastAsia="en-US"/>
        </w:rPr>
        <w:t xml:space="preserve"> include:</w:t>
      </w:r>
    </w:p>
    <w:p w:rsidR="0047668C" w:rsidRDefault="00061363" w:rsidP="0047668C">
      <w:pPr>
        <w:pStyle w:val="ListParagraph"/>
        <w:numPr>
          <w:ilvl w:val="0"/>
          <w:numId w:val="52"/>
        </w:numPr>
      </w:pPr>
      <w:r>
        <w:t>t</w:t>
      </w:r>
      <w:r w:rsidR="0047668C">
        <w:t xml:space="preserve">he provision of wetlands on the </w:t>
      </w:r>
      <w:r w:rsidR="00584DF5">
        <w:t>plateau adjacent to the residential and town centre lots, incorporated into the design;</w:t>
      </w:r>
    </w:p>
    <w:p w:rsidR="00584DF5" w:rsidRDefault="00584DF5" w:rsidP="0047668C">
      <w:pPr>
        <w:pStyle w:val="ListParagraph"/>
        <w:numPr>
          <w:ilvl w:val="0"/>
          <w:numId w:val="52"/>
        </w:numPr>
      </w:pPr>
      <w:r>
        <w:t xml:space="preserve">the provision </w:t>
      </w:r>
      <w:r w:rsidR="00B71DAD">
        <w:t>of a frontage laneway for the eastern ‘super lot’ overlooking the gully to address the concerns raised by Melbourne Water and Council in relation to ongoing access to and maintenance of the gully as future open space; and</w:t>
      </w:r>
    </w:p>
    <w:p w:rsidR="00B71DAD" w:rsidRPr="0047668C" w:rsidRDefault="00FB40CE" w:rsidP="0047668C">
      <w:pPr>
        <w:pStyle w:val="ListParagraph"/>
        <w:numPr>
          <w:ilvl w:val="0"/>
          <w:numId w:val="52"/>
        </w:numPr>
      </w:pPr>
      <w:r>
        <w:t xml:space="preserve">amendments to the density of housing around the town centre, the size of the central park and other matters of detailed design. </w:t>
      </w:r>
    </w:p>
    <w:p w:rsidR="00376CC8" w:rsidRDefault="00C021BF" w:rsidP="000F2C61">
      <w:pPr>
        <w:rPr>
          <w:rFonts w:asciiTheme="minorHAnsi" w:hAnsiTheme="minorHAnsi"/>
          <w:sz w:val="22"/>
          <w:lang w:eastAsia="en-US"/>
        </w:rPr>
      </w:pPr>
      <w:r>
        <w:rPr>
          <w:rFonts w:asciiTheme="minorHAnsi" w:hAnsiTheme="minorHAnsi"/>
          <w:sz w:val="22"/>
          <w:lang w:eastAsia="en-US"/>
        </w:rPr>
        <w:t xml:space="preserve">The </w:t>
      </w:r>
      <w:r w:rsidR="00376CC8">
        <w:rPr>
          <w:rFonts w:asciiTheme="minorHAnsi" w:hAnsiTheme="minorHAnsi"/>
          <w:sz w:val="22"/>
          <w:lang w:eastAsia="en-US"/>
        </w:rPr>
        <w:t>road carriageway matter relates to</w:t>
      </w:r>
      <w:r w:rsidR="00264DBD">
        <w:rPr>
          <w:rFonts w:asciiTheme="minorHAnsi" w:hAnsiTheme="minorHAnsi"/>
          <w:sz w:val="22"/>
          <w:lang w:eastAsia="en-US"/>
        </w:rPr>
        <w:t xml:space="preserve"> the</w:t>
      </w:r>
      <w:r w:rsidR="00376CC8">
        <w:rPr>
          <w:rFonts w:asciiTheme="minorHAnsi" w:hAnsiTheme="minorHAnsi"/>
          <w:sz w:val="22"/>
          <w:lang w:eastAsia="en-US"/>
        </w:rPr>
        <w:t xml:space="preserve"> </w:t>
      </w:r>
      <w:r w:rsidR="00D662AE">
        <w:rPr>
          <w:rFonts w:asciiTheme="minorHAnsi" w:hAnsiTheme="minorHAnsi"/>
          <w:sz w:val="22"/>
          <w:lang w:eastAsia="en-US"/>
        </w:rPr>
        <w:t xml:space="preserve">interim intersection concept for </w:t>
      </w:r>
      <w:r w:rsidR="007F178C">
        <w:rPr>
          <w:rFonts w:asciiTheme="minorHAnsi" w:hAnsiTheme="minorHAnsi"/>
          <w:sz w:val="22"/>
          <w:lang w:eastAsia="en-US"/>
        </w:rPr>
        <w:t xml:space="preserve">Lancefield Road </w:t>
      </w:r>
      <w:r w:rsidR="00D662AE">
        <w:rPr>
          <w:rFonts w:asciiTheme="minorHAnsi" w:hAnsiTheme="minorHAnsi"/>
          <w:sz w:val="22"/>
          <w:lang w:eastAsia="en-US"/>
        </w:rPr>
        <w:t xml:space="preserve">and </w:t>
      </w:r>
      <w:r w:rsidR="00A477FB">
        <w:rPr>
          <w:rFonts w:asciiTheme="minorHAnsi" w:hAnsiTheme="minorHAnsi"/>
          <w:sz w:val="22"/>
          <w:lang w:eastAsia="en-US"/>
        </w:rPr>
        <w:t xml:space="preserve">Main Street (to the north) / </w:t>
      </w:r>
      <w:r w:rsidR="00D662AE">
        <w:rPr>
          <w:rFonts w:asciiTheme="minorHAnsi" w:hAnsiTheme="minorHAnsi"/>
          <w:sz w:val="22"/>
          <w:lang w:eastAsia="en-US"/>
        </w:rPr>
        <w:t>Rolling Meadows Drive</w:t>
      </w:r>
      <w:r w:rsidR="00A477FB">
        <w:rPr>
          <w:rFonts w:asciiTheme="minorHAnsi" w:hAnsiTheme="minorHAnsi"/>
          <w:sz w:val="22"/>
          <w:lang w:eastAsia="en-US"/>
        </w:rPr>
        <w:t xml:space="preserve"> (to the south)</w:t>
      </w:r>
      <w:r w:rsidR="00DB6481">
        <w:rPr>
          <w:rFonts w:asciiTheme="minorHAnsi" w:hAnsiTheme="minorHAnsi"/>
          <w:sz w:val="22"/>
          <w:lang w:eastAsia="en-US"/>
        </w:rPr>
        <w:t>, described in</w:t>
      </w:r>
      <w:r w:rsidR="007F178C">
        <w:rPr>
          <w:rFonts w:asciiTheme="minorHAnsi" w:hAnsiTheme="minorHAnsi"/>
          <w:sz w:val="22"/>
          <w:lang w:eastAsia="en-US"/>
        </w:rPr>
        <w:t xml:space="preserve"> section 8.1</w:t>
      </w:r>
      <w:r w:rsidR="00E61D1B">
        <w:rPr>
          <w:rStyle w:val="FootnoteReference"/>
          <w:rFonts w:asciiTheme="minorHAnsi" w:hAnsiTheme="minorHAnsi"/>
          <w:sz w:val="22"/>
          <w:lang w:eastAsia="en-US"/>
        </w:rPr>
        <w:footnoteReference w:id="28"/>
      </w:r>
      <w:r w:rsidR="007F178C">
        <w:rPr>
          <w:rFonts w:asciiTheme="minorHAnsi" w:hAnsiTheme="minorHAnsi"/>
          <w:sz w:val="22"/>
          <w:lang w:eastAsia="en-US"/>
        </w:rPr>
        <w:t xml:space="preserve"> </w:t>
      </w:r>
      <w:r w:rsidR="00DB6481">
        <w:rPr>
          <w:rFonts w:asciiTheme="minorHAnsi" w:hAnsiTheme="minorHAnsi"/>
          <w:sz w:val="22"/>
          <w:lang w:eastAsia="en-US"/>
        </w:rPr>
        <w:t xml:space="preserve">and provided at Appendix B </w:t>
      </w:r>
      <w:r w:rsidR="007F178C">
        <w:rPr>
          <w:rFonts w:asciiTheme="minorHAnsi" w:hAnsiTheme="minorHAnsi"/>
          <w:sz w:val="22"/>
          <w:lang w:eastAsia="en-US"/>
        </w:rPr>
        <w:t>in Mr Butler’</w:t>
      </w:r>
      <w:r w:rsidR="00883355">
        <w:rPr>
          <w:rFonts w:asciiTheme="minorHAnsi" w:hAnsiTheme="minorHAnsi"/>
          <w:sz w:val="22"/>
          <w:lang w:eastAsia="en-US"/>
        </w:rPr>
        <w:t>s report.</w:t>
      </w:r>
      <w:r w:rsidR="00664330">
        <w:rPr>
          <w:rFonts w:asciiTheme="minorHAnsi" w:hAnsiTheme="minorHAnsi"/>
          <w:sz w:val="22"/>
          <w:lang w:eastAsia="en-US"/>
        </w:rPr>
        <w:t xml:space="preserve">  The VPA considers that the slip lanes in and out of </w:t>
      </w:r>
      <w:r w:rsidR="00950700">
        <w:rPr>
          <w:rFonts w:asciiTheme="minorHAnsi" w:hAnsiTheme="minorHAnsi"/>
          <w:sz w:val="22"/>
          <w:lang w:eastAsia="en-US"/>
        </w:rPr>
        <w:t>Main Street should be removed from the interim intersection.</w:t>
      </w:r>
      <w:r w:rsidR="00D16308">
        <w:rPr>
          <w:rFonts w:asciiTheme="minorHAnsi" w:hAnsiTheme="minorHAnsi"/>
          <w:sz w:val="22"/>
          <w:lang w:eastAsia="en-US"/>
        </w:rPr>
        <w:t xml:space="preserve">  The VPA’s objective is a town centre environment </w:t>
      </w:r>
      <w:r w:rsidR="00D200E6">
        <w:rPr>
          <w:rFonts w:asciiTheme="minorHAnsi" w:hAnsiTheme="minorHAnsi"/>
          <w:sz w:val="22"/>
          <w:lang w:eastAsia="en-US"/>
        </w:rPr>
        <w:t xml:space="preserve">that balances vehicle and pedestrian movements, </w:t>
      </w:r>
      <w:r w:rsidR="0021186F">
        <w:rPr>
          <w:rFonts w:asciiTheme="minorHAnsi" w:hAnsiTheme="minorHAnsi"/>
          <w:sz w:val="22"/>
          <w:lang w:eastAsia="en-US"/>
        </w:rPr>
        <w:t>and attracts</w:t>
      </w:r>
      <w:r w:rsidR="00E61D1B">
        <w:rPr>
          <w:rFonts w:asciiTheme="minorHAnsi" w:hAnsiTheme="minorHAnsi"/>
          <w:sz w:val="22"/>
          <w:lang w:eastAsia="en-US"/>
        </w:rPr>
        <w:t xml:space="preserve"> more pedestrian movements through the provision of more direct and shorter pedestrian crossings.</w:t>
      </w:r>
      <w:r w:rsidR="00950700">
        <w:rPr>
          <w:rFonts w:asciiTheme="minorHAnsi" w:hAnsiTheme="minorHAnsi"/>
          <w:sz w:val="22"/>
          <w:lang w:eastAsia="en-US"/>
        </w:rPr>
        <w:t xml:space="preserve"> </w:t>
      </w:r>
    </w:p>
    <w:p w:rsidR="001D4B55" w:rsidRDefault="00E61D1B" w:rsidP="000F2C61">
      <w:pPr>
        <w:rPr>
          <w:rFonts w:asciiTheme="minorHAnsi" w:hAnsiTheme="minorHAnsi"/>
          <w:sz w:val="22"/>
          <w:lang w:eastAsia="en-US"/>
        </w:rPr>
      </w:pPr>
      <w:r>
        <w:rPr>
          <w:rFonts w:asciiTheme="minorHAnsi" w:hAnsiTheme="minorHAnsi"/>
          <w:sz w:val="22"/>
          <w:lang w:eastAsia="en-US"/>
        </w:rPr>
        <w:t>In section 8.4 of his report</w:t>
      </w:r>
      <w:r w:rsidR="00F44680">
        <w:rPr>
          <w:rFonts w:asciiTheme="minorHAnsi" w:hAnsiTheme="minorHAnsi"/>
          <w:sz w:val="22"/>
          <w:lang w:eastAsia="en-US"/>
        </w:rPr>
        <w:t>,</w:t>
      </w:r>
      <w:r w:rsidR="00F44680">
        <w:rPr>
          <w:rStyle w:val="FootnoteReference"/>
          <w:rFonts w:asciiTheme="minorHAnsi" w:hAnsiTheme="minorHAnsi"/>
          <w:sz w:val="22"/>
          <w:lang w:eastAsia="en-US"/>
        </w:rPr>
        <w:footnoteReference w:id="29"/>
      </w:r>
      <w:r>
        <w:rPr>
          <w:rFonts w:asciiTheme="minorHAnsi" w:hAnsiTheme="minorHAnsi"/>
          <w:sz w:val="22"/>
          <w:lang w:eastAsia="en-US"/>
        </w:rPr>
        <w:t xml:space="preserve"> </w:t>
      </w:r>
      <w:r w:rsidR="00F44680">
        <w:rPr>
          <w:rFonts w:asciiTheme="minorHAnsi" w:hAnsiTheme="minorHAnsi"/>
          <w:sz w:val="22"/>
          <w:lang w:eastAsia="en-US"/>
        </w:rPr>
        <w:t xml:space="preserve">Mr Butler recommends that it would be appropriate to amend the cross-section of Main Street within the PSP to allow for wider carriageways, to facilitate future </w:t>
      </w:r>
      <w:r w:rsidR="00F44680">
        <w:rPr>
          <w:rFonts w:asciiTheme="minorHAnsi" w:hAnsiTheme="minorHAnsi"/>
          <w:sz w:val="22"/>
          <w:lang w:eastAsia="en-US"/>
        </w:rPr>
        <w:lastRenderedPageBreak/>
        <w:t>bus movements.  This would involve widening the through lanes from 3.0 metres to 3.5 metres.</w:t>
      </w:r>
      <w:r w:rsidR="001D4B55">
        <w:rPr>
          <w:rFonts w:asciiTheme="minorHAnsi" w:hAnsiTheme="minorHAnsi"/>
          <w:sz w:val="22"/>
          <w:lang w:eastAsia="en-US"/>
        </w:rPr>
        <w:t xml:space="preserve">  The VPA considers existing cross-section in the PSP showing 3.0 metre lanes through the town centre to be appropriate on the basis that:</w:t>
      </w:r>
    </w:p>
    <w:p w:rsidR="00E61D1B" w:rsidRDefault="001D4B55" w:rsidP="001D4B55">
      <w:pPr>
        <w:pStyle w:val="ListParagraph"/>
        <w:numPr>
          <w:ilvl w:val="0"/>
          <w:numId w:val="53"/>
        </w:numPr>
      </w:pPr>
      <w:r>
        <w:t xml:space="preserve">each traffic lane is abutted by a dividing median strip and generous </w:t>
      </w:r>
      <w:proofErr w:type="gramStart"/>
      <w:r>
        <w:t>2.3 metre wide</w:t>
      </w:r>
      <w:proofErr w:type="gramEnd"/>
      <w:r>
        <w:t xml:space="preserve"> on-street parking, providing </w:t>
      </w:r>
      <w:r w:rsidR="007B0FCB">
        <w:t>an adequate distance and barrier between buses and pedestrian paths; and</w:t>
      </w:r>
    </w:p>
    <w:p w:rsidR="007B0FCB" w:rsidRPr="001D4B55" w:rsidRDefault="0046455A" w:rsidP="001D4B55">
      <w:pPr>
        <w:pStyle w:val="ListParagraph"/>
        <w:numPr>
          <w:ilvl w:val="0"/>
          <w:numId w:val="53"/>
        </w:numPr>
      </w:pPr>
      <w:r>
        <w:t xml:space="preserve">the designed design speed for the town centre is 30 km/h, which is consistent with </w:t>
      </w:r>
      <w:proofErr w:type="gramStart"/>
      <w:r>
        <w:t>3.0 metre wide</w:t>
      </w:r>
      <w:proofErr w:type="gramEnd"/>
      <w:r>
        <w:t xml:space="preserve"> lanes and will limit speeds.</w:t>
      </w:r>
    </w:p>
    <w:p w:rsidR="00321F37" w:rsidRDefault="00321F37" w:rsidP="00321F37">
      <w:pPr>
        <w:rPr>
          <w:rFonts w:asciiTheme="minorHAnsi" w:hAnsiTheme="minorHAnsi"/>
          <w:b/>
          <w:i/>
          <w:sz w:val="22"/>
          <w:lang w:eastAsia="en-US"/>
        </w:rPr>
      </w:pPr>
      <w:r>
        <w:rPr>
          <w:rFonts w:asciiTheme="minorHAnsi" w:hAnsiTheme="minorHAnsi"/>
          <w:b/>
          <w:i/>
          <w:sz w:val="22"/>
          <w:lang w:eastAsia="en-US"/>
        </w:rPr>
        <w:t xml:space="preserve">Melbourne Water review </w:t>
      </w:r>
    </w:p>
    <w:p w:rsidR="00C213B1" w:rsidRDefault="00555876" w:rsidP="00EE7091">
      <w:pPr>
        <w:rPr>
          <w:rFonts w:asciiTheme="minorHAnsi" w:hAnsiTheme="minorHAnsi"/>
          <w:sz w:val="22"/>
          <w:lang w:eastAsia="en-US"/>
        </w:rPr>
      </w:pPr>
      <w:r>
        <w:rPr>
          <w:rFonts w:asciiTheme="minorHAnsi" w:hAnsiTheme="minorHAnsi"/>
          <w:sz w:val="22"/>
          <w:lang w:eastAsia="en-US"/>
        </w:rPr>
        <w:t>Melbourne Water has formally withdrawn its previous objection to this permit application dated 10 February 2017</w:t>
      </w:r>
      <w:r w:rsidR="00C70A04">
        <w:rPr>
          <w:rFonts w:asciiTheme="minorHAnsi" w:hAnsiTheme="minorHAnsi"/>
          <w:sz w:val="22"/>
          <w:lang w:eastAsia="en-US"/>
        </w:rPr>
        <w:t xml:space="preserve"> and confirmed the amended plan provided in evidence accords with the </w:t>
      </w:r>
      <w:proofErr w:type="spellStart"/>
      <w:r w:rsidR="00C70A04">
        <w:rPr>
          <w:rFonts w:asciiTheme="minorHAnsi" w:hAnsiTheme="minorHAnsi"/>
          <w:sz w:val="22"/>
          <w:lang w:eastAsia="en-US"/>
        </w:rPr>
        <w:t>Oldbury</w:t>
      </w:r>
      <w:proofErr w:type="spellEnd"/>
      <w:r w:rsidR="00C70A04">
        <w:rPr>
          <w:rFonts w:asciiTheme="minorHAnsi" w:hAnsiTheme="minorHAnsi"/>
          <w:sz w:val="22"/>
          <w:lang w:eastAsia="en-US"/>
        </w:rPr>
        <w:t xml:space="preserve"> DSS. </w:t>
      </w:r>
    </w:p>
    <w:p w:rsidR="00C70A04" w:rsidRDefault="00C70A04" w:rsidP="00EE7091">
      <w:pPr>
        <w:rPr>
          <w:rFonts w:asciiTheme="minorHAnsi" w:hAnsiTheme="minorHAnsi"/>
          <w:sz w:val="22"/>
          <w:lang w:eastAsia="en-US"/>
        </w:rPr>
      </w:pPr>
      <w:r>
        <w:rPr>
          <w:rFonts w:asciiTheme="minorHAnsi" w:hAnsiTheme="minorHAnsi"/>
          <w:sz w:val="22"/>
          <w:lang w:eastAsia="en-US"/>
        </w:rPr>
        <w:t>The VPA notes</w:t>
      </w:r>
      <w:r w:rsidR="006D1F86">
        <w:rPr>
          <w:rFonts w:asciiTheme="minorHAnsi" w:hAnsiTheme="minorHAnsi"/>
          <w:sz w:val="22"/>
          <w:lang w:eastAsia="en-US"/>
        </w:rPr>
        <w:t xml:space="preserve"> the drainage solution in the amended plan of subdivision removes drainage assets from the gully and Emu Creek corridor, avoiding conflict with Aboriginal places and conservation areas.</w:t>
      </w:r>
    </w:p>
    <w:p w:rsidR="00C70A04" w:rsidRDefault="00C70A04" w:rsidP="00EE7091">
      <w:pPr>
        <w:rPr>
          <w:rFonts w:asciiTheme="minorHAnsi" w:hAnsiTheme="minorHAnsi"/>
          <w:sz w:val="22"/>
          <w:lang w:eastAsia="en-US"/>
        </w:rPr>
      </w:pPr>
      <w:r>
        <w:rPr>
          <w:rFonts w:asciiTheme="minorHAnsi" w:hAnsiTheme="minorHAnsi"/>
          <w:sz w:val="22"/>
          <w:lang w:eastAsia="en-US"/>
        </w:rPr>
        <w:t>Melbour</w:t>
      </w:r>
      <w:r w:rsidR="00CD590D">
        <w:rPr>
          <w:rFonts w:asciiTheme="minorHAnsi" w:hAnsiTheme="minorHAnsi"/>
          <w:sz w:val="22"/>
          <w:lang w:eastAsia="en-US"/>
        </w:rPr>
        <w:t xml:space="preserve">ne Water </w:t>
      </w:r>
      <w:r w:rsidR="00C73512">
        <w:rPr>
          <w:rFonts w:asciiTheme="minorHAnsi" w:hAnsiTheme="minorHAnsi"/>
          <w:sz w:val="22"/>
          <w:lang w:eastAsia="en-US"/>
        </w:rPr>
        <w:t>no longer objects to the application, subject to permit conditions that it has provided.</w:t>
      </w:r>
      <w:r w:rsidR="00E00499">
        <w:rPr>
          <w:rFonts w:asciiTheme="minorHAnsi" w:hAnsiTheme="minorHAnsi"/>
          <w:sz w:val="22"/>
          <w:lang w:eastAsia="en-US"/>
        </w:rPr>
        <w:t xml:space="preserve">  </w:t>
      </w:r>
    </w:p>
    <w:p w:rsidR="00C213B1" w:rsidRDefault="008736F9" w:rsidP="00EE7091">
      <w:pPr>
        <w:rPr>
          <w:color w:val="FF0000"/>
        </w:rPr>
      </w:pPr>
      <w:r>
        <w:rPr>
          <w:rFonts w:asciiTheme="minorHAnsi" w:hAnsiTheme="minorHAnsi"/>
          <w:sz w:val="22"/>
          <w:lang w:eastAsia="en-US"/>
        </w:rPr>
        <w:t xml:space="preserve">The </w:t>
      </w:r>
      <w:r w:rsidR="009F4D16">
        <w:rPr>
          <w:rFonts w:asciiTheme="minorHAnsi" w:hAnsiTheme="minorHAnsi"/>
          <w:sz w:val="22"/>
          <w:lang w:eastAsia="en-US"/>
        </w:rPr>
        <w:t xml:space="preserve">VPA regards this subdivision </w:t>
      </w:r>
      <w:r w:rsidR="00BC10BB">
        <w:rPr>
          <w:rFonts w:asciiTheme="minorHAnsi" w:hAnsiTheme="minorHAnsi"/>
          <w:sz w:val="22"/>
          <w:lang w:eastAsia="en-US"/>
        </w:rPr>
        <w:t xml:space="preserve">application </w:t>
      </w:r>
      <w:r w:rsidR="009F4D16">
        <w:rPr>
          <w:rFonts w:asciiTheme="minorHAnsi" w:hAnsiTheme="minorHAnsi"/>
          <w:sz w:val="22"/>
          <w:lang w:eastAsia="en-US"/>
        </w:rPr>
        <w:t xml:space="preserve">as resolved and that a permit can issue subject to conditions.  </w:t>
      </w:r>
    </w:p>
    <w:p w:rsidR="003D4558" w:rsidRPr="00102062" w:rsidRDefault="00102062" w:rsidP="003D4558">
      <w:pPr>
        <w:pStyle w:val="Heading3"/>
        <w:rPr>
          <w:rFonts w:asciiTheme="minorHAnsi" w:hAnsiTheme="minorHAnsi"/>
          <w:b/>
        </w:rPr>
      </w:pPr>
      <w:r w:rsidRPr="00102062">
        <w:rPr>
          <w:rFonts w:asciiTheme="minorHAnsi" w:hAnsiTheme="minorHAnsi"/>
          <w:b/>
        </w:rPr>
        <w:t xml:space="preserve">Redstone Hill </w:t>
      </w:r>
      <w:r>
        <w:rPr>
          <w:rFonts w:asciiTheme="minorHAnsi" w:hAnsiTheme="minorHAnsi"/>
          <w:b/>
        </w:rPr>
        <w:t>– Villawood</w:t>
      </w:r>
      <w:r w:rsidR="0093762A" w:rsidRPr="00102062">
        <w:rPr>
          <w:rFonts w:asciiTheme="minorHAnsi" w:hAnsiTheme="minorHAnsi"/>
          <w:b/>
        </w:rPr>
        <w:t xml:space="preserve"> </w:t>
      </w:r>
      <w:r w:rsidR="00EE5699" w:rsidRPr="00102062">
        <w:rPr>
          <w:rFonts w:asciiTheme="minorHAnsi" w:hAnsiTheme="minorHAnsi"/>
          <w:b/>
        </w:rPr>
        <w:t>(P18858)</w:t>
      </w:r>
    </w:p>
    <w:p w:rsidR="001C13D5" w:rsidRDefault="001C13D5" w:rsidP="001C13D5">
      <w:pPr>
        <w:rPr>
          <w:rFonts w:asciiTheme="minorHAnsi" w:hAnsiTheme="minorHAnsi"/>
          <w:b/>
          <w:i/>
          <w:sz w:val="22"/>
          <w:lang w:eastAsia="en-US"/>
        </w:rPr>
      </w:pPr>
      <w:r>
        <w:rPr>
          <w:rFonts w:asciiTheme="minorHAnsi" w:hAnsiTheme="minorHAnsi"/>
          <w:b/>
          <w:i/>
          <w:sz w:val="22"/>
          <w:lang w:eastAsia="en-US"/>
        </w:rPr>
        <w:t xml:space="preserve">Expert evidence </w:t>
      </w:r>
    </w:p>
    <w:p w:rsidR="007F78DC" w:rsidRPr="007F78DC" w:rsidRDefault="007F78DC" w:rsidP="007F78DC">
      <w:pPr>
        <w:rPr>
          <w:rFonts w:asciiTheme="minorHAnsi" w:hAnsiTheme="minorHAnsi"/>
          <w:sz w:val="22"/>
        </w:rPr>
      </w:pPr>
      <w:r w:rsidRPr="007F78DC">
        <w:rPr>
          <w:rFonts w:asciiTheme="minorHAnsi" w:hAnsiTheme="minorHAnsi"/>
          <w:sz w:val="22"/>
        </w:rPr>
        <w:t>Villawood relies on the following expert witness reports in support of its application and submission:</w:t>
      </w:r>
    </w:p>
    <w:p w:rsidR="001C13D5" w:rsidRDefault="00D45413" w:rsidP="001C13D5">
      <w:pPr>
        <w:pStyle w:val="ListParagraph"/>
        <w:numPr>
          <w:ilvl w:val="0"/>
          <w:numId w:val="48"/>
        </w:numPr>
      </w:pPr>
      <w:r>
        <w:t>Mr</w:t>
      </w:r>
      <w:r w:rsidR="001C13D5">
        <w:t xml:space="preserve"> Woodland of Echelon Planning in relation to planning;</w:t>
      </w:r>
    </w:p>
    <w:p w:rsidR="001C13D5" w:rsidRDefault="00D45413" w:rsidP="001C13D5">
      <w:pPr>
        <w:pStyle w:val="ListParagraph"/>
        <w:numPr>
          <w:ilvl w:val="0"/>
          <w:numId w:val="48"/>
        </w:numPr>
      </w:pPr>
      <w:r>
        <w:t>Mr</w:t>
      </w:r>
      <w:r w:rsidR="001C13D5">
        <w:t xml:space="preserve"> Murphy of MDG Landscape Architects in relation to landscape;</w:t>
      </w:r>
    </w:p>
    <w:p w:rsidR="001C13D5" w:rsidRDefault="00D45413" w:rsidP="001C13D5">
      <w:pPr>
        <w:pStyle w:val="ListParagraph"/>
        <w:numPr>
          <w:ilvl w:val="0"/>
          <w:numId w:val="48"/>
        </w:numPr>
      </w:pPr>
      <w:r>
        <w:t>Mr</w:t>
      </w:r>
      <w:r w:rsidR="001C13D5">
        <w:t xml:space="preserve"> McLean of Alluvium in relation to drainage; and</w:t>
      </w:r>
    </w:p>
    <w:p w:rsidR="001C13D5" w:rsidRDefault="00D45413" w:rsidP="001C13D5">
      <w:pPr>
        <w:pStyle w:val="ListParagraph"/>
        <w:numPr>
          <w:ilvl w:val="0"/>
          <w:numId w:val="48"/>
        </w:numPr>
      </w:pPr>
      <w:r>
        <w:t>Mr</w:t>
      </w:r>
      <w:r w:rsidR="001C13D5">
        <w:t xml:space="preserve"> Hunt of Ratio Consultants in relation to traffic engineering.</w:t>
      </w:r>
    </w:p>
    <w:p w:rsidR="001C13D5" w:rsidRDefault="001C13D5" w:rsidP="001C13D5">
      <w:pPr>
        <w:rPr>
          <w:rFonts w:asciiTheme="minorHAnsi" w:hAnsiTheme="minorHAnsi"/>
          <w:sz w:val="22"/>
        </w:rPr>
      </w:pPr>
      <w:r w:rsidRPr="00BD4136">
        <w:rPr>
          <w:rFonts w:asciiTheme="minorHAnsi" w:hAnsiTheme="minorHAnsi"/>
          <w:sz w:val="22"/>
        </w:rPr>
        <w:t>The expert evide</w:t>
      </w:r>
      <w:r>
        <w:rPr>
          <w:rFonts w:asciiTheme="minorHAnsi" w:hAnsiTheme="minorHAnsi"/>
          <w:sz w:val="22"/>
        </w:rPr>
        <w:t>nce circulated by the permit applicant, Villawood, did not contain an amended plan of subdivision or material otherwise purporting to amend the permit application.</w:t>
      </w:r>
    </w:p>
    <w:p w:rsidR="00132B50" w:rsidRPr="00605819" w:rsidRDefault="00132B50" w:rsidP="00132B50">
      <w:pPr>
        <w:keepNext/>
        <w:rPr>
          <w:rFonts w:asciiTheme="minorHAnsi" w:hAnsiTheme="minorHAnsi"/>
          <w:i/>
          <w:sz w:val="22"/>
        </w:rPr>
      </w:pPr>
      <w:r>
        <w:rPr>
          <w:rFonts w:asciiTheme="minorHAnsi" w:hAnsiTheme="minorHAnsi"/>
          <w:i/>
          <w:sz w:val="22"/>
        </w:rPr>
        <w:lastRenderedPageBreak/>
        <w:t xml:space="preserve">Planning evidence </w:t>
      </w:r>
    </w:p>
    <w:p w:rsidR="00132B50" w:rsidRDefault="00132B50" w:rsidP="00132B50">
      <w:pPr>
        <w:keepNext/>
        <w:rPr>
          <w:rFonts w:asciiTheme="minorHAnsi" w:hAnsiTheme="minorHAnsi"/>
          <w:sz w:val="22"/>
        </w:rPr>
      </w:pPr>
      <w:r>
        <w:rPr>
          <w:rFonts w:asciiTheme="minorHAnsi" w:hAnsiTheme="minorHAnsi"/>
          <w:sz w:val="22"/>
        </w:rPr>
        <w:t>Mr Woodland’</w:t>
      </w:r>
      <w:r w:rsidR="00235C4E">
        <w:rPr>
          <w:rFonts w:asciiTheme="minorHAnsi" w:hAnsiTheme="minorHAnsi"/>
          <w:sz w:val="22"/>
        </w:rPr>
        <w:t xml:space="preserve">s planning evidence </w:t>
      </w:r>
      <w:r w:rsidR="009F2884">
        <w:rPr>
          <w:rFonts w:asciiTheme="minorHAnsi" w:hAnsiTheme="minorHAnsi"/>
          <w:sz w:val="22"/>
        </w:rPr>
        <w:t xml:space="preserve">does not address the detail of the </w:t>
      </w:r>
      <w:r w:rsidR="00EE021F">
        <w:rPr>
          <w:rFonts w:asciiTheme="minorHAnsi" w:hAnsiTheme="minorHAnsi"/>
          <w:sz w:val="22"/>
        </w:rPr>
        <w:t>Redstone Hill application but, if accepted, would affect the application of housing densities.</w:t>
      </w:r>
    </w:p>
    <w:p w:rsidR="003213B2" w:rsidRDefault="00FC1A4D" w:rsidP="00132B50">
      <w:pPr>
        <w:keepNext/>
        <w:rPr>
          <w:rFonts w:asciiTheme="minorHAnsi" w:hAnsiTheme="minorHAnsi"/>
          <w:sz w:val="22"/>
        </w:rPr>
      </w:pPr>
      <w:r>
        <w:rPr>
          <w:rFonts w:asciiTheme="minorHAnsi" w:hAnsiTheme="minorHAnsi"/>
          <w:sz w:val="22"/>
        </w:rPr>
        <w:t>Mr Wood</w:t>
      </w:r>
      <w:r w:rsidR="003213B2">
        <w:rPr>
          <w:rFonts w:asciiTheme="minorHAnsi" w:hAnsiTheme="minorHAnsi"/>
          <w:sz w:val="22"/>
        </w:rPr>
        <w:t>land</w:t>
      </w:r>
      <w:r>
        <w:rPr>
          <w:rFonts w:asciiTheme="minorHAnsi" w:hAnsiTheme="minorHAnsi"/>
          <w:sz w:val="22"/>
        </w:rPr>
        <w:t xml:space="preserve"> recommends that</w:t>
      </w:r>
      <w:r w:rsidR="003213B2">
        <w:rPr>
          <w:rFonts w:asciiTheme="minorHAnsi" w:hAnsiTheme="minorHAnsi"/>
          <w:sz w:val="22"/>
        </w:rPr>
        <w:t>:</w:t>
      </w:r>
      <w:r w:rsidR="00B17C0D">
        <w:rPr>
          <w:rStyle w:val="FootnoteReference"/>
          <w:rFonts w:asciiTheme="minorHAnsi" w:hAnsiTheme="minorHAnsi"/>
          <w:sz w:val="22"/>
        </w:rPr>
        <w:footnoteReference w:id="30"/>
      </w:r>
      <w:r>
        <w:rPr>
          <w:rFonts w:asciiTheme="minorHAnsi" w:hAnsiTheme="minorHAnsi"/>
          <w:sz w:val="22"/>
        </w:rPr>
        <w:t xml:space="preserve"> </w:t>
      </w:r>
    </w:p>
    <w:p w:rsidR="00FC1A4D" w:rsidRPr="003213B2" w:rsidRDefault="00FC1A4D" w:rsidP="001F39E5">
      <w:pPr>
        <w:pStyle w:val="ListParagraph"/>
        <w:keepNext/>
        <w:numPr>
          <w:ilvl w:val="0"/>
          <w:numId w:val="54"/>
        </w:numPr>
      </w:pPr>
      <w:r w:rsidRPr="003213B2">
        <w:t>the RGZ be applied</w:t>
      </w:r>
      <w:r w:rsidR="00FC4772">
        <w:t xml:space="preserve"> within</w:t>
      </w:r>
      <w:r w:rsidRPr="003213B2">
        <w:t>:</w:t>
      </w:r>
    </w:p>
    <w:p w:rsidR="00FC1A4D" w:rsidRDefault="00FC1A4D" w:rsidP="003213B2">
      <w:pPr>
        <w:pStyle w:val="ListParagraph"/>
        <w:numPr>
          <w:ilvl w:val="1"/>
          <w:numId w:val="30"/>
        </w:numPr>
      </w:pPr>
      <w:r>
        <w:t>400 metres rather than 800 metres of major town centres;</w:t>
      </w:r>
    </w:p>
    <w:p w:rsidR="00FC1A4D" w:rsidRDefault="00FC4772" w:rsidP="003213B2">
      <w:pPr>
        <w:pStyle w:val="ListParagraph"/>
        <w:numPr>
          <w:ilvl w:val="1"/>
          <w:numId w:val="30"/>
        </w:numPr>
      </w:pPr>
      <w:r>
        <w:t>2</w:t>
      </w:r>
      <w:r w:rsidR="00FC1A4D">
        <w:t>00 metres rather than 400 metres of local town centres;</w:t>
      </w:r>
      <w:r w:rsidR="00EE3B2C">
        <w:t xml:space="preserve"> and</w:t>
      </w:r>
    </w:p>
    <w:p w:rsidR="00FC1A4D" w:rsidRPr="00FC1A4D" w:rsidRDefault="00FC1A4D" w:rsidP="003213B2">
      <w:pPr>
        <w:pStyle w:val="ListParagraph"/>
        <w:numPr>
          <w:ilvl w:val="1"/>
          <w:numId w:val="30"/>
        </w:numPr>
      </w:pPr>
      <w:r>
        <w:t>200 metres rather than 600 metres of the Principal Public Transport Network</w:t>
      </w:r>
      <w:r w:rsidR="00A86DE5">
        <w:t>; and</w:t>
      </w:r>
    </w:p>
    <w:p w:rsidR="003213B2" w:rsidRPr="003213B2" w:rsidRDefault="006A4839" w:rsidP="001F39E5">
      <w:pPr>
        <w:pStyle w:val="ListParagraph"/>
        <w:keepNext/>
        <w:numPr>
          <w:ilvl w:val="0"/>
          <w:numId w:val="54"/>
        </w:numPr>
      </w:pPr>
      <w:r>
        <w:t>more flexibility be provided</w:t>
      </w:r>
      <w:r w:rsidR="00A86DE5">
        <w:t xml:space="preserve"> in the PSP</w:t>
      </w:r>
      <w:r>
        <w:t xml:space="preserve"> in relation to the achievement of residential densities.</w:t>
      </w:r>
    </w:p>
    <w:p w:rsidR="00FC1A4D" w:rsidRDefault="00AC5399" w:rsidP="00132B50">
      <w:pPr>
        <w:keepNext/>
        <w:rPr>
          <w:rFonts w:asciiTheme="minorHAnsi" w:hAnsiTheme="minorHAnsi"/>
          <w:sz w:val="22"/>
        </w:rPr>
      </w:pPr>
      <w:r>
        <w:rPr>
          <w:rFonts w:asciiTheme="minorHAnsi" w:hAnsiTheme="minorHAnsi"/>
          <w:sz w:val="22"/>
        </w:rPr>
        <w:t>The VPA considers there to be strong support for increased densities around activity centres, and particularly major town centres, in State and local planning policies.</w:t>
      </w:r>
      <w:r w:rsidR="004F755C">
        <w:rPr>
          <w:rFonts w:asciiTheme="minorHAnsi" w:hAnsiTheme="minorHAnsi"/>
          <w:sz w:val="22"/>
        </w:rPr>
        <w:t xml:space="preserve">  </w:t>
      </w:r>
      <w:r w:rsidR="00193370">
        <w:rPr>
          <w:rFonts w:asciiTheme="minorHAnsi" w:hAnsiTheme="minorHAnsi"/>
          <w:sz w:val="22"/>
        </w:rPr>
        <w:t>It is the VPA’s experience that it is difficult to increase density over time once a conventional suburban patter</w:t>
      </w:r>
      <w:r w:rsidR="008542F5">
        <w:rPr>
          <w:rFonts w:asciiTheme="minorHAnsi" w:hAnsiTheme="minorHAnsi"/>
          <w:sz w:val="22"/>
        </w:rPr>
        <w:t>n</w:t>
      </w:r>
      <w:r w:rsidR="00193370">
        <w:rPr>
          <w:rFonts w:asciiTheme="minorHAnsi" w:hAnsiTheme="minorHAnsi"/>
          <w:sz w:val="22"/>
        </w:rPr>
        <w:t xml:space="preserve"> has been established without, for instance, the setting aside of ‘super’ lots </w:t>
      </w:r>
      <w:r w:rsidR="00EB06A7">
        <w:rPr>
          <w:rFonts w:asciiTheme="minorHAnsi" w:hAnsiTheme="minorHAnsi"/>
          <w:sz w:val="22"/>
        </w:rPr>
        <w:t xml:space="preserve">for high density residential opportunities </w:t>
      </w:r>
      <w:r w:rsidR="00EA7329">
        <w:rPr>
          <w:rFonts w:asciiTheme="minorHAnsi" w:hAnsiTheme="minorHAnsi"/>
          <w:sz w:val="22"/>
        </w:rPr>
        <w:t xml:space="preserve">as has been proposed in the </w:t>
      </w:r>
      <w:proofErr w:type="spellStart"/>
      <w:r w:rsidR="00EA7329">
        <w:rPr>
          <w:rFonts w:asciiTheme="minorHAnsi" w:hAnsiTheme="minorHAnsi"/>
          <w:sz w:val="22"/>
        </w:rPr>
        <w:t>Wincity</w:t>
      </w:r>
      <w:proofErr w:type="spellEnd"/>
      <w:r w:rsidR="00EA7329">
        <w:rPr>
          <w:rFonts w:asciiTheme="minorHAnsi" w:hAnsiTheme="minorHAnsi"/>
          <w:sz w:val="22"/>
        </w:rPr>
        <w:t xml:space="preserve"> application for Lancefield Road.  </w:t>
      </w:r>
    </w:p>
    <w:p w:rsidR="00A26597" w:rsidRDefault="00A3760B" w:rsidP="00132B50">
      <w:pPr>
        <w:keepNext/>
        <w:rPr>
          <w:rFonts w:asciiTheme="minorHAnsi" w:hAnsiTheme="minorHAnsi"/>
          <w:sz w:val="22"/>
        </w:rPr>
      </w:pPr>
      <w:r>
        <w:rPr>
          <w:rFonts w:asciiTheme="minorHAnsi" w:hAnsiTheme="minorHAnsi"/>
          <w:sz w:val="22"/>
        </w:rPr>
        <w:t>E</w:t>
      </w:r>
      <w:r w:rsidR="00EF2ADA">
        <w:rPr>
          <w:rFonts w:asciiTheme="minorHAnsi" w:hAnsiTheme="minorHAnsi"/>
          <w:sz w:val="22"/>
        </w:rPr>
        <w:t xml:space="preserve">ven if further discretion were provided for in the PSP, </w:t>
      </w:r>
      <w:r w:rsidR="00AE582D">
        <w:rPr>
          <w:rFonts w:asciiTheme="minorHAnsi" w:hAnsiTheme="minorHAnsi"/>
          <w:sz w:val="22"/>
        </w:rPr>
        <w:t>the</w:t>
      </w:r>
      <w:r>
        <w:rPr>
          <w:rFonts w:asciiTheme="minorHAnsi" w:hAnsiTheme="minorHAnsi"/>
          <w:sz w:val="22"/>
        </w:rPr>
        <w:t xml:space="preserve"> VPA would expect the</w:t>
      </w:r>
      <w:r w:rsidR="00AE582D">
        <w:rPr>
          <w:rFonts w:asciiTheme="minorHAnsi" w:hAnsiTheme="minorHAnsi"/>
          <w:sz w:val="22"/>
        </w:rPr>
        <w:t xml:space="preserve"> Redstone Hill site to deliver a relatively high housing density given its access to the major town centre, open space and arterial road.  </w:t>
      </w:r>
      <w:r w:rsidR="008542F5">
        <w:rPr>
          <w:rFonts w:asciiTheme="minorHAnsi" w:hAnsiTheme="minorHAnsi"/>
          <w:sz w:val="22"/>
        </w:rPr>
        <w:t>On an objective planning analysis</w:t>
      </w:r>
      <w:r w:rsidR="00BC10BB">
        <w:rPr>
          <w:rFonts w:asciiTheme="minorHAnsi" w:hAnsiTheme="minorHAnsi"/>
          <w:sz w:val="22"/>
        </w:rPr>
        <w:t>,</w:t>
      </w:r>
      <w:r w:rsidR="008542F5">
        <w:rPr>
          <w:rFonts w:asciiTheme="minorHAnsi" w:hAnsiTheme="minorHAnsi"/>
          <w:sz w:val="22"/>
        </w:rPr>
        <w:t xml:space="preserve"> the attributes of this site</w:t>
      </w:r>
      <w:r w:rsidR="00500B8F">
        <w:rPr>
          <w:rFonts w:asciiTheme="minorHAnsi" w:hAnsiTheme="minorHAnsi"/>
          <w:sz w:val="22"/>
        </w:rPr>
        <w:t>,</w:t>
      </w:r>
      <w:r w:rsidR="008542F5">
        <w:rPr>
          <w:rFonts w:asciiTheme="minorHAnsi" w:hAnsiTheme="minorHAnsi"/>
          <w:sz w:val="22"/>
        </w:rPr>
        <w:t xml:space="preserve"> in</w:t>
      </w:r>
      <w:r w:rsidR="00C41919">
        <w:rPr>
          <w:rFonts w:asciiTheme="minorHAnsi" w:hAnsiTheme="minorHAnsi"/>
          <w:sz w:val="22"/>
        </w:rPr>
        <w:t xml:space="preserve">cluding </w:t>
      </w:r>
      <w:r w:rsidR="00BC10BB">
        <w:rPr>
          <w:rFonts w:asciiTheme="minorHAnsi" w:hAnsiTheme="minorHAnsi"/>
          <w:sz w:val="22"/>
        </w:rPr>
        <w:t>its</w:t>
      </w:r>
      <w:r w:rsidR="00C41919">
        <w:rPr>
          <w:rFonts w:asciiTheme="minorHAnsi" w:hAnsiTheme="minorHAnsi"/>
          <w:sz w:val="22"/>
        </w:rPr>
        <w:t xml:space="preserve"> </w:t>
      </w:r>
      <w:r w:rsidR="00DD0E62">
        <w:rPr>
          <w:rFonts w:asciiTheme="minorHAnsi" w:hAnsiTheme="minorHAnsi"/>
          <w:sz w:val="22"/>
        </w:rPr>
        <w:t>physical and</w:t>
      </w:r>
      <w:r w:rsidR="00AE582D">
        <w:rPr>
          <w:rFonts w:asciiTheme="minorHAnsi" w:hAnsiTheme="minorHAnsi"/>
          <w:sz w:val="22"/>
        </w:rPr>
        <w:t xml:space="preserve"> policy context</w:t>
      </w:r>
      <w:r w:rsidR="00500B8F">
        <w:rPr>
          <w:rFonts w:asciiTheme="minorHAnsi" w:hAnsiTheme="minorHAnsi"/>
          <w:sz w:val="22"/>
        </w:rPr>
        <w:t>,</w:t>
      </w:r>
      <w:r w:rsidR="00AE582D">
        <w:rPr>
          <w:rFonts w:asciiTheme="minorHAnsi" w:hAnsiTheme="minorHAnsi"/>
          <w:sz w:val="22"/>
        </w:rPr>
        <w:t xml:space="preserve"> </w:t>
      </w:r>
      <w:r w:rsidR="005908A6">
        <w:rPr>
          <w:rFonts w:asciiTheme="minorHAnsi" w:hAnsiTheme="minorHAnsi"/>
          <w:sz w:val="22"/>
        </w:rPr>
        <w:t>support</w:t>
      </w:r>
      <w:r w:rsidR="00AE582D">
        <w:rPr>
          <w:rFonts w:asciiTheme="minorHAnsi" w:hAnsiTheme="minorHAnsi"/>
          <w:sz w:val="22"/>
        </w:rPr>
        <w:t xml:space="preserve"> the provision of higher than average residential density.</w:t>
      </w:r>
      <w:r w:rsidR="00F10186">
        <w:rPr>
          <w:rFonts w:asciiTheme="minorHAnsi" w:hAnsiTheme="minorHAnsi"/>
          <w:sz w:val="22"/>
        </w:rPr>
        <w:t xml:space="preserve">  Indeed, the VPA considers this to be one of the locations</w:t>
      </w:r>
      <w:r w:rsidR="00A26597">
        <w:rPr>
          <w:rFonts w:asciiTheme="minorHAnsi" w:hAnsiTheme="minorHAnsi"/>
          <w:sz w:val="22"/>
        </w:rPr>
        <w:t xml:space="preserve"> within the PSP areas with the strongest opportunities to be able to provide a greater diversity of housing types.</w:t>
      </w:r>
    </w:p>
    <w:p w:rsidR="00EF2ADA" w:rsidRDefault="00385011" w:rsidP="00132B50">
      <w:pPr>
        <w:keepNext/>
        <w:rPr>
          <w:rFonts w:asciiTheme="minorHAnsi" w:hAnsiTheme="minorHAnsi"/>
          <w:sz w:val="22"/>
        </w:rPr>
      </w:pPr>
      <w:r>
        <w:rPr>
          <w:rFonts w:asciiTheme="minorHAnsi" w:hAnsiTheme="minorHAnsi"/>
          <w:sz w:val="22"/>
        </w:rPr>
        <w:t>In summary</w:t>
      </w:r>
      <w:r w:rsidR="00936F13">
        <w:rPr>
          <w:rFonts w:asciiTheme="minorHAnsi" w:hAnsiTheme="minorHAnsi"/>
          <w:sz w:val="22"/>
        </w:rPr>
        <w:t>,</w:t>
      </w:r>
      <w:r>
        <w:rPr>
          <w:rFonts w:asciiTheme="minorHAnsi" w:hAnsiTheme="minorHAnsi"/>
          <w:sz w:val="22"/>
        </w:rPr>
        <w:t xml:space="preserve"> the VPA considers a</w:t>
      </w:r>
      <w:r w:rsidRPr="00385011">
        <w:rPr>
          <w:rFonts w:asciiTheme="minorHAnsi" w:hAnsiTheme="minorHAnsi"/>
          <w:sz w:val="22"/>
        </w:rPr>
        <w:t xml:space="preserve"> site </w:t>
      </w:r>
      <w:r>
        <w:rPr>
          <w:rFonts w:asciiTheme="minorHAnsi" w:hAnsiTheme="minorHAnsi"/>
          <w:sz w:val="22"/>
        </w:rPr>
        <w:t>like the subject site</w:t>
      </w:r>
      <w:r w:rsidR="00754816">
        <w:rPr>
          <w:rFonts w:asciiTheme="minorHAnsi" w:hAnsiTheme="minorHAnsi"/>
          <w:sz w:val="22"/>
        </w:rPr>
        <w:t>,</w:t>
      </w:r>
      <w:r w:rsidRPr="00385011">
        <w:rPr>
          <w:rFonts w:asciiTheme="minorHAnsi" w:hAnsiTheme="minorHAnsi"/>
          <w:sz w:val="22"/>
        </w:rPr>
        <w:t xml:space="preserve"> with a major town centre</w:t>
      </w:r>
      <w:r w:rsidR="00754816">
        <w:rPr>
          <w:rFonts w:asciiTheme="minorHAnsi" w:hAnsiTheme="minorHAnsi"/>
          <w:sz w:val="22"/>
        </w:rPr>
        <w:t>,</w:t>
      </w:r>
      <w:r w:rsidRPr="00385011">
        <w:rPr>
          <w:rFonts w:asciiTheme="minorHAnsi" w:hAnsiTheme="minorHAnsi"/>
          <w:sz w:val="22"/>
        </w:rPr>
        <w:t xml:space="preserve"> </w:t>
      </w:r>
      <w:r w:rsidR="00754816">
        <w:rPr>
          <w:rFonts w:asciiTheme="minorHAnsi" w:hAnsiTheme="minorHAnsi"/>
          <w:sz w:val="22"/>
        </w:rPr>
        <w:t>will</w:t>
      </w:r>
      <w:r w:rsidRPr="00385011">
        <w:rPr>
          <w:rFonts w:asciiTheme="minorHAnsi" w:hAnsiTheme="minorHAnsi"/>
          <w:sz w:val="22"/>
        </w:rPr>
        <w:t xml:space="preserve"> be one of the </w:t>
      </w:r>
      <w:r w:rsidR="00D62507">
        <w:rPr>
          <w:rFonts w:asciiTheme="minorHAnsi" w:hAnsiTheme="minorHAnsi"/>
          <w:sz w:val="22"/>
        </w:rPr>
        <w:t>best</w:t>
      </w:r>
      <w:r w:rsidRPr="00385011">
        <w:rPr>
          <w:rFonts w:asciiTheme="minorHAnsi" w:hAnsiTheme="minorHAnsi"/>
          <w:sz w:val="22"/>
        </w:rPr>
        <w:t xml:space="preserve"> places to provide the diversity of housing that will be critical to maintaining Sunbury’s range of household types and </w:t>
      </w:r>
      <w:r w:rsidR="00D62507">
        <w:rPr>
          <w:rFonts w:asciiTheme="minorHAnsi" w:hAnsiTheme="minorHAnsi"/>
          <w:sz w:val="22"/>
        </w:rPr>
        <w:t xml:space="preserve">to </w:t>
      </w:r>
      <w:r w:rsidRPr="00385011">
        <w:rPr>
          <w:rFonts w:asciiTheme="minorHAnsi" w:hAnsiTheme="minorHAnsi"/>
          <w:sz w:val="22"/>
        </w:rPr>
        <w:t>avoid the new town centre becoming ‘just another shopping centre’</w:t>
      </w:r>
      <w:r w:rsidR="00EE3294">
        <w:rPr>
          <w:rFonts w:asciiTheme="minorHAnsi" w:hAnsiTheme="minorHAnsi"/>
          <w:sz w:val="22"/>
        </w:rPr>
        <w:t>.</w:t>
      </w:r>
    </w:p>
    <w:p w:rsidR="00D204D8" w:rsidRPr="00605819" w:rsidRDefault="00D204D8" w:rsidP="00D204D8">
      <w:pPr>
        <w:keepNext/>
        <w:rPr>
          <w:rFonts w:asciiTheme="minorHAnsi" w:hAnsiTheme="minorHAnsi"/>
          <w:i/>
          <w:sz w:val="22"/>
        </w:rPr>
      </w:pPr>
      <w:r>
        <w:rPr>
          <w:rFonts w:asciiTheme="minorHAnsi" w:hAnsiTheme="minorHAnsi"/>
          <w:i/>
          <w:sz w:val="22"/>
        </w:rPr>
        <w:t xml:space="preserve">Landscape evidence </w:t>
      </w:r>
    </w:p>
    <w:p w:rsidR="00D204D8" w:rsidRDefault="00D204D8" w:rsidP="002F5337">
      <w:pPr>
        <w:rPr>
          <w:rFonts w:asciiTheme="minorHAnsi" w:hAnsiTheme="minorHAnsi"/>
          <w:sz w:val="22"/>
        </w:rPr>
      </w:pPr>
      <w:r>
        <w:rPr>
          <w:rFonts w:asciiTheme="minorHAnsi" w:hAnsiTheme="minorHAnsi"/>
          <w:sz w:val="22"/>
        </w:rPr>
        <w:t>Mr Murphy’s landscape evidence</w:t>
      </w:r>
      <w:r w:rsidR="005A4240">
        <w:rPr>
          <w:rFonts w:asciiTheme="minorHAnsi" w:hAnsiTheme="minorHAnsi"/>
          <w:sz w:val="22"/>
        </w:rPr>
        <w:t xml:space="preserve"> as it relates to the Redstone Hill site</w:t>
      </w:r>
      <w:r w:rsidR="00D86335">
        <w:rPr>
          <w:rFonts w:asciiTheme="minorHAnsi" w:hAnsiTheme="minorHAnsi"/>
          <w:sz w:val="22"/>
        </w:rPr>
        <w:t>:</w:t>
      </w:r>
    </w:p>
    <w:p w:rsidR="00D86335" w:rsidRDefault="00D86335" w:rsidP="001F39E5">
      <w:pPr>
        <w:pStyle w:val="ListParagraph"/>
        <w:numPr>
          <w:ilvl w:val="0"/>
          <w:numId w:val="54"/>
        </w:numPr>
      </w:pPr>
      <w:r>
        <w:t xml:space="preserve">supports the size and shape of the Redstone Hill regional park as shown in the </w:t>
      </w:r>
      <w:r w:rsidR="00037D55">
        <w:t xml:space="preserve">Sunbury South </w:t>
      </w:r>
      <w:r>
        <w:t>PSP as consistent with Council’s objective to protect views to the top of the hill;</w:t>
      </w:r>
      <w:r>
        <w:rPr>
          <w:rStyle w:val="FootnoteReference"/>
        </w:rPr>
        <w:footnoteReference w:id="31"/>
      </w:r>
    </w:p>
    <w:p w:rsidR="00D86335" w:rsidRDefault="00C67B20" w:rsidP="001F39E5">
      <w:pPr>
        <w:pStyle w:val="ListParagraph"/>
        <w:numPr>
          <w:ilvl w:val="0"/>
          <w:numId w:val="54"/>
        </w:numPr>
      </w:pPr>
      <w:r>
        <w:lastRenderedPageBreak/>
        <w:t>considers the location of the visual access ‘wedge’ west of Redstone Hill in the PSP to be broadly correct, but able to be improved by a small amendment to its northern edge;</w:t>
      </w:r>
      <w:r>
        <w:rPr>
          <w:rStyle w:val="FootnoteReference"/>
        </w:rPr>
        <w:footnoteReference w:id="32"/>
      </w:r>
    </w:p>
    <w:p w:rsidR="00037D55" w:rsidRDefault="00037D55" w:rsidP="001F39E5">
      <w:pPr>
        <w:pStyle w:val="ListParagraph"/>
        <w:numPr>
          <w:ilvl w:val="0"/>
          <w:numId w:val="54"/>
        </w:numPr>
      </w:pPr>
      <w:r>
        <w:t>supports the distribution of open space areas within the PSP</w:t>
      </w:r>
      <w:r w:rsidR="00DB36DB">
        <w:t>;</w:t>
      </w:r>
      <w:r w:rsidR="005867B0">
        <w:rPr>
          <w:rStyle w:val="FootnoteReference"/>
        </w:rPr>
        <w:footnoteReference w:id="33"/>
      </w:r>
      <w:r w:rsidR="00DB36DB">
        <w:t xml:space="preserve"> and </w:t>
      </w:r>
    </w:p>
    <w:p w:rsidR="00037D55" w:rsidRPr="00D86335" w:rsidRDefault="005867B0" w:rsidP="001F39E5">
      <w:pPr>
        <w:pStyle w:val="ListParagraph"/>
        <w:numPr>
          <w:ilvl w:val="0"/>
          <w:numId w:val="54"/>
        </w:numPr>
      </w:pPr>
      <w:r>
        <w:t>suggests a more flexible approach to the integration of wetlands into topography.</w:t>
      </w:r>
      <w:r>
        <w:rPr>
          <w:rStyle w:val="FootnoteReference"/>
        </w:rPr>
        <w:footnoteReference w:id="34"/>
      </w:r>
    </w:p>
    <w:p w:rsidR="00D204D8" w:rsidRPr="00A15BFC" w:rsidRDefault="00D204D8" w:rsidP="00D204D8">
      <w:pPr>
        <w:rPr>
          <w:rFonts w:asciiTheme="minorHAnsi" w:hAnsiTheme="minorHAnsi"/>
          <w:i/>
          <w:sz w:val="22"/>
        </w:rPr>
      </w:pPr>
      <w:r w:rsidRPr="00A15BFC">
        <w:rPr>
          <w:rFonts w:asciiTheme="minorHAnsi" w:hAnsiTheme="minorHAnsi"/>
          <w:i/>
          <w:sz w:val="22"/>
        </w:rPr>
        <w:t>Traffic evidence</w:t>
      </w:r>
    </w:p>
    <w:p w:rsidR="00D204D8" w:rsidRPr="00A15BFC" w:rsidRDefault="00D204D8" w:rsidP="00D204D8">
      <w:pPr>
        <w:rPr>
          <w:rFonts w:asciiTheme="minorHAnsi" w:hAnsiTheme="minorHAnsi"/>
          <w:sz w:val="22"/>
        </w:rPr>
      </w:pPr>
      <w:r w:rsidRPr="00A15BFC">
        <w:rPr>
          <w:rFonts w:asciiTheme="minorHAnsi" w:hAnsiTheme="minorHAnsi"/>
          <w:sz w:val="22"/>
        </w:rPr>
        <w:t>Mr Hunt’s traffic evidence</w:t>
      </w:r>
      <w:r w:rsidR="004161AA" w:rsidRPr="00A15BFC">
        <w:rPr>
          <w:rFonts w:asciiTheme="minorHAnsi" w:hAnsiTheme="minorHAnsi"/>
          <w:sz w:val="22"/>
        </w:rPr>
        <w:t xml:space="preserve"> in relation to the Redstone Hill application</w:t>
      </w:r>
      <w:r w:rsidRPr="00A15BFC">
        <w:rPr>
          <w:rFonts w:asciiTheme="minorHAnsi" w:hAnsiTheme="minorHAnsi"/>
          <w:sz w:val="22"/>
        </w:rPr>
        <w:t>:</w:t>
      </w:r>
    </w:p>
    <w:p w:rsidR="00AA7971" w:rsidRPr="00A15BFC" w:rsidRDefault="00D204D8" w:rsidP="00D204D8">
      <w:pPr>
        <w:pStyle w:val="ListParagraph"/>
        <w:numPr>
          <w:ilvl w:val="0"/>
          <w:numId w:val="51"/>
        </w:numPr>
      </w:pPr>
      <w:r w:rsidRPr="00A15BFC">
        <w:t>reviews the traffic and transport assessment report prepared by Cardno that accompanied the application and the GTA modelling</w:t>
      </w:r>
      <w:r w:rsidR="000C138C" w:rsidRPr="00A15BFC">
        <w:t>, including</w:t>
      </w:r>
      <w:r w:rsidRPr="00A15BFC">
        <w:t xml:space="preserve"> </w:t>
      </w:r>
      <w:proofErr w:type="gramStart"/>
      <w:r w:rsidRPr="00A15BFC">
        <w:t>in the vicinity of</w:t>
      </w:r>
      <w:proofErr w:type="gramEnd"/>
      <w:r w:rsidRPr="00A15BFC">
        <w:t xml:space="preserve"> </w:t>
      </w:r>
      <w:r w:rsidR="000C138C" w:rsidRPr="00A15BFC">
        <w:t>Sunbury Road / Lancefield Road and within the Redstone Hill site</w:t>
      </w:r>
      <w:r w:rsidRPr="00A15BFC">
        <w:t>;</w:t>
      </w:r>
      <w:r w:rsidRPr="00A15BFC">
        <w:rPr>
          <w:rStyle w:val="FootnoteReference"/>
        </w:rPr>
        <w:footnoteReference w:id="35"/>
      </w:r>
      <w:r w:rsidRPr="00A15BFC">
        <w:t xml:space="preserve"> </w:t>
      </w:r>
    </w:p>
    <w:p w:rsidR="00D204D8" w:rsidRPr="00A15BFC" w:rsidRDefault="00D204D8" w:rsidP="00D204D8">
      <w:pPr>
        <w:pStyle w:val="ListParagraph"/>
        <w:numPr>
          <w:ilvl w:val="0"/>
          <w:numId w:val="51"/>
        </w:numPr>
      </w:pPr>
      <w:r w:rsidRPr="00A15BFC">
        <w:t>concludes that:</w:t>
      </w:r>
      <w:r w:rsidRPr="00A15BFC">
        <w:rPr>
          <w:rStyle w:val="FootnoteReference"/>
        </w:rPr>
        <w:footnoteReference w:id="36"/>
      </w:r>
    </w:p>
    <w:p w:rsidR="00D204D8" w:rsidRPr="00A15BFC" w:rsidRDefault="004271CB" w:rsidP="00D204D8">
      <w:pPr>
        <w:pStyle w:val="ListParagraph"/>
        <w:numPr>
          <w:ilvl w:val="1"/>
          <w:numId w:val="30"/>
        </w:numPr>
      </w:pPr>
      <w:r w:rsidRPr="00A15BFC">
        <w:t>a</w:t>
      </w:r>
      <w:r w:rsidR="00685633" w:rsidRPr="00A15BFC">
        <w:t>ccess to the site will initially be directed to Sunbury Road</w:t>
      </w:r>
      <w:r w:rsidR="002E7E97" w:rsidRPr="00A15BFC">
        <w:t xml:space="preserve">, which </w:t>
      </w:r>
      <w:r w:rsidR="00E63965" w:rsidRPr="00A15BFC">
        <w:t xml:space="preserve">has limited </w:t>
      </w:r>
      <w:r w:rsidR="00A6044D" w:rsidRPr="00A15BFC">
        <w:t>ability</w:t>
      </w:r>
      <w:r w:rsidR="002E7E97" w:rsidRPr="00A15BFC">
        <w:t xml:space="preserve"> to</w:t>
      </w:r>
      <w:r w:rsidR="00E63965" w:rsidRPr="00A15BFC">
        <w:t xml:space="preserve"> absorb traffic at peak times, but can accommodate this through the progressive provision of intersections</w:t>
      </w:r>
      <w:r w:rsidR="00D204D8" w:rsidRPr="00A15BFC">
        <w:t>; and</w:t>
      </w:r>
    </w:p>
    <w:p w:rsidR="00D204D8" w:rsidRPr="00A15BFC" w:rsidRDefault="00D204D8" w:rsidP="00D204D8">
      <w:pPr>
        <w:pStyle w:val="ListParagraph"/>
        <w:numPr>
          <w:ilvl w:val="1"/>
          <w:numId w:val="30"/>
        </w:numPr>
      </w:pPr>
      <w:r w:rsidRPr="00A15BFC">
        <w:t xml:space="preserve">the </w:t>
      </w:r>
      <w:r w:rsidR="001903D9" w:rsidRPr="00A15BFC">
        <w:t xml:space="preserve">provision of </w:t>
      </w:r>
      <w:r w:rsidR="00A15BFC" w:rsidRPr="00A15BFC">
        <w:t>the southern creek crossing, additional connections, the Bulla Bypass and duplication of Sunbury Road will relieve traffic on Sunbury Road.</w:t>
      </w:r>
    </w:p>
    <w:p w:rsidR="00D204D8" w:rsidRPr="00A15BFC" w:rsidRDefault="00D204D8" w:rsidP="00A005B9">
      <w:pPr>
        <w:keepNext/>
        <w:rPr>
          <w:rFonts w:asciiTheme="minorHAnsi" w:hAnsiTheme="minorHAnsi"/>
          <w:i/>
          <w:sz w:val="22"/>
        </w:rPr>
      </w:pPr>
      <w:r w:rsidRPr="00A15BFC">
        <w:rPr>
          <w:rFonts w:asciiTheme="minorHAnsi" w:hAnsiTheme="minorHAnsi"/>
          <w:i/>
          <w:sz w:val="22"/>
        </w:rPr>
        <w:t>Drainage evidence</w:t>
      </w:r>
    </w:p>
    <w:p w:rsidR="00A005B9" w:rsidRPr="00A15BFC" w:rsidRDefault="00A005B9" w:rsidP="00A005B9">
      <w:pPr>
        <w:keepNext/>
        <w:rPr>
          <w:rFonts w:asciiTheme="minorHAnsi" w:hAnsiTheme="minorHAnsi"/>
          <w:sz w:val="22"/>
        </w:rPr>
      </w:pPr>
      <w:r w:rsidRPr="00A15BFC">
        <w:rPr>
          <w:rFonts w:asciiTheme="minorHAnsi" w:hAnsiTheme="minorHAnsi"/>
          <w:sz w:val="22"/>
        </w:rPr>
        <w:t>Mr McLean’s drainage evidence refers to the functional design submitted to Melbourne Water responding to Melbourne Water’s objection to the permit application.</w:t>
      </w:r>
      <w:r w:rsidRPr="00A15BFC">
        <w:rPr>
          <w:rStyle w:val="FootnoteReference"/>
          <w:rFonts w:asciiTheme="minorHAnsi" w:hAnsiTheme="minorHAnsi"/>
          <w:sz w:val="22"/>
        </w:rPr>
        <w:footnoteReference w:id="37"/>
      </w:r>
      <w:r w:rsidRPr="00A15BFC">
        <w:rPr>
          <w:rFonts w:asciiTheme="minorHAnsi" w:hAnsiTheme="minorHAnsi"/>
          <w:sz w:val="22"/>
        </w:rPr>
        <w:t xml:space="preserve">  </w:t>
      </w:r>
    </w:p>
    <w:p w:rsidR="00321F37" w:rsidRDefault="00321F37" w:rsidP="00321F37">
      <w:pPr>
        <w:rPr>
          <w:rFonts w:asciiTheme="minorHAnsi" w:hAnsiTheme="minorHAnsi"/>
          <w:b/>
          <w:i/>
          <w:sz w:val="22"/>
          <w:lang w:eastAsia="en-US"/>
        </w:rPr>
      </w:pPr>
      <w:r>
        <w:rPr>
          <w:rFonts w:asciiTheme="minorHAnsi" w:hAnsiTheme="minorHAnsi"/>
          <w:b/>
          <w:i/>
          <w:sz w:val="22"/>
          <w:lang w:eastAsia="en-US"/>
        </w:rPr>
        <w:t xml:space="preserve">Melbourne Water review </w:t>
      </w:r>
    </w:p>
    <w:p w:rsidR="0034687E" w:rsidRDefault="00783EDB" w:rsidP="00FD4B63">
      <w:pPr>
        <w:rPr>
          <w:rFonts w:asciiTheme="minorHAnsi" w:hAnsiTheme="minorHAnsi"/>
          <w:sz w:val="22"/>
        </w:rPr>
      </w:pPr>
      <w:r>
        <w:rPr>
          <w:rFonts w:asciiTheme="minorHAnsi" w:hAnsiTheme="minorHAnsi"/>
          <w:sz w:val="22"/>
        </w:rPr>
        <w:t>Two draft DSSs</w:t>
      </w:r>
      <w:r w:rsidR="00101E40">
        <w:rPr>
          <w:rFonts w:asciiTheme="minorHAnsi" w:hAnsiTheme="minorHAnsi"/>
          <w:sz w:val="22"/>
        </w:rPr>
        <w:t xml:space="preserve"> apply to the Redstone Hill application site: Shepherds Lane DSS and </w:t>
      </w:r>
      <w:proofErr w:type="spellStart"/>
      <w:r w:rsidR="00101E40">
        <w:rPr>
          <w:rFonts w:asciiTheme="minorHAnsi" w:hAnsiTheme="minorHAnsi"/>
          <w:sz w:val="22"/>
        </w:rPr>
        <w:t>Turnberry</w:t>
      </w:r>
      <w:proofErr w:type="spellEnd"/>
      <w:r w:rsidR="00101E40">
        <w:rPr>
          <w:rFonts w:asciiTheme="minorHAnsi" w:hAnsiTheme="minorHAnsi"/>
          <w:sz w:val="22"/>
        </w:rPr>
        <w:t xml:space="preserve"> Drive DSS.  </w:t>
      </w:r>
    </w:p>
    <w:p w:rsidR="00FD4B63" w:rsidRDefault="00FD4B63" w:rsidP="00FD4B63">
      <w:pPr>
        <w:rPr>
          <w:rFonts w:asciiTheme="minorHAnsi" w:hAnsiTheme="minorHAnsi"/>
          <w:sz w:val="22"/>
        </w:rPr>
      </w:pPr>
      <w:r>
        <w:rPr>
          <w:rFonts w:asciiTheme="minorHAnsi" w:hAnsiTheme="minorHAnsi"/>
          <w:sz w:val="22"/>
        </w:rPr>
        <w:t>Melbourne Water has reviewed the functional design prepared by Mr McLean on behalf of Villawood and provided comments and requests for further information</w:t>
      </w:r>
      <w:r w:rsidR="00A360A9">
        <w:rPr>
          <w:rFonts w:asciiTheme="minorHAnsi" w:hAnsiTheme="minorHAnsi"/>
          <w:sz w:val="22"/>
        </w:rPr>
        <w:t xml:space="preserve">, </w:t>
      </w:r>
      <w:r w:rsidR="00E300E8">
        <w:rPr>
          <w:rFonts w:asciiTheme="minorHAnsi" w:hAnsiTheme="minorHAnsi"/>
          <w:sz w:val="22"/>
        </w:rPr>
        <w:t xml:space="preserve">including a revised stormwater management strategy.  </w:t>
      </w:r>
      <w:r w:rsidR="004E0906">
        <w:rPr>
          <w:rFonts w:asciiTheme="minorHAnsi" w:hAnsiTheme="minorHAnsi"/>
          <w:sz w:val="22"/>
        </w:rPr>
        <w:t xml:space="preserve">These comments are included in the folders provided to the Panel.  </w:t>
      </w:r>
    </w:p>
    <w:p w:rsidR="00825549" w:rsidRDefault="00825549" w:rsidP="00FD4B63">
      <w:pPr>
        <w:rPr>
          <w:rFonts w:asciiTheme="minorHAnsi" w:hAnsiTheme="minorHAnsi"/>
          <w:sz w:val="22"/>
        </w:rPr>
      </w:pPr>
      <w:r>
        <w:rPr>
          <w:rFonts w:asciiTheme="minorHAnsi" w:hAnsiTheme="minorHAnsi"/>
          <w:sz w:val="22"/>
        </w:rPr>
        <w:t xml:space="preserve">The VPA </w:t>
      </w:r>
      <w:r w:rsidR="00FA564F">
        <w:rPr>
          <w:rFonts w:asciiTheme="minorHAnsi" w:hAnsiTheme="minorHAnsi"/>
          <w:sz w:val="22"/>
        </w:rPr>
        <w:t>will continue to work with the permit applicant through</w:t>
      </w:r>
      <w:r w:rsidR="00736848">
        <w:rPr>
          <w:rFonts w:asciiTheme="minorHAnsi" w:hAnsiTheme="minorHAnsi"/>
          <w:sz w:val="22"/>
        </w:rPr>
        <w:t xml:space="preserve"> and outside of</w:t>
      </w:r>
      <w:r w:rsidR="00FA564F">
        <w:rPr>
          <w:rFonts w:asciiTheme="minorHAnsi" w:hAnsiTheme="minorHAnsi"/>
          <w:sz w:val="22"/>
        </w:rPr>
        <w:t xml:space="preserve"> the hearing to progress the permit application.  The VPA will provide an </w:t>
      </w:r>
      <w:r w:rsidR="00D34DB9">
        <w:rPr>
          <w:rFonts w:asciiTheme="minorHAnsi" w:hAnsiTheme="minorHAnsi"/>
          <w:sz w:val="22"/>
        </w:rPr>
        <w:t>updated</w:t>
      </w:r>
      <w:r w:rsidR="00FA564F">
        <w:rPr>
          <w:rFonts w:asciiTheme="minorHAnsi" w:hAnsiTheme="minorHAnsi"/>
          <w:sz w:val="22"/>
        </w:rPr>
        <w:t xml:space="preserve"> position, if any</w:t>
      </w:r>
      <w:r w:rsidR="00D34DB9">
        <w:rPr>
          <w:rFonts w:asciiTheme="minorHAnsi" w:hAnsiTheme="minorHAnsi"/>
          <w:sz w:val="22"/>
        </w:rPr>
        <w:t xml:space="preserve">, in its closing submission.  </w:t>
      </w:r>
    </w:p>
    <w:p w:rsidR="003F2ED5" w:rsidRPr="00671B05" w:rsidRDefault="00CA2D32" w:rsidP="00CA2D32">
      <w:pPr>
        <w:pStyle w:val="Heading2"/>
        <w:rPr>
          <w:rFonts w:asciiTheme="minorHAnsi" w:hAnsiTheme="minorHAnsi"/>
          <w:b/>
        </w:rPr>
      </w:pPr>
      <w:bookmarkStart w:id="11" w:name="_Toc491027648"/>
      <w:r w:rsidRPr="00671B05">
        <w:rPr>
          <w:rFonts w:asciiTheme="minorHAnsi" w:hAnsiTheme="minorHAnsi"/>
          <w:b/>
        </w:rPr>
        <w:lastRenderedPageBreak/>
        <w:t>Deletion of HO358</w:t>
      </w:r>
      <w:bookmarkEnd w:id="11"/>
      <w:r w:rsidR="00F51A33">
        <w:rPr>
          <w:rFonts w:asciiTheme="minorHAnsi" w:hAnsiTheme="minorHAnsi"/>
          <w:b/>
        </w:rPr>
        <w:t xml:space="preserve"> </w:t>
      </w:r>
    </w:p>
    <w:p w:rsidR="00841FB2" w:rsidRDefault="00841FB2" w:rsidP="00F51A33">
      <w:pPr>
        <w:rPr>
          <w:rFonts w:asciiTheme="minorHAnsi" w:hAnsiTheme="minorHAnsi"/>
          <w:i/>
          <w:sz w:val="22"/>
        </w:rPr>
      </w:pPr>
      <w:r>
        <w:rPr>
          <w:rFonts w:asciiTheme="minorHAnsi" w:hAnsiTheme="minorHAnsi"/>
          <w:i/>
          <w:sz w:val="22"/>
        </w:rPr>
        <w:t>Sunbury South PSP (C207) – Submission 57 (Hume City Council)</w:t>
      </w:r>
      <w:r w:rsidR="00793651">
        <w:rPr>
          <w:rFonts w:asciiTheme="minorHAnsi" w:hAnsiTheme="minorHAnsi"/>
          <w:i/>
          <w:sz w:val="22"/>
        </w:rPr>
        <w:t xml:space="preserve">; </w:t>
      </w:r>
      <w:r w:rsidR="00793651">
        <w:rPr>
          <w:rFonts w:asciiTheme="minorHAnsi" w:hAnsiTheme="minorHAnsi"/>
          <w:i/>
          <w:sz w:val="22"/>
          <w:lang w:eastAsia="en-US"/>
        </w:rPr>
        <w:t>71 (Villawood Properties)</w:t>
      </w:r>
    </w:p>
    <w:p w:rsidR="00841FB2" w:rsidRPr="00841FB2" w:rsidRDefault="00841FB2" w:rsidP="00F51A33">
      <w:pPr>
        <w:rPr>
          <w:rFonts w:asciiTheme="minorHAnsi" w:hAnsiTheme="minorHAnsi"/>
          <w:i/>
          <w:sz w:val="22"/>
        </w:rPr>
      </w:pPr>
      <w:r>
        <w:rPr>
          <w:rFonts w:asciiTheme="minorHAnsi" w:hAnsiTheme="minorHAnsi"/>
          <w:i/>
          <w:sz w:val="22"/>
        </w:rPr>
        <w:t>Lancefield Road PSP (C208) – Submission 54 (Hume City Council)</w:t>
      </w:r>
      <w:r w:rsidR="00793651">
        <w:rPr>
          <w:rFonts w:asciiTheme="minorHAnsi" w:hAnsiTheme="minorHAnsi"/>
          <w:i/>
          <w:sz w:val="22"/>
        </w:rPr>
        <w:t xml:space="preserve">; </w:t>
      </w:r>
      <w:r w:rsidR="00793651">
        <w:rPr>
          <w:rFonts w:asciiTheme="minorHAnsi" w:hAnsiTheme="minorHAnsi"/>
          <w:i/>
          <w:sz w:val="22"/>
          <w:lang w:eastAsia="en-US"/>
        </w:rPr>
        <w:t>71 (Villawood Properties)</w:t>
      </w:r>
    </w:p>
    <w:p w:rsidR="00590127" w:rsidRDefault="009E5458" w:rsidP="00F51A33">
      <w:pPr>
        <w:rPr>
          <w:rFonts w:asciiTheme="minorHAnsi" w:hAnsiTheme="minorHAnsi"/>
          <w:sz w:val="22"/>
        </w:rPr>
      </w:pPr>
      <w:r>
        <w:rPr>
          <w:rFonts w:asciiTheme="minorHAnsi" w:hAnsiTheme="minorHAnsi"/>
          <w:sz w:val="22"/>
        </w:rPr>
        <w:t>The exhibition version of Amendment C207 proposed the</w:t>
      </w:r>
      <w:r w:rsidR="00590127">
        <w:rPr>
          <w:rFonts w:asciiTheme="minorHAnsi" w:hAnsiTheme="minorHAnsi"/>
          <w:sz w:val="22"/>
        </w:rPr>
        <w:t xml:space="preserve"> removal of HO358 in the Schedule to the Heritage Overlay from the Scheme.</w:t>
      </w:r>
    </w:p>
    <w:p w:rsidR="00EE7DC9" w:rsidRDefault="000E66CC" w:rsidP="00F51A33">
      <w:pPr>
        <w:rPr>
          <w:rFonts w:asciiTheme="minorHAnsi" w:hAnsiTheme="minorHAnsi"/>
          <w:sz w:val="22"/>
        </w:rPr>
      </w:pPr>
      <w:r>
        <w:rPr>
          <w:rFonts w:asciiTheme="minorHAnsi" w:hAnsiTheme="minorHAnsi"/>
          <w:sz w:val="22"/>
        </w:rPr>
        <w:t>HO358 applies to the Former Constitution Hot</w:t>
      </w:r>
      <w:r w:rsidR="009A4FD7">
        <w:rPr>
          <w:rFonts w:asciiTheme="minorHAnsi" w:hAnsiTheme="minorHAnsi"/>
          <w:sz w:val="22"/>
        </w:rPr>
        <w:t>el at 675 Sunbury Road, Sunbury.</w:t>
      </w:r>
      <w:r w:rsidR="009A4FD7">
        <w:rPr>
          <w:rStyle w:val="FootnoteReference"/>
          <w:rFonts w:asciiTheme="minorHAnsi" w:hAnsiTheme="minorHAnsi"/>
          <w:sz w:val="22"/>
        </w:rPr>
        <w:footnoteReference w:id="38"/>
      </w:r>
      <w:r w:rsidR="00260A8D">
        <w:rPr>
          <w:rFonts w:asciiTheme="minorHAnsi" w:hAnsiTheme="minorHAnsi"/>
          <w:sz w:val="22"/>
        </w:rPr>
        <w:t xml:space="preserve">  It:</w:t>
      </w:r>
    </w:p>
    <w:p w:rsidR="00260A8D" w:rsidRDefault="00260A8D" w:rsidP="003340E2">
      <w:pPr>
        <w:pStyle w:val="ListParagraph"/>
        <w:numPr>
          <w:ilvl w:val="0"/>
          <w:numId w:val="39"/>
        </w:numPr>
      </w:pPr>
      <w:r>
        <w:t>applies external paint controls; and</w:t>
      </w:r>
    </w:p>
    <w:p w:rsidR="00260A8D" w:rsidRPr="002535F8" w:rsidRDefault="00260A8D" w:rsidP="003340E2">
      <w:pPr>
        <w:pStyle w:val="ListParagraph"/>
        <w:numPr>
          <w:ilvl w:val="0"/>
          <w:numId w:val="39"/>
        </w:numPr>
      </w:pPr>
      <w:r>
        <w:t>provides that uses that would otherwise be prohibited in the applicable zone may be permitted.</w:t>
      </w:r>
    </w:p>
    <w:p w:rsidR="00154D1D" w:rsidRDefault="00154D1D" w:rsidP="00F51A33">
      <w:pPr>
        <w:rPr>
          <w:rFonts w:asciiTheme="minorHAnsi" w:hAnsiTheme="minorHAnsi"/>
          <w:sz w:val="22"/>
        </w:rPr>
      </w:pPr>
      <w:r>
        <w:rPr>
          <w:rFonts w:asciiTheme="minorHAnsi" w:hAnsiTheme="minorHAnsi"/>
          <w:sz w:val="22"/>
        </w:rPr>
        <w:t>675 Sunbury Road comprises part of the land</w:t>
      </w:r>
      <w:r w:rsidR="00590127">
        <w:rPr>
          <w:rFonts w:asciiTheme="minorHAnsi" w:hAnsiTheme="minorHAnsi"/>
          <w:sz w:val="22"/>
        </w:rPr>
        <w:t xml:space="preserve"> described as ‘Redstone Hill’</w:t>
      </w:r>
      <w:r>
        <w:rPr>
          <w:rFonts w:asciiTheme="minorHAnsi" w:hAnsiTheme="minorHAnsi"/>
          <w:sz w:val="22"/>
        </w:rPr>
        <w:t xml:space="preserve"> that is the subject </w:t>
      </w:r>
      <w:r w:rsidR="00126DFF">
        <w:rPr>
          <w:rFonts w:asciiTheme="minorHAnsi" w:hAnsiTheme="minorHAnsi"/>
          <w:sz w:val="22"/>
        </w:rPr>
        <w:t>of planning permit appl</w:t>
      </w:r>
      <w:r w:rsidR="00590127">
        <w:rPr>
          <w:rFonts w:asciiTheme="minorHAnsi" w:hAnsiTheme="minorHAnsi"/>
          <w:sz w:val="22"/>
        </w:rPr>
        <w:t>ication no. P18858 by Villawood.</w:t>
      </w:r>
    </w:p>
    <w:p w:rsidR="002B1438" w:rsidRDefault="00365D51" w:rsidP="00F51A33">
      <w:pPr>
        <w:rPr>
          <w:rFonts w:asciiTheme="minorHAnsi" w:hAnsiTheme="minorHAnsi"/>
          <w:sz w:val="22"/>
        </w:rPr>
      </w:pPr>
      <w:r>
        <w:rPr>
          <w:rFonts w:asciiTheme="minorHAnsi" w:hAnsiTheme="minorHAnsi"/>
          <w:sz w:val="22"/>
        </w:rPr>
        <w:t xml:space="preserve">The permit application contemplates demolition of the relevant buildings and clearing of the site.  </w:t>
      </w:r>
    </w:p>
    <w:p w:rsidR="00365D51" w:rsidRDefault="003B2CB6" w:rsidP="00F51A33">
      <w:pPr>
        <w:rPr>
          <w:rFonts w:asciiTheme="minorHAnsi" w:hAnsiTheme="minorHAnsi"/>
          <w:sz w:val="22"/>
        </w:rPr>
      </w:pPr>
      <w:r w:rsidRPr="0022307F">
        <w:rPr>
          <w:rFonts w:asciiTheme="minorHAnsi" w:hAnsiTheme="minorHAnsi"/>
          <w:sz w:val="22"/>
        </w:rPr>
        <w:t>Following consideration of submissions in response to exhibition, the VPA no longer proposes the removal of HO358.</w:t>
      </w:r>
    </w:p>
    <w:p w:rsidR="003178BF" w:rsidRDefault="003178BF" w:rsidP="00F51A33">
      <w:pPr>
        <w:rPr>
          <w:rFonts w:asciiTheme="minorHAnsi" w:hAnsiTheme="minorHAnsi"/>
          <w:sz w:val="22"/>
        </w:rPr>
      </w:pPr>
      <w:r>
        <w:rPr>
          <w:rFonts w:asciiTheme="minorHAnsi" w:hAnsiTheme="minorHAnsi"/>
          <w:sz w:val="22"/>
        </w:rPr>
        <w:t>The permit application for Redstone Hill was accompanied by a draft heritage report prepared by Bryce Raworth.</w:t>
      </w:r>
      <w:r w:rsidR="00990A5D">
        <w:rPr>
          <w:rFonts w:asciiTheme="minorHAnsi" w:hAnsiTheme="minorHAnsi"/>
          <w:sz w:val="22"/>
        </w:rPr>
        <w:t xml:space="preserve">  Th</w:t>
      </w:r>
      <w:r w:rsidR="00E361B4">
        <w:rPr>
          <w:rFonts w:asciiTheme="minorHAnsi" w:hAnsiTheme="minorHAnsi"/>
          <w:sz w:val="22"/>
        </w:rPr>
        <w:t>e</w:t>
      </w:r>
      <w:r w:rsidR="00990A5D">
        <w:rPr>
          <w:rFonts w:asciiTheme="minorHAnsi" w:hAnsiTheme="minorHAnsi"/>
          <w:sz w:val="22"/>
        </w:rPr>
        <w:t xml:space="preserve"> report advises that demolition should be permitted for the buildings on the site, as they do not comprise the hotel buildings itself and have tenuous, if any, connection to the hotel.  The draft report suggests that it is the site itself that holds historical social significance as the former location of an historic hotel.</w:t>
      </w:r>
    </w:p>
    <w:p w:rsidR="00990A5D" w:rsidRDefault="003F1CB0" w:rsidP="00F51A33">
      <w:pPr>
        <w:rPr>
          <w:rFonts w:asciiTheme="minorHAnsi" w:hAnsiTheme="minorHAnsi"/>
          <w:sz w:val="22"/>
        </w:rPr>
      </w:pPr>
      <w:r>
        <w:rPr>
          <w:rFonts w:asciiTheme="minorHAnsi" w:hAnsiTheme="minorHAnsi"/>
          <w:sz w:val="22"/>
        </w:rPr>
        <w:t xml:space="preserve">The absence of buildings of historical significance or other physical evidence of the historic use on the site formed the basis for the VPA to exhibit the deletion of the overlay.  This exhibition was in the context of a permit application expected to achieve resolution of the issue. </w:t>
      </w:r>
    </w:p>
    <w:p w:rsidR="003F1CB0" w:rsidRDefault="003F1CB0" w:rsidP="00F51A33">
      <w:pPr>
        <w:rPr>
          <w:rFonts w:asciiTheme="minorHAnsi" w:hAnsiTheme="minorHAnsi"/>
          <w:sz w:val="22"/>
        </w:rPr>
      </w:pPr>
      <w:r>
        <w:rPr>
          <w:rFonts w:asciiTheme="minorHAnsi" w:hAnsiTheme="minorHAnsi"/>
          <w:sz w:val="22"/>
        </w:rPr>
        <w:t xml:space="preserve">Retaining HO358 would not preclude the VPA from recommending that a permit issue for demolition or alternation of the buildings on site.  </w:t>
      </w:r>
    </w:p>
    <w:p w:rsidR="003F1CB0" w:rsidRDefault="003F1CB0" w:rsidP="00F51A33">
      <w:pPr>
        <w:rPr>
          <w:rFonts w:asciiTheme="minorHAnsi" w:hAnsiTheme="minorHAnsi"/>
          <w:sz w:val="22"/>
        </w:rPr>
      </w:pPr>
      <w:r>
        <w:rPr>
          <w:rFonts w:asciiTheme="minorHAnsi" w:hAnsiTheme="minorHAnsi"/>
          <w:sz w:val="22"/>
        </w:rPr>
        <w:t xml:space="preserve">The VPA considers </w:t>
      </w:r>
      <w:r w:rsidR="00D02BB9">
        <w:rPr>
          <w:rFonts w:asciiTheme="minorHAnsi" w:hAnsiTheme="minorHAnsi"/>
          <w:sz w:val="22"/>
        </w:rPr>
        <w:t xml:space="preserve">one </w:t>
      </w:r>
      <w:r>
        <w:rPr>
          <w:rFonts w:asciiTheme="minorHAnsi" w:hAnsiTheme="minorHAnsi"/>
          <w:sz w:val="22"/>
        </w:rPr>
        <w:t xml:space="preserve">advantage of retaining HO358 is to facilitate a requirement to record any historical material found during demolition </w:t>
      </w:r>
      <w:r w:rsidR="00A57B8A">
        <w:rPr>
          <w:rFonts w:asciiTheme="minorHAnsi" w:hAnsiTheme="minorHAnsi"/>
          <w:sz w:val="22"/>
        </w:rPr>
        <w:t>and</w:t>
      </w:r>
      <w:r>
        <w:rPr>
          <w:rFonts w:asciiTheme="minorHAnsi" w:hAnsiTheme="minorHAnsi"/>
          <w:sz w:val="22"/>
        </w:rPr>
        <w:t xml:space="preserve"> ensure that the layout of the subdivision and site has appropriate regard to heritage interpretation.</w:t>
      </w:r>
    </w:p>
    <w:p w:rsidR="003F1CB0" w:rsidRDefault="009E56BF" w:rsidP="00F51A33">
      <w:pPr>
        <w:rPr>
          <w:rFonts w:asciiTheme="minorHAnsi" w:hAnsiTheme="minorHAnsi"/>
          <w:sz w:val="22"/>
        </w:rPr>
      </w:pPr>
      <w:r>
        <w:rPr>
          <w:rFonts w:asciiTheme="minorHAnsi" w:hAnsiTheme="minorHAnsi"/>
          <w:sz w:val="22"/>
        </w:rPr>
        <w:lastRenderedPageBreak/>
        <w:t xml:space="preserve">The grant of a planning permit does not mean that the approved development will be </w:t>
      </w:r>
      <w:r w:rsidR="005E18B8">
        <w:rPr>
          <w:rFonts w:asciiTheme="minorHAnsi" w:hAnsiTheme="minorHAnsi"/>
          <w:sz w:val="22"/>
        </w:rPr>
        <w:t>acted upon.  The</w:t>
      </w:r>
      <w:r w:rsidR="003F1CB0">
        <w:rPr>
          <w:rFonts w:asciiTheme="minorHAnsi" w:hAnsiTheme="minorHAnsi"/>
          <w:sz w:val="22"/>
        </w:rPr>
        <w:t xml:space="preserve"> VPA further considers that retention will protect against </w:t>
      </w:r>
      <w:r w:rsidR="00EE1A1F">
        <w:rPr>
          <w:rFonts w:asciiTheme="minorHAnsi" w:hAnsiTheme="minorHAnsi"/>
          <w:sz w:val="22"/>
        </w:rPr>
        <w:t>demolition in the absence of a replacement proposal, as is the situation with the current permit application.</w:t>
      </w:r>
    </w:p>
    <w:p w:rsidR="008E2FA7" w:rsidRPr="0022307F" w:rsidRDefault="004514D5" w:rsidP="00F51A33">
      <w:pPr>
        <w:rPr>
          <w:rFonts w:asciiTheme="minorHAnsi" w:hAnsiTheme="minorHAnsi"/>
          <w:sz w:val="22"/>
        </w:rPr>
      </w:pPr>
      <w:r>
        <w:rPr>
          <w:rFonts w:asciiTheme="minorHAnsi" w:hAnsiTheme="minorHAnsi"/>
          <w:sz w:val="22"/>
        </w:rPr>
        <w:t xml:space="preserve">The retention of HO358 </w:t>
      </w:r>
      <w:r w:rsidR="00E770B7">
        <w:rPr>
          <w:rFonts w:asciiTheme="minorHAnsi" w:hAnsiTheme="minorHAnsi"/>
          <w:sz w:val="22"/>
        </w:rPr>
        <w:t>is consistent with Council’s submission.</w:t>
      </w:r>
    </w:p>
    <w:p w:rsidR="003F2ED5" w:rsidRPr="00DB7C4C" w:rsidRDefault="00CA2D32" w:rsidP="00CA2D32">
      <w:pPr>
        <w:pStyle w:val="Heading2"/>
        <w:rPr>
          <w:rFonts w:asciiTheme="minorHAnsi" w:hAnsiTheme="minorHAnsi"/>
          <w:b/>
        </w:rPr>
      </w:pPr>
      <w:bookmarkStart w:id="12" w:name="_Toc491027649"/>
      <w:r w:rsidRPr="00671B05">
        <w:rPr>
          <w:rFonts w:asciiTheme="minorHAnsi" w:hAnsiTheme="minorHAnsi"/>
          <w:b/>
        </w:rPr>
        <w:t xml:space="preserve">Integrated water network </w:t>
      </w:r>
      <w:r w:rsidR="00EE390B" w:rsidRPr="00671B05">
        <w:rPr>
          <w:rFonts w:asciiTheme="minorHAnsi" w:hAnsiTheme="minorHAnsi"/>
          <w:b/>
        </w:rPr>
        <w:t>submissions</w:t>
      </w:r>
      <w:bookmarkEnd w:id="12"/>
    </w:p>
    <w:p w:rsidR="008418D3" w:rsidRDefault="008418D3" w:rsidP="008418D3">
      <w:pPr>
        <w:rPr>
          <w:rFonts w:asciiTheme="minorHAnsi" w:hAnsiTheme="minorHAnsi"/>
          <w:i/>
          <w:sz w:val="22"/>
          <w:lang w:eastAsia="en-US"/>
        </w:rPr>
      </w:pPr>
      <w:r>
        <w:rPr>
          <w:rFonts w:asciiTheme="minorHAnsi" w:hAnsiTheme="minorHAnsi"/>
          <w:i/>
          <w:sz w:val="22"/>
          <w:lang w:eastAsia="en-US"/>
        </w:rPr>
        <w:t>Sunbury South PSP (C207) – Submissions 35 (DELWP – Integrated Water Management);</w:t>
      </w:r>
      <w:r w:rsidR="00BD5D5E">
        <w:rPr>
          <w:rFonts w:asciiTheme="minorHAnsi" w:hAnsiTheme="minorHAnsi"/>
          <w:i/>
          <w:sz w:val="22"/>
          <w:lang w:eastAsia="en-US"/>
        </w:rPr>
        <w:t xml:space="preserve"> 67 (Western Water); 77 (Melbourne Water)</w:t>
      </w:r>
    </w:p>
    <w:p w:rsidR="008418D3" w:rsidRDefault="008418D3" w:rsidP="008418D3">
      <w:pPr>
        <w:rPr>
          <w:rFonts w:asciiTheme="minorHAnsi" w:hAnsiTheme="minorHAnsi"/>
          <w:i/>
          <w:sz w:val="22"/>
          <w:lang w:eastAsia="en-US"/>
        </w:rPr>
      </w:pPr>
      <w:r>
        <w:rPr>
          <w:rFonts w:asciiTheme="minorHAnsi" w:hAnsiTheme="minorHAnsi"/>
          <w:i/>
          <w:sz w:val="22"/>
          <w:lang w:eastAsia="en-US"/>
        </w:rPr>
        <w:t xml:space="preserve">Lancefield Road PSP (C208) – </w:t>
      </w:r>
      <w:r w:rsidR="00BD5D5E">
        <w:rPr>
          <w:rFonts w:asciiTheme="minorHAnsi" w:hAnsiTheme="minorHAnsi"/>
          <w:i/>
          <w:sz w:val="22"/>
          <w:lang w:eastAsia="en-US"/>
        </w:rPr>
        <w:t>Submissions 36 (DELWP – Integrated Water Management); 66 (Western Water); 74 (Melbourne Water)</w:t>
      </w:r>
    </w:p>
    <w:p w:rsidR="00D007E2" w:rsidRDefault="00C50ABA" w:rsidP="00CA2D32">
      <w:pPr>
        <w:spacing w:after="120"/>
        <w:rPr>
          <w:rFonts w:asciiTheme="minorHAnsi" w:hAnsiTheme="minorHAnsi"/>
          <w:sz w:val="22"/>
        </w:rPr>
      </w:pPr>
      <w:r>
        <w:rPr>
          <w:rFonts w:asciiTheme="minorHAnsi" w:hAnsiTheme="minorHAnsi"/>
          <w:sz w:val="22"/>
        </w:rPr>
        <w:t>The VPA a</w:t>
      </w:r>
      <w:r w:rsidR="00326F37">
        <w:rPr>
          <w:rFonts w:asciiTheme="minorHAnsi" w:hAnsiTheme="minorHAnsi"/>
          <w:sz w:val="22"/>
        </w:rPr>
        <w:t>ppreciates</w:t>
      </w:r>
      <w:r>
        <w:rPr>
          <w:rFonts w:asciiTheme="minorHAnsi" w:hAnsiTheme="minorHAnsi"/>
          <w:sz w:val="22"/>
        </w:rPr>
        <w:t xml:space="preserve"> that opportunities for integrated water </w:t>
      </w:r>
      <w:r w:rsidR="00D007E2">
        <w:rPr>
          <w:rFonts w:asciiTheme="minorHAnsi" w:hAnsiTheme="minorHAnsi"/>
          <w:sz w:val="22"/>
        </w:rPr>
        <w:t>management are central to the water and drainage services and asset planning undertaken by Western Water and Melbourne Water, in collaboration with stakeholders including DELWP.</w:t>
      </w:r>
    </w:p>
    <w:p w:rsidR="00326F37" w:rsidRDefault="00ED58E1" w:rsidP="00CA2D32">
      <w:pPr>
        <w:spacing w:after="120"/>
        <w:rPr>
          <w:rFonts w:asciiTheme="minorHAnsi" w:hAnsiTheme="minorHAnsi"/>
          <w:sz w:val="22"/>
        </w:rPr>
      </w:pPr>
      <w:r>
        <w:rPr>
          <w:rFonts w:asciiTheme="minorHAnsi" w:hAnsiTheme="minorHAnsi"/>
          <w:sz w:val="22"/>
        </w:rPr>
        <w:t xml:space="preserve">Within Sunbury, a key focus has been on the opportunity for alternative water supply to service growth, and specifically for stormwater to be captured, treated and provided through the potable water network.  </w:t>
      </w:r>
      <w:r w:rsidR="00663D67">
        <w:rPr>
          <w:rFonts w:asciiTheme="minorHAnsi" w:hAnsiTheme="minorHAnsi"/>
          <w:sz w:val="22"/>
        </w:rPr>
        <w:t>The VPA understands this to have informed by service delivery planning by Western Water, and the</w:t>
      </w:r>
      <w:r w:rsidR="00743F4B">
        <w:rPr>
          <w:rFonts w:asciiTheme="minorHAnsi" w:hAnsiTheme="minorHAnsi"/>
          <w:sz w:val="22"/>
        </w:rPr>
        <w:t xml:space="preserve"> ongoing refinement of the DSSs</w:t>
      </w:r>
      <w:r w:rsidR="00663D67">
        <w:rPr>
          <w:rFonts w:asciiTheme="minorHAnsi" w:hAnsiTheme="minorHAnsi"/>
          <w:sz w:val="22"/>
        </w:rPr>
        <w:t xml:space="preserve"> </w:t>
      </w:r>
      <w:r w:rsidR="00743F4B">
        <w:rPr>
          <w:rFonts w:asciiTheme="minorHAnsi" w:hAnsiTheme="minorHAnsi"/>
          <w:sz w:val="22"/>
        </w:rPr>
        <w:t>that Melbourne Water is preparing</w:t>
      </w:r>
      <w:r w:rsidR="00663D67">
        <w:rPr>
          <w:rFonts w:asciiTheme="minorHAnsi" w:hAnsiTheme="minorHAnsi"/>
          <w:sz w:val="22"/>
        </w:rPr>
        <w:t xml:space="preserve"> to manage stormwater across the precincts.</w:t>
      </w:r>
    </w:p>
    <w:p w:rsidR="00550DA2" w:rsidRDefault="00762248" w:rsidP="00CA2D32">
      <w:pPr>
        <w:spacing w:after="120"/>
        <w:rPr>
          <w:rFonts w:asciiTheme="minorHAnsi" w:hAnsiTheme="minorHAnsi"/>
          <w:sz w:val="22"/>
        </w:rPr>
      </w:pPr>
      <w:r>
        <w:rPr>
          <w:rFonts w:asciiTheme="minorHAnsi" w:hAnsiTheme="minorHAnsi"/>
          <w:sz w:val="22"/>
        </w:rPr>
        <w:t>The exhibited PSPs reflect</w:t>
      </w:r>
      <w:r w:rsidR="00220A10">
        <w:rPr>
          <w:rFonts w:asciiTheme="minorHAnsi" w:hAnsiTheme="minorHAnsi"/>
          <w:sz w:val="22"/>
        </w:rPr>
        <w:t xml:space="preserve"> this cr</w:t>
      </w:r>
      <w:r w:rsidR="003B2549">
        <w:rPr>
          <w:rFonts w:asciiTheme="minorHAnsi" w:hAnsiTheme="minorHAnsi"/>
          <w:sz w:val="22"/>
        </w:rPr>
        <w:t>oss-government agency planning.  The VPA prepared a series of objectives, requirements, guidelines and conditions in the Schedules to the UGZ</w:t>
      </w:r>
      <w:r w:rsidR="00550DA2">
        <w:rPr>
          <w:rFonts w:asciiTheme="minorHAnsi" w:hAnsiTheme="minorHAnsi"/>
          <w:sz w:val="22"/>
        </w:rPr>
        <w:t>,</w:t>
      </w:r>
      <w:r w:rsidR="003B2549">
        <w:rPr>
          <w:rFonts w:asciiTheme="minorHAnsi" w:hAnsiTheme="minorHAnsi"/>
          <w:sz w:val="22"/>
        </w:rPr>
        <w:t xml:space="preserve"> together with the relevant agencies</w:t>
      </w:r>
      <w:r w:rsidR="00550DA2">
        <w:rPr>
          <w:rFonts w:asciiTheme="minorHAnsi" w:hAnsiTheme="minorHAnsi"/>
          <w:sz w:val="22"/>
        </w:rPr>
        <w:t>,</w:t>
      </w:r>
      <w:r w:rsidR="003B2549">
        <w:rPr>
          <w:rFonts w:asciiTheme="minorHAnsi" w:hAnsiTheme="minorHAnsi"/>
          <w:sz w:val="22"/>
        </w:rPr>
        <w:t xml:space="preserve"> to support the implementation of a</w:t>
      </w:r>
      <w:r w:rsidR="00550DA2">
        <w:rPr>
          <w:rFonts w:asciiTheme="minorHAnsi" w:hAnsiTheme="minorHAnsi"/>
          <w:sz w:val="22"/>
        </w:rPr>
        <w:t xml:space="preserve"> regional integrated water management strategy.</w:t>
      </w:r>
    </w:p>
    <w:p w:rsidR="00764240" w:rsidRDefault="00F720C6" w:rsidP="00CA2D32">
      <w:pPr>
        <w:spacing w:after="120"/>
        <w:rPr>
          <w:rFonts w:asciiTheme="minorHAnsi" w:hAnsiTheme="minorHAnsi"/>
          <w:sz w:val="22"/>
        </w:rPr>
      </w:pPr>
      <w:r>
        <w:rPr>
          <w:rFonts w:asciiTheme="minorHAnsi" w:hAnsiTheme="minorHAnsi"/>
          <w:sz w:val="22"/>
        </w:rPr>
        <w:t>The submissions by Western Water and Melbourne Water in response to exhibition of the Amendments sought some f</w:t>
      </w:r>
      <w:r w:rsidR="00B9743B">
        <w:rPr>
          <w:rFonts w:asciiTheme="minorHAnsi" w:hAnsiTheme="minorHAnsi"/>
          <w:sz w:val="22"/>
        </w:rPr>
        <w:t>urther refinement and additions</w:t>
      </w:r>
      <w:r>
        <w:rPr>
          <w:rFonts w:asciiTheme="minorHAnsi" w:hAnsiTheme="minorHAnsi"/>
          <w:sz w:val="22"/>
        </w:rPr>
        <w:t xml:space="preserve"> to the PSPs </w:t>
      </w:r>
      <w:r w:rsidR="00764240">
        <w:rPr>
          <w:rFonts w:asciiTheme="minorHAnsi" w:hAnsiTheme="minorHAnsi"/>
          <w:sz w:val="22"/>
        </w:rPr>
        <w:t>to strengthen support for the implementation of the integrated water management strategy.</w:t>
      </w:r>
    </w:p>
    <w:p w:rsidR="00220A10" w:rsidRDefault="00764240" w:rsidP="00A05FAA">
      <w:pPr>
        <w:keepNext/>
        <w:spacing w:after="120"/>
        <w:rPr>
          <w:rFonts w:asciiTheme="minorHAnsi" w:hAnsiTheme="minorHAnsi"/>
          <w:sz w:val="22"/>
        </w:rPr>
      </w:pPr>
      <w:r>
        <w:rPr>
          <w:rFonts w:asciiTheme="minorHAnsi" w:hAnsiTheme="minorHAnsi"/>
          <w:sz w:val="22"/>
        </w:rPr>
        <w:t xml:space="preserve">The VPA </w:t>
      </w:r>
      <w:r w:rsidR="00206DB1">
        <w:rPr>
          <w:rFonts w:asciiTheme="minorHAnsi" w:hAnsiTheme="minorHAnsi"/>
          <w:sz w:val="22"/>
        </w:rPr>
        <w:t>agrees with the recommendations in these submissions, which include:</w:t>
      </w:r>
      <w:r w:rsidR="003B2549">
        <w:rPr>
          <w:rFonts w:asciiTheme="minorHAnsi" w:hAnsiTheme="minorHAnsi"/>
          <w:sz w:val="22"/>
        </w:rPr>
        <w:t xml:space="preserve"> </w:t>
      </w:r>
    </w:p>
    <w:p w:rsidR="002378B7" w:rsidRDefault="00022CC2" w:rsidP="00A05FAA">
      <w:pPr>
        <w:pStyle w:val="ListParagraph"/>
        <w:keepNext/>
        <w:numPr>
          <w:ilvl w:val="0"/>
          <w:numId w:val="40"/>
        </w:numPr>
        <w:spacing w:after="120"/>
      </w:pPr>
      <w:r>
        <w:t xml:space="preserve">updating </w:t>
      </w:r>
      <w:r w:rsidR="00A14932">
        <w:t>Plan 11 (Integrated Water Management) in each PSP to reflect the indicative stormwater harvesting network);</w:t>
      </w:r>
    </w:p>
    <w:p w:rsidR="00356639" w:rsidRDefault="00356639" w:rsidP="00A05FAA">
      <w:pPr>
        <w:pStyle w:val="ListParagraph"/>
        <w:keepNext/>
        <w:spacing w:after="120"/>
      </w:pPr>
    </w:p>
    <w:p w:rsidR="00356639" w:rsidRDefault="00022CC2" w:rsidP="00A05FAA">
      <w:pPr>
        <w:pStyle w:val="ListParagraph"/>
        <w:keepNext/>
        <w:numPr>
          <w:ilvl w:val="0"/>
          <w:numId w:val="40"/>
        </w:numPr>
        <w:spacing w:after="120"/>
      </w:pPr>
      <w:r>
        <w:t>updating</w:t>
      </w:r>
      <w:r w:rsidR="00A14932">
        <w:t xml:space="preserve"> Requirement</w:t>
      </w:r>
      <w:r w:rsidR="002065B8">
        <w:t>s</w:t>
      </w:r>
      <w:r w:rsidR="00A14932">
        <w:t xml:space="preserve"> R</w:t>
      </w:r>
      <w:r w:rsidR="002065B8">
        <w:t xml:space="preserve">82 in the Sunbury South PSP and R78 in the Lancefield Road PSP </w:t>
      </w:r>
      <w:r w:rsidR="00356639">
        <w:t>to include the following additional point:</w:t>
      </w:r>
    </w:p>
    <w:p w:rsidR="00356639" w:rsidRDefault="00356639" w:rsidP="00A05FAA">
      <w:pPr>
        <w:pStyle w:val="ListParagraph"/>
        <w:keepNext/>
      </w:pPr>
    </w:p>
    <w:p w:rsidR="00356639" w:rsidRPr="00356639" w:rsidRDefault="00356639" w:rsidP="00356639">
      <w:pPr>
        <w:pStyle w:val="ListParagraph"/>
        <w:spacing w:after="120"/>
        <w:ind w:left="1418"/>
        <w:rPr>
          <w:i/>
        </w:rPr>
      </w:pPr>
      <w:r>
        <w:rPr>
          <w:i/>
        </w:rPr>
        <w:t xml:space="preserve">A Sunbury Integrated Water Management Plan is </w:t>
      </w:r>
      <w:r w:rsidR="000F4E95">
        <w:rPr>
          <w:i/>
        </w:rPr>
        <w:t>being developed by Western Water and Melbourne Water (the Approving Authorities).  The developer is responsible for completing an Integrated Water Management Plan that meets the objectives of the overall Sunbury Integrated Water Management Plan.</w:t>
      </w:r>
    </w:p>
    <w:p w:rsidR="00356639" w:rsidRDefault="00356639" w:rsidP="00356639">
      <w:pPr>
        <w:pStyle w:val="ListParagraph"/>
        <w:spacing w:after="120"/>
      </w:pPr>
    </w:p>
    <w:p w:rsidR="002378B7" w:rsidRDefault="00EF1A96" w:rsidP="003340E2">
      <w:pPr>
        <w:pStyle w:val="ListParagraph"/>
        <w:numPr>
          <w:ilvl w:val="0"/>
          <w:numId w:val="40"/>
        </w:numPr>
        <w:spacing w:after="120"/>
      </w:pPr>
      <w:r>
        <w:lastRenderedPageBreak/>
        <w:t>r</w:t>
      </w:r>
      <w:r w:rsidR="00022CC2">
        <w:t>eplacing</w:t>
      </w:r>
      <w:r>
        <w:t xml:space="preserve"> all references in the PSPs to ‘recycled water’ with ‘alternative water’; and</w:t>
      </w:r>
    </w:p>
    <w:p w:rsidR="00356639" w:rsidRDefault="00356639" w:rsidP="00356639">
      <w:pPr>
        <w:pStyle w:val="ListParagraph"/>
        <w:spacing w:after="120"/>
      </w:pPr>
    </w:p>
    <w:p w:rsidR="00022CC2" w:rsidRPr="002378B7" w:rsidRDefault="00022CC2" w:rsidP="003340E2">
      <w:pPr>
        <w:pStyle w:val="ListParagraph"/>
        <w:numPr>
          <w:ilvl w:val="0"/>
          <w:numId w:val="40"/>
        </w:numPr>
        <w:spacing w:after="120"/>
      </w:pPr>
      <w:r>
        <w:t xml:space="preserve">various </w:t>
      </w:r>
      <w:r w:rsidR="00EF1A96">
        <w:t>updates to the PSPs to emphasise the sensitivity of key waterways and tributaries and the need to protect these as part of development.</w:t>
      </w:r>
    </w:p>
    <w:p w:rsidR="00206DB1" w:rsidRDefault="00206DB1" w:rsidP="00CA2D32">
      <w:pPr>
        <w:spacing w:after="120"/>
        <w:rPr>
          <w:rFonts w:asciiTheme="minorHAnsi" w:hAnsiTheme="minorHAnsi"/>
          <w:sz w:val="22"/>
        </w:rPr>
      </w:pPr>
      <w:r>
        <w:rPr>
          <w:rFonts w:asciiTheme="minorHAnsi" w:hAnsiTheme="minorHAnsi"/>
          <w:sz w:val="22"/>
        </w:rPr>
        <w:t xml:space="preserve">There are no unresolved submissions </w:t>
      </w:r>
      <w:r w:rsidR="003071B3">
        <w:rPr>
          <w:rFonts w:asciiTheme="minorHAnsi" w:hAnsiTheme="minorHAnsi"/>
          <w:sz w:val="22"/>
        </w:rPr>
        <w:t>or matters in dispute between the VPA, Melbourne Water, Western Water and DELWP with respect to the Amendments.</w:t>
      </w:r>
    </w:p>
    <w:p w:rsidR="001C5FE9" w:rsidRPr="00024F84" w:rsidRDefault="001C5FE9" w:rsidP="00CA2D32">
      <w:pPr>
        <w:spacing w:after="120"/>
        <w:rPr>
          <w:rFonts w:asciiTheme="minorHAnsi" w:hAnsiTheme="minorHAnsi"/>
          <w:sz w:val="22"/>
        </w:rPr>
      </w:pPr>
    </w:p>
    <w:p w:rsidR="003F2ED5" w:rsidRPr="00024F84" w:rsidRDefault="003F2ED5" w:rsidP="00FC60A6">
      <w:pPr>
        <w:spacing w:after="120"/>
        <w:rPr>
          <w:rFonts w:asciiTheme="minorHAnsi" w:hAnsiTheme="minorHAnsi"/>
          <w:sz w:val="22"/>
        </w:rPr>
      </w:pPr>
    </w:p>
    <w:p w:rsidR="00FC60A6" w:rsidRPr="00024F84" w:rsidRDefault="00FC60A6" w:rsidP="00956508">
      <w:pPr>
        <w:rPr>
          <w:rFonts w:asciiTheme="minorHAnsi" w:hAnsiTheme="minorHAnsi"/>
          <w:b/>
          <w:lang w:eastAsia="en-US"/>
        </w:rPr>
      </w:pPr>
    </w:p>
    <w:p w:rsidR="00956508" w:rsidRPr="00024F84" w:rsidRDefault="00B6125B" w:rsidP="00956508">
      <w:pPr>
        <w:pStyle w:val="Heading1"/>
        <w:rPr>
          <w:rFonts w:asciiTheme="minorHAnsi" w:hAnsiTheme="minorHAnsi"/>
        </w:rPr>
      </w:pPr>
      <w:bookmarkStart w:id="13" w:name="_Toc491027650"/>
      <w:r w:rsidRPr="00024F84">
        <w:rPr>
          <w:rFonts w:asciiTheme="minorHAnsi" w:hAnsiTheme="minorHAnsi"/>
        </w:rPr>
        <w:lastRenderedPageBreak/>
        <w:t xml:space="preserve">Key issues raised </w:t>
      </w:r>
      <w:r w:rsidR="00214303">
        <w:rPr>
          <w:rFonts w:asciiTheme="minorHAnsi" w:hAnsiTheme="minorHAnsi"/>
        </w:rPr>
        <w:t>in submissions</w:t>
      </w:r>
      <w:bookmarkEnd w:id="13"/>
      <w:r w:rsidRPr="00024F84">
        <w:rPr>
          <w:rFonts w:asciiTheme="minorHAnsi" w:hAnsiTheme="minorHAnsi"/>
        </w:rPr>
        <w:t xml:space="preserve"> </w:t>
      </w:r>
    </w:p>
    <w:p w:rsidR="00956508" w:rsidRPr="00671B05" w:rsidRDefault="00F90DA7" w:rsidP="00956508">
      <w:pPr>
        <w:pStyle w:val="Heading2"/>
        <w:rPr>
          <w:rFonts w:asciiTheme="minorHAnsi" w:hAnsiTheme="minorHAnsi"/>
          <w:b/>
        </w:rPr>
      </w:pPr>
      <w:bookmarkStart w:id="14" w:name="_Toc491027651"/>
      <w:r w:rsidRPr="00671B05">
        <w:rPr>
          <w:rFonts w:asciiTheme="minorHAnsi" w:hAnsiTheme="minorHAnsi"/>
          <w:b/>
        </w:rPr>
        <w:t>Landfill buffer</w:t>
      </w:r>
      <w:bookmarkEnd w:id="14"/>
      <w:r w:rsidRPr="00671B05">
        <w:rPr>
          <w:rFonts w:asciiTheme="minorHAnsi" w:hAnsiTheme="minorHAnsi"/>
          <w:b/>
        </w:rPr>
        <w:t xml:space="preserve"> </w:t>
      </w:r>
    </w:p>
    <w:p w:rsidR="00951D7B" w:rsidRDefault="00951D7B" w:rsidP="00951D7B">
      <w:pPr>
        <w:rPr>
          <w:rFonts w:asciiTheme="minorHAnsi" w:hAnsiTheme="minorHAnsi"/>
          <w:i/>
          <w:sz w:val="22"/>
          <w:lang w:eastAsia="en-US"/>
        </w:rPr>
      </w:pPr>
      <w:r>
        <w:rPr>
          <w:rFonts w:asciiTheme="minorHAnsi" w:hAnsiTheme="minorHAnsi"/>
          <w:i/>
          <w:sz w:val="22"/>
          <w:lang w:eastAsia="en-US"/>
        </w:rPr>
        <w:t>Sunbury South PSP (C207) – Submission</w:t>
      </w:r>
      <w:r w:rsidR="00504FC1">
        <w:rPr>
          <w:rFonts w:asciiTheme="minorHAnsi" w:hAnsiTheme="minorHAnsi"/>
          <w:i/>
          <w:sz w:val="22"/>
          <w:lang w:eastAsia="en-US"/>
        </w:rPr>
        <w:t xml:space="preserve">s </w:t>
      </w:r>
      <w:r w:rsidR="00DE019B">
        <w:rPr>
          <w:rFonts w:asciiTheme="minorHAnsi" w:hAnsiTheme="minorHAnsi"/>
          <w:i/>
          <w:sz w:val="22"/>
          <w:lang w:eastAsia="en-US"/>
        </w:rPr>
        <w:t xml:space="preserve">33 (Sustainability Victoria); </w:t>
      </w:r>
      <w:r w:rsidR="002753DC">
        <w:rPr>
          <w:rFonts w:asciiTheme="minorHAnsi" w:hAnsiTheme="minorHAnsi"/>
          <w:i/>
          <w:sz w:val="22"/>
          <w:lang w:eastAsia="en-US"/>
        </w:rPr>
        <w:t xml:space="preserve">39 </w:t>
      </w:r>
      <w:r w:rsidR="004411C9">
        <w:rPr>
          <w:rFonts w:asciiTheme="minorHAnsi" w:hAnsiTheme="minorHAnsi"/>
          <w:i/>
          <w:sz w:val="22"/>
          <w:lang w:eastAsia="en-US"/>
        </w:rPr>
        <w:t>(J and L</w:t>
      </w:r>
      <w:r w:rsidR="002753DC">
        <w:rPr>
          <w:rFonts w:asciiTheme="minorHAnsi" w:hAnsiTheme="minorHAnsi"/>
          <w:i/>
          <w:sz w:val="22"/>
          <w:lang w:eastAsia="en-US"/>
        </w:rPr>
        <w:t xml:space="preserve"> Ware); </w:t>
      </w:r>
      <w:r w:rsidR="00504FC1">
        <w:rPr>
          <w:rFonts w:asciiTheme="minorHAnsi" w:hAnsiTheme="minorHAnsi"/>
          <w:i/>
          <w:sz w:val="22"/>
          <w:lang w:eastAsia="en-US"/>
        </w:rPr>
        <w:t>61 (Hi-Quality Quarry Products Pty Ltd</w:t>
      </w:r>
      <w:r w:rsidR="00693274">
        <w:rPr>
          <w:rFonts w:asciiTheme="minorHAnsi" w:hAnsiTheme="minorHAnsi"/>
          <w:i/>
          <w:sz w:val="22"/>
          <w:lang w:eastAsia="en-US"/>
        </w:rPr>
        <w:t xml:space="preserve"> and </w:t>
      </w:r>
      <w:proofErr w:type="spellStart"/>
      <w:r w:rsidR="00693274">
        <w:rPr>
          <w:rFonts w:asciiTheme="minorHAnsi" w:hAnsiTheme="minorHAnsi"/>
          <w:i/>
          <w:sz w:val="22"/>
          <w:lang w:eastAsia="en-US"/>
        </w:rPr>
        <w:t>Trantaret</w:t>
      </w:r>
      <w:proofErr w:type="spellEnd"/>
      <w:r w:rsidR="00693274">
        <w:rPr>
          <w:rFonts w:asciiTheme="minorHAnsi" w:hAnsiTheme="minorHAnsi"/>
          <w:i/>
          <w:sz w:val="22"/>
          <w:lang w:eastAsia="en-US"/>
        </w:rPr>
        <w:t xml:space="preserve"> Pty Ltd</w:t>
      </w:r>
      <w:r w:rsidR="00504FC1">
        <w:rPr>
          <w:rFonts w:asciiTheme="minorHAnsi" w:hAnsiTheme="minorHAnsi"/>
          <w:i/>
          <w:sz w:val="22"/>
          <w:lang w:eastAsia="en-US"/>
        </w:rPr>
        <w:t>);</w:t>
      </w:r>
      <w:r>
        <w:rPr>
          <w:rFonts w:asciiTheme="minorHAnsi" w:hAnsiTheme="minorHAnsi"/>
          <w:i/>
          <w:sz w:val="22"/>
          <w:lang w:eastAsia="en-US"/>
        </w:rPr>
        <w:t xml:space="preserve"> </w:t>
      </w:r>
      <w:r w:rsidR="00A81DFB">
        <w:rPr>
          <w:rFonts w:asciiTheme="minorHAnsi" w:hAnsiTheme="minorHAnsi"/>
          <w:i/>
          <w:sz w:val="22"/>
          <w:lang w:eastAsia="en-US"/>
        </w:rPr>
        <w:t xml:space="preserve">69 (Metropolitan Waste and Resource Recovery Group); </w:t>
      </w:r>
      <w:r>
        <w:rPr>
          <w:rFonts w:asciiTheme="minorHAnsi" w:hAnsiTheme="minorHAnsi"/>
          <w:i/>
          <w:sz w:val="22"/>
          <w:lang w:eastAsia="en-US"/>
        </w:rPr>
        <w:t>82 (Environment Protection Authority)</w:t>
      </w:r>
    </w:p>
    <w:p w:rsidR="00951D7B" w:rsidRDefault="00951D7B" w:rsidP="00951D7B">
      <w:pPr>
        <w:rPr>
          <w:rFonts w:asciiTheme="minorHAnsi" w:hAnsiTheme="minorHAnsi"/>
          <w:i/>
          <w:sz w:val="22"/>
          <w:lang w:eastAsia="en-US"/>
        </w:rPr>
      </w:pPr>
      <w:r>
        <w:rPr>
          <w:rFonts w:asciiTheme="minorHAnsi" w:hAnsiTheme="minorHAnsi"/>
          <w:i/>
          <w:sz w:val="22"/>
          <w:lang w:eastAsia="en-US"/>
        </w:rPr>
        <w:t>Lancefield Road PSP (C208) – Submission</w:t>
      </w:r>
      <w:r w:rsidR="00DE019B">
        <w:rPr>
          <w:rFonts w:asciiTheme="minorHAnsi" w:hAnsiTheme="minorHAnsi"/>
          <w:i/>
          <w:sz w:val="22"/>
          <w:lang w:eastAsia="en-US"/>
        </w:rPr>
        <w:t>s 35 (Sustainability Victoria);</w:t>
      </w:r>
      <w:r>
        <w:rPr>
          <w:rFonts w:asciiTheme="minorHAnsi" w:hAnsiTheme="minorHAnsi"/>
          <w:i/>
          <w:sz w:val="22"/>
          <w:lang w:eastAsia="en-US"/>
        </w:rPr>
        <w:t xml:space="preserve"> 83 (Environment Protection Authority)</w:t>
      </w:r>
    </w:p>
    <w:p w:rsidR="000D07F3" w:rsidRPr="00315E22" w:rsidRDefault="00AE5596" w:rsidP="000D07F3">
      <w:pPr>
        <w:pStyle w:val="Heading3"/>
        <w:rPr>
          <w:rFonts w:asciiTheme="minorHAnsi" w:hAnsiTheme="minorHAnsi"/>
          <w:b/>
        </w:rPr>
      </w:pPr>
      <w:r>
        <w:rPr>
          <w:rFonts w:asciiTheme="minorHAnsi" w:hAnsiTheme="minorHAnsi"/>
          <w:b/>
        </w:rPr>
        <w:t xml:space="preserve">Background </w:t>
      </w:r>
    </w:p>
    <w:p w:rsidR="00900875" w:rsidRDefault="00FE2521" w:rsidP="006704B1">
      <w:pPr>
        <w:rPr>
          <w:rFonts w:asciiTheme="minorHAnsi" w:hAnsiTheme="minorHAnsi"/>
          <w:sz w:val="22"/>
          <w:szCs w:val="22"/>
          <w:lang w:eastAsia="en-US"/>
        </w:rPr>
      </w:pPr>
      <w:r>
        <w:rPr>
          <w:rFonts w:asciiTheme="minorHAnsi" w:hAnsiTheme="minorHAnsi"/>
          <w:sz w:val="22"/>
          <w:szCs w:val="22"/>
          <w:lang w:eastAsia="en-US"/>
        </w:rPr>
        <w:t xml:space="preserve">The </w:t>
      </w:r>
      <w:r w:rsidR="000D07F3">
        <w:rPr>
          <w:rFonts w:asciiTheme="minorHAnsi" w:hAnsiTheme="minorHAnsi"/>
          <w:sz w:val="22"/>
          <w:szCs w:val="22"/>
          <w:lang w:eastAsia="en-US"/>
        </w:rPr>
        <w:t xml:space="preserve">Sunbury South </w:t>
      </w:r>
      <w:r w:rsidR="00681228">
        <w:rPr>
          <w:rFonts w:asciiTheme="minorHAnsi" w:hAnsiTheme="minorHAnsi"/>
          <w:sz w:val="22"/>
          <w:szCs w:val="22"/>
          <w:lang w:eastAsia="en-US"/>
        </w:rPr>
        <w:t xml:space="preserve">PSP </w:t>
      </w:r>
      <w:r w:rsidR="00CB35EE">
        <w:rPr>
          <w:rFonts w:asciiTheme="minorHAnsi" w:hAnsiTheme="minorHAnsi"/>
          <w:sz w:val="22"/>
          <w:szCs w:val="22"/>
          <w:lang w:eastAsia="en-US"/>
        </w:rPr>
        <w:t xml:space="preserve">includes </w:t>
      </w:r>
      <w:r w:rsidR="00C04201">
        <w:rPr>
          <w:rFonts w:asciiTheme="minorHAnsi" w:hAnsiTheme="minorHAnsi"/>
          <w:sz w:val="22"/>
          <w:szCs w:val="22"/>
          <w:lang w:eastAsia="en-US"/>
        </w:rPr>
        <w:t>existing</w:t>
      </w:r>
      <w:r w:rsidR="00CB35EE">
        <w:rPr>
          <w:rFonts w:asciiTheme="minorHAnsi" w:hAnsiTheme="minorHAnsi"/>
          <w:sz w:val="22"/>
          <w:szCs w:val="22"/>
          <w:lang w:eastAsia="en-US"/>
        </w:rPr>
        <w:t xml:space="preserve"> quarry,</w:t>
      </w:r>
      <w:r w:rsidR="00C04201">
        <w:rPr>
          <w:rFonts w:asciiTheme="minorHAnsi" w:hAnsiTheme="minorHAnsi"/>
          <w:sz w:val="22"/>
          <w:szCs w:val="22"/>
          <w:lang w:eastAsia="en-US"/>
        </w:rPr>
        <w:t xml:space="preserve"> </w:t>
      </w:r>
      <w:r w:rsidR="00A5423E">
        <w:rPr>
          <w:rFonts w:asciiTheme="minorHAnsi" w:hAnsiTheme="minorHAnsi"/>
          <w:sz w:val="22"/>
          <w:szCs w:val="22"/>
          <w:lang w:eastAsia="en-US"/>
        </w:rPr>
        <w:t>landfill</w:t>
      </w:r>
      <w:r w:rsidR="00CB35EE">
        <w:rPr>
          <w:rFonts w:asciiTheme="minorHAnsi" w:hAnsiTheme="minorHAnsi"/>
          <w:sz w:val="22"/>
          <w:szCs w:val="22"/>
          <w:lang w:eastAsia="en-US"/>
        </w:rPr>
        <w:t xml:space="preserve"> and composting facilities</w:t>
      </w:r>
      <w:r w:rsidR="00601DA0">
        <w:rPr>
          <w:rFonts w:asciiTheme="minorHAnsi" w:hAnsiTheme="minorHAnsi"/>
          <w:sz w:val="22"/>
          <w:szCs w:val="22"/>
          <w:lang w:eastAsia="en-US"/>
        </w:rPr>
        <w:t xml:space="preserve"> within its boundary, </w:t>
      </w:r>
      <w:r w:rsidR="0026452E">
        <w:rPr>
          <w:rFonts w:asciiTheme="minorHAnsi" w:hAnsiTheme="minorHAnsi"/>
          <w:sz w:val="22"/>
          <w:szCs w:val="22"/>
          <w:lang w:eastAsia="en-US"/>
        </w:rPr>
        <w:t>in the north-east of precinct.</w:t>
      </w:r>
      <w:r w:rsidR="00CB35EE">
        <w:rPr>
          <w:rFonts w:asciiTheme="minorHAnsi" w:hAnsiTheme="minorHAnsi"/>
          <w:sz w:val="22"/>
          <w:szCs w:val="22"/>
          <w:lang w:eastAsia="en-US"/>
        </w:rPr>
        <w:t xml:space="preserve">  </w:t>
      </w:r>
    </w:p>
    <w:p w:rsidR="00FF4227" w:rsidRDefault="00C96639" w:rsidP="006704B1">
      <w:pPr>
        <w:rPr>
          <w:rFonts w:asciiTheme="minorHAnsi" w:hAnsiTheme="minorHAnsi"/>
          <w:sz w:val="22"/>
          <w:szCs w:val="22"/>
          <w:lang w:eastAsia="en-US"/>
        </w:rPr>
      </w:pPr>
      <w:r>
        <w:rPr>
          <w:rFonts w:asciiTheme="minorHAnsi" w:hAnsiTheme="minorHAnsi"/>
          <w:sz w:val="22"/>
          <w:szCs w:val="22"/>
          <w:lang w:eastAsia="en-US"/>
        </w:rPr>
        <w:t xml:space="preserve">The </w:t>
      </w:r>
      <w:r w:rsidR="005D6884">
        <w:rPr>
          <w:rFonts w:asciiTheme="minorHAnsi" w:hAnsiTheme="minorHAnsi"/>
          <w:sz w:val="22"/>
          <w:szCs w:val="22"/>
          <w:lang w:eastAsia="en-US"/>
        </w:rPr>
        <w:t xml:space="preserve">facilities are </w:t>
      </w:r>
      <w:r w:rsidR="00C623FF">
        <w:rPr>
          <w:rFonts w:asciiTheme="minorHAnsi" w:hAnsiTheme="minorHAnsi"/>
          <w:sz w:val="22"/>
          <w:szCs w:val="22"/>
          <w:lang w:eastAsia="en-US"/>
        </w:rPr>
        <w:t xml:space="preserve">located at </w:t>
      </w:r>
      <w:r w:rsidR="006800CC">
        <w:rPr>
          <w:rFonts w:asciiTheme="minorHAnsi" w:hAnsiTheme="minorHAnsi"/>
          <w:sz w:val="22"/>
          <w:szCs w:val="22"/>
          <w:lang w:eastAsia="en-US"/>
        </w:rPr>
        <w:t>570</w:t>
      </w:r>
      <w:r w:rsidR="001D5800">
        <w:rPr>
          <w:rFonts w:asciiTheme="minorHAnsi" w:hAnsiTheme="minorHAnsi"/>
          <w:sz w:val="22"/>
          <w:szCs w:val="22"/>
          <w:lang w:eastAsia="en-US"/>
        </w:rPr>
        <w:t xml:space="preserve"> </w:t>
      </w:r>
      <w:r w:rsidR="00C623FF">
        <w:rPr>
          <w:rFonts w:asciiTheme="minorHAnsi" w:hAnsiTheme="minorHAnsi"/>
          <w:sz w:val="22"/>
          <w:szCs w:val="22"/>
          <w:lang w:eastAsia="en-US"/>
        </w:rPr>
        <w:t>Sunbury Road, Bulla</w:t>
      </w:r>
      <w:r w:rsidR="005D6884">
        <w:rPr>
          <w:rFonts w:asciiTheme="minorHAnsi" w:hAnsiTheme="minorHAnsi"/>
          <w:sz w:val="22"/>
          <w:szCs w:val="22"/>
          <w:lang w:eastAsia="en-US"/>
        </w:rPr>
        <w:t>,</w:t>
      </w:r>
      <w:r w:rsidR="000F3316">
        <w:rPr>
          <w:rStyle w:val="FootnoteReference"/>
          <w:rFonts w:asciiTheme="minorHAnsi" w:hAnsiTheme="minorHAnsi"/>
          <w:sz w:val="22"/>
          <w:szCs w:val="22"/>
          <w:lang w:eastAsia="en-US"/>
        </w:rPr>
        <w:footnoteReference w:id="39"/>
      </w:r>
      <w:r w:rsidR="005D6884">
        <w:rPr>
          <w:rFonts w:asciiTheme="minorHAnsi" w:hAnsiTheme="minorHAnsi"/>
          <w:sz w:val="22"/>
          <w:szCs w:val="22"/>
          <w:lang w:eastAsia="en-US"/>
        </w:rPr>
        <w:t xml:space="preserve"> which is </w:t>
      </w:r>
      <w:r>
        <w:rPr>
          <w:rFonts w:asciiTheme="minorHAnsi" w:hAnsiTheme="minorHAnsi"/>
          <w:sz w:val="22"/>
          <w:szCs w:val="22"/>
          <w:lang w:eastAsia="en-US"/>
        </w:rPr>
        <w:t>owned by Hi-Quality Quarry Products Pty Ltd (</w:t>
      </w:r>
      <w:r>
        <w:rPr>
          <w:rFonts w:asciiTheme="minorHAnsi" w:hAnsiTheme="minorHAnsi"/>
          <w:b/>
          <w:sz w:val="22"/>
          <w:szCs w:val="22"/>
          <w:lang w:eastAsia="en-US"/>
        </w:rPr>
        <w:t>Hi-Quality</w:t>
      </w:r>
      <w:r>
        <w:rPr>
          <w:rFonts w:asciiTheme="minorHAnsi" w:hAnsiTheme="minorHAnsi"/>
          <w:sz w:val="22"/>
          <w:szCs w:val="22"/>
          <w:lang w:eastAsia="en-US"/>
        </w:rPr>
        <w:t>)</w:t>
      </w:r>
      <w:r w:rsidR="00181E7F">
        <w:rPr>
          <w:rFonts w:asciiTheme="minorHAnsi" w:hAnsiTheme="minorHAnsi"/>
          <w:sz w:val="22"/>
          <w:szCs w:val="22"/>
          <w:lang w:eastAsia="en-US"/>
        </w:rPr>
        <w:t>.</w:t>
      </w:r>
      <w:r w:rsidR="005D6884">
        <w:rPr>
          <w:rFonts w:asciiTheme="minorHAnsi" w:hAnsiTheme="minorHAnsi"/>
          <w:sz w:val="22"/>
          <w:szCs w:val="22"/>
          <w:lang w:eastAsia="en-US"/>
        </w:rPr>
        <w:t xml:space="preserve">  </w:t>
      </w:r>
      <w:r w:rsidR="0086250B">
        <w:rPr>
          <w:rFonts w:asciiTheme="minorHAnsi" w:hAnsiTheme="minorHAnsi"/>
          <w:sz w:val="22"/>
          <w:szCs w:val="22"/>
          <w:lang w:eastAsia="en-US"/>
        </w:rPr>
        <w:t>Hi-Quality also operates the landfill and quarry.  The quarry and composting facilities are discussed further below in this submission.</w:t>
      </w:r>
      <w:r w:rsidR="005D6884">
        <w:rPr>
          <w:rFonts w:asciiTheme="minorHAnsi" w:hAnsiTheme="minorHAnsi"/>
          <w:sz w:val="22"/>
          <w:szCs w:val="22"/>
          <w:lang w:eastAsia="en-US"/>
        </w:rPr>
        <w:t xml:space="preserve"> </w:t>
      </w:r>
      <w:r w:rsidR="00770752">
        <w:rPr>
          <w:rFonts w:asciiTheme="minorHAnsi" w:hAnsiTheme="minorHAnsi"/>
          <w:sz w:val="22"/>
          <w:szCs w:val="22"/>
          <w:lang w:eastAsia="en-US"/>
        </w:rPr>
        <w:t xml:space="preserve"> </w:t>
      </w:r>
    </w:p>
    <w:p w:rsidR="00770752" w:rsidRDefault="00770752" w:rsidP="006704B1">
      <w:pPr>
        <w:rPr>
          <w:rFonts w:asciiTheme="minorHAnsi" w:hAnsiTheme="minorHAnsi"/>
          <w:sz w:val="22"/>
          <w:szCs w:val="22"/>
          <w:lang w:eastAsia="en-US"/>
        </w:rPr>
      </w:pPr>
      <w:r>
        <w:rPr>
          <w:rFonts w:asciiTheme="minorHAnsi" w:hAnsiTheme="minorHAnsi"/>
          <w:sz w:val="22"/>
          <w:szCs w:val="22"/>
          <w:lang w:eastAsia="en-US"/>
        </w:rPr>
        <w:t xml:space="preserve">The </w:t>
      </w:r>
      <w:r w:rsidR="008D0D6E">
        <w:rPr>
          <w:rFonts w:asciiTheme="minorHAnsi" w:hAnsiTheme="minorHAnsi"/>
          <w:sz w:val="22"/>
          <w:szCs w:val="22"/>
          <w:lang w:eastAsia="en-US"/>
        </w:rPr>
        <w:t>location of the current and proposed landfill cells in relation to</w:t>
      </w:r>
      <w:r>
        <w:rPr>
          <w:rFonts w:asciiTheme="minorHAnsi" w:hAnsiTheme="minorHAnsi"/>
          <w:sz w:val="22"/>
          <w:szCs w:val="22"/>
          <w:lang w:eastAsia="en-US"/>
        </w:rPr>
        <w:t xml:space="preserve"> the PSP area </w:t>
      </w:r>
      <w:r w:rsidR="008D0D6E">
        <w:rPr>
          <w:rFonts w:asciiTheme="minorHAnsi" w:hAnsiTheme="minorHAnsi"/>
          <w:sz w:val="22"/>
          <w:szCs w:val="22"/>
          <w:lang w:eastAsia="en-US"/>
        </w:rPr>
        <w:t xml:space="preserve">is shown </w:t>
      </w:r>
      <w:r w:rsidR="001B1358">
        <w:rPr>
          <w:rFonts w:asciiTheme="minorHAnsi" w:hAnsiTheme="minorHAnsi"/>
          <w:sz w:val="22"/>
          <w:szCs w:val="22"/>
          <w:lang w:eastAsia="en-US"/>
        </w:rPr>
        <w:t xml:space="preserve">on Figure 2 </w:t>
      </w:r>
      <w:r w:rsidR="00447CC7">
        <w:rPr>
          <w:rFonts w:asciiTheme="minorHAnsi" w:hAnsiTheme="minorHAnsi"/>
          <w:sz w:val="22"/>
          <w:szCs w:val="22"/>
          <w:lang w:eastAsia="en-US"/>
        </w:rPr>
        <w:t>in</w:t>
      </w:r>
      <w:r>
        <w:rPr>
          <w:rFonts w:asciiTheme="minorHAnsi" w:hAnsiTheme="minorHAnsi"/>
          <w:sz w:val="22"/>
          <w:szCs w:val="22"/>
          <w:lang w:eastAsia="en-US"/>
        </w:rPr>
        <w:t xml:space="preserve"> Mr Ramsay’s</w:t>
      </w:r>
      <w:r w:rsidR="00BE5095">
        <w:rPr>
          <w:rFonts w:asciiTheme="minorHAnsi" w:hAnsiTheme="minorHAnsi"/>
          <w:sz w:val="22"/>
          <w:szCs w:val="22"/>
          <w:lang w:eastAsia="en-US"/>
        </w:rPr>
        <w:t xml:space="preserve"> expert w</w:t>
      </w:r>
      <w:r w:rsidR="00C30B95">
        <w:rPr>
          <w:rFonts w:asciiTheme="minorHAnsi" w:hAnsiTheme="minorHAnsi"/>
          <w:sz w:val="22"/>
          <w:szCs w:val="22"/>
          <w:lang w:eastAsia="en-US"/>
        </w:rPr>
        <w:t>itness report</w:t>
      </w:r>
      <w:r>
        <w:rPr>
          <w:rFonts w:asciiTheme="minorHAnsi" w:hAnsiTheme="minorHAnsi"/>
          <w:sz w:val="22"/>
          <w:szCs w:val="22"/>
          <w:lang w:eastAsia="en-US"/>
        </w:rPr>
        <w:t>, part of which is extracted below:</w:t>
      </w:r>
    </w:p>
    <w:p w:rsidR="00BE5095" w:rsidRDefault="00770752" w:rsidP="001E7513">
      <w:r>
        <w:rPr>
          <w:noProof/>
        </w:rPr>
        <w:lastRenderedPageBreak/>
        <w:drawing>
          <wp:inline distT="0" distB="0" distL="0" distR="0" wp14:anchorId="719FE08E" wp14:editId="1D76A46B">
            <wp:extent cx="5543258" cy="338137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75281" cy="3400909"/>
                    </a:xfrm>
                    <a:prstGeom prst="rect">
                      <a:avLst/>
                    </a:prstGeom>
                  </pic:spPr>
                </pic:pic>
              </a:graphicData>
            </a:graphic>
          </wp:inline>
        </w:drawing>
      </w:r>
    </w:p>
    <w:p w:rsidR="00770752" w:rsidRPr="00F933DB" w:rsidRDefault="00BE5095" w:rsidP="001E7513">
      <w:pPr>
        <w:pStyle w:val="Caption"/>
        <w:keepNext w:val="0"/>
        <w:rPr>
          <w:rFonts w:asciiTheme="minorHAnsi" w:hAnsiTheme="minorHAnsi" w:cstheme="minorHAnsi"/>
          <w:color w:val="auto"/>
          <w:sz w:val="22"/>
          <w:szCs w:val="22"/>
          <w:lang w:eastAsia="en-US"/>
        </w:rPr>
      </w:pPr>
      <w:r w:rsidRPr="00F933DB">
        <w:rPr>
          <w:rFonts w:asciiTheme="minorHAnsi" w:hAnsiTheme="minorHAnsi" w:cstheme="minorHAnsi"/>
          <w:color w:val="auto"/>
        </w:rPr>
        <w:t xml:space="preserve">Figure </w:t>
      </w:r>
      <w:r w:rsidRPr="00F933DB">
        <w:rPr>
          <w:rFonts w:asciiTheme="minorHAnsi" w:hAnsiTheme="minorHAnsi" w:cstheme="minorHAnsi"/>
          <w:color w:val="auto"/>
        </w:rPr>
        <w:fldChar w:fldCharType="begin"/>
      </w:r>
      <w:r w:rsidRPr="00F933DB">
        <w:rPr>
          <w:rFonts w:asciiTheme="minorHAnsi" w:hAnsiTheme="minorHAnsi" w:cstheme="minorHAnsi"/>
          <w:color w:val="auto"/>
        </w:rPr>
        <w:instrText xml:space="preserve"> SEQ Figure \* ARABIC </w:instrText>
      </w:r>
      <w:r w:rsidRPr="00F933DB">
        <w:rPr>
          <w:rFonts w:asciiTheme="minorHAnsi" w:hAnsiTheme="minorHAnsi" w:cstheme="minorHAnsi"/>
          <w:color w:val="auto"/>
        </w:rPr>
        <w:fldChar w:fldCharType="separate"/>
      </w:r>
      <w:r w:rsidR="00AE1A69">
        <w:rPr>
          <w:rFonts w:asciiTheme="minorHAnsi" w:hAnsiTheme="minorHAnsi" w:cstheme="minorHAnsi"/>
          <w:noProof/>
          <w:color w:val="auto"/>
        </w:rPr>
        <w:t>3</w:t>
      </w:r>
      <w:r w:rsidRPr="00F933DB">
        <w:rPr>
          <w:rFonts w:asciiTheme="minorHAnsi" w:hAnsiTheme="minorHAnsi" w:cstheme="minorHAnsi"/>
          <w:color w:val="auto"/>
        </w:rPr>
        <w:fldChar w:fldCharType="end"/>
      </w:r>
      <w:r w:rsidRPr="00F933DB">
        <w:rPr>
          <w:rFonts w:asciiTheme="minorHAnsi" w:hAnsiTheme="minorHAnsi" w:cstheme="minorHAnsi"/>
          <w:color w:val="auto"/>
        </w:rPr>
        <w:t>: approximate locations of the landfill and composting facilities</w:t>
      </w:r>
      <w:r w:rsidR="001E7513">
        <w:rPr>
          <w:rFonts w:asciiTheme="minorHAnsi" w:hAnsiTheme="minorHAnsi" w:cstheme="minorHAnsi"/>
          <w:color w:val="auto"/>
        </w:rPr>
        <w:t xml:space="preserve"> (extract from</w:t>
      </w:r>
      <w:r w:rsidRPr="00F933DB">
        <w:rPr>
          <w:rFonts w:asciiTheme="minorHAnsi" w:hAnsiTheme="minorHAnsi" w:cstheme="minorHAnsi"/>
          <w:color w:val="auto"/>
        </w:rPr>
        <w:t xml:space="preserve"> Figure 2 in Mr Ramsay's </w:t>
      </w:r>
      <w:r w:rsidR="001E7513">
        <w:rPr>
          <w:rFonts w:asciiTheme="minorHAnsi" w:hAnsiTheme="minorHAnsi" w:cstheme="minorHAnsi"/>
          <w:color w:val="auto"/>
        </w:rPr>
        <w:t>expert witness report)</w:t>
      </w:r>
    </w:p>
    <w:p w:rsidR="00C623FF" w:rsidRDefault="00C623FF" w:rsidP="001E7513">
      <w:pPr>
        <w:rPr>
          <w:rFonts w:asciiTheme="minorHAnsi" w:hAnsiTheme="minorHAnsi"/>
          <w:sz w:val="22"/>
          <w:szCs w:val="22"/>
          <w:lang w:eastAsia="en-US"/>
        </w:rPr>
      </w:pPr>
      <w:r>
        <w:rPr>
          <w:rFonts w:asciiTheme="minorHAnsi" w:hAnsiTheme="minorHAnsi"/>
          <w:sz w:val="22"/>
          <w:szCs w:val="22"/>
          <w:lang w:eastAsia="en-US"/>
        </w:rPr>
        <w:t xml:space="preserve">The </w:t>
      </w:r>
      <w:r w:rsidR="006E46C1">
        <w:rPr>
          <w:rFonts w:asciiTheme="minorHAnsi" w:hAnsiTheme="minorHAnsi"/>
          <w:sz w:val="22"/>
          <w:szCs w:val="22"/>
          <w:lang w:eastAsia="en-US"/>
        </w:rPr>
        <w:t xml:space="preserve">landfill is subject to </w:t>
      </w:r>
      <w:r w:rsidR="0085192F">
        <w:rPr>
          <w:rFonts w:asciiTheme="minorHAnsi" w:hAnsiTheme="minorHAnsi"/>
          <w:sz w:val="22"/>
          <w:szCs w:val="22"/>
          <w:lang w:eastAsia="en-US"/>
        </w:rPr>
        <w:t>EPA Licence No. 45279, which has the following description:</w:t>
      </w:r>
      <w:r w:rsidR="0015321B">
        <w:rPr>
          <w:rStyle w:val="FootnoteReference"/>
          <w:rFonts w:asciiTheme="minorHAnsi" w:hAnsiTheme="minorHAnsi"/>
          <w:sz w:val="22"/>
          <w:szCs w:val="22"/>
          <w:lang w:eastAsia="en-US"/>
        </w:rPr>
        <w:footnoteReference w:id="40"/>
      </w:r>
    </w:p>
    <w:p w:rsidR="0085192F" w:rsidRPr="0085192F" w:rsidRDefault="0085192F" w:rsidP="0085192F">
      <w:pPr>
        <w:ind w:left="709"/>
        <w:rPr>
          <w:rFonts w:asciiTheme="minorHAnsi" w:hAnsiTheme="minorHAnsi"/>
          <w:i/>
          <w:sz w:val="22"/>
          <w:szCs w:val="22"/>
          <w:lang w:eastAsia="en-US"/>
        </w:rPr>
      </w:pPr>
      <w:r>
        <w:rPr>
          <w:rFonts w:asciiTheme="minorHAnsi" w:hAnsiTheme="minorHAnsi"/>
          <w:i/>
          <w:sz w:val="22"/>
          <w:szCs w:val="22"/>
          <w:lang w:eastAsia="en-US"/>
        </w:rPr>
        <w:t xml:space="preserve">The licence allows for </w:t>
      </w:r>
      <w:r w:rsidR="00931047">
        <w:rPr>
          <w:rFonts w:asciiTheme="minorHAnsi" w:hAnsiTheme="minorHAnsi"/>
          <w:i/>
          <w:sz w:val="22"/>
          <w:szCs w:val="22"/>
          <w:lang w:eastAsia="en-US"/>
        </w:rPr>
        <w:t>prescribed industrial waste (Category C drilling mud, Category C soil, asbestos and materials with polychlorinated biphenyls) and solid inert waste to be deposited to land.</w:t>
      </w:r>
    </w:p>
    <w:p w:rsidR="000B2D05" w:rsidRDefault="000636B8" w:rsidP="004024FA">
      <w:pPr>
        <w:rPr>
          <w:rFonts w:asciiTheme="minorHAnsi" w:hAnsiTheme="minorHAnsi"/>
          <w:sz w:val="22"/>
          <w:szCs w:val="22"/>
          <w:lang w:eastAsia="en-US"/>
        </w:rPr>
      </w:pPr>
      <w:r>
        <w:rPr>
          <w:rFonts w:asciiTheme="minorHAnsi" w:hAnsiTheme="minorHAnsi"/>
          <w:sz w:val="22"/>
          <w:szCs w:val="22"/>
          <w:lang w:eastAsia="en-US"/>
        </w:rPr>
        <w:t xml:space="preserve">The landfill is identified in the </w:t>
      </w:r>
      <w:proofErr w:type="spellStart"/>
      <w:r>
        <w:rPr>
          <w:rFonts w:asciiTheme="minorHAnsi" w:hAnsiTheme="minorHAnsi"/>
          <w:i/>
          <w:sz w:val="22"/>
          <w:szCs w:val="22"/>
          <w:lang w:eastAsia="en-US"/>
        </w:rPr>
        <w:t>Statewide</w:t>
      </w:r>
      <w:proofErr w:type="spellEnd"/>
      <w:r>
        <w:rPr>
          <w:rFonts w:asciiTheme="minorHAnsi" w:hAnsiTheme="minorHAnsi"/>
          <w:i/>
          <w:sz w:val="22"/>
          <w:szCs w:val="22"/>
          <w:lang w:eastAsia="en-US"/>
        </w:rPr>
        <w:t xml:space="preserve"> Waste and </w:t>
      </w:r>
      <w:r w:rsidR="003C43E6">
        <w:rPr>
          <w:rFonts w:asciiTheme="minorHAnsi" w:hAnsiTheme="minorHAnsi"/>
          <w:i/>
          <w:sz w:val="22"/>
          <w:szCs w:val="22"/>
          <w:lang w:eastAsia="en-US"/>
        </w:rPr>
        <w:t>Resource Recovery Infrastructure Plan Victoria 2015-44</w:t>
      </w:r>
      <w:r w:rsidR="00966B04">
        <w:rPr>
          <w:rFonts w:asciiTheme="minorHAnsi" w:hAnsiTheme="minorHAnsi"/>
          <w:i/>
          <w:sz w:val="22"/>
          <w:szCs w:val="22"/>
          <w:lang w:eastAsia="en-US"/>
        </w:rPr>
        <w:t xml:space="preserve"> </w:t>
      </w:r>
      <w:r w:rsidR="00966B04">
        <w:rPr>
          <w:rFonts w:asciiTheme="minorHAnsi" w:hAnsiTheme="minorHAnsi"/>
          <w:sz w:val="22"/>
          <w:szCs w:val="22"/>
          <w:lang w:eastAsia="en-US"/>
        </w:rPr>
        <w:t>(</w:t>
      </w:r>
      <w:r w:rsidR="00966B04">
        <w:rPr>
          <w:rFonts w:asciiTheme="minorHAnsi" w:hAnsiTheme="minorHAnsi"/>
          <w:b/>
          <w:sz w:val="22"/>
          <w:szCs w:val="22"/>
          <w:lang w:eastAsia="en-US"/>
        </w:rPr>
        <w:t>SWRRIP</w:t>
      </w:r>
      <w:r w:rsidR="00966B04">
        <w:rPr>
          <w:rFonts w:asciiTheme="minorHAnsi" w:hAnsiTheme="minorHAnsi"/>
          <w:sz w:val="22"/>
          <w:szCs w:val="22"/>
          <w:lang w:eastAsia="en-US"/>
        </w:rPr>
        <w:t>)</w:t>
      </w:r>
      <w:r w:rsidR="000B2D05">
        <w:rPr>
          <w:rFonts w:asciiTheme="minorHAnsi" w:hAnsiTheme="minorHAnsi"/>
          <w:sz w:val="22"/>
          <w:szCs w:val="22"/>
          <w:lang w:eastAsia="en-US"/>
        </w:rPr>
        <w:t>.</w:t>
      </w:r>
      <w:r w:rsidR="003C43E6">
        <w:rPr>
          <w:rStyle w:val="FootnoteReference"/>
          <w:rFonts w:asciiTheme="minorHAnsi" w:hAnsiTheme="minorHAnsi"/>
          <w:sz w:val="22"/>
          <w:szCs w:val="22"/>
          <w:lang w:eastAsia="en-US"/>
        </w:rPr>
        <w:footnoteReference w:id="41"/>
      </w:r>
      <w:r w:rsidR="000B2D05">
        <w:rPr>
          <w:rFonts w:asciiTheme="minorHAnsi" w:hAnsiTheme="minorHAnsi"/>
          <w:sz w:val="22"/>
          <w:szCs w:val="22"/>
          <w:lang w:eastAsia="en-US"/>
        </w:rPr>
        <w:t xml:space="preserve">  The SWRRIP includes the landfill in </w:t>
      </w:r>
      <w:r w:rsidR="00FD048C">
        <w:rPr>
          <w:rFonts w:asciiTheme="minorHAnsi" w:hAnsiTheme="minorHAnsi"/>
          <w:sz w:val="22"/>
          <w:szCs w:val="22"/>
          <w:lang w:eastAsia="en-US"/>
        </w:rPr>
        <w:t xml:space="preserve">Table 7.10 (Operating landfills in the Metropolitan WRR Region), which describes the wastes it accepts as ‘solid inert’ and its anticipated close date as </w:t>
      </w:r>
      <w:r w:rsidR="001D29F7">
        <w:rPr>
          <w:rFonts w:asciiTheme="minorHAnsi" w:hAnsiTheme="minorHAnsi"/>
          <w:sz w:val="22"/>
          <w:szCs w:val="22"/>
          <w:lang w:eastAsia="en-US"/>
        </w:rPr>
        <w:t>2020.</w:t>
      </w:r>
      <w:r w:rsidR="004C48E6">
        <w:rPr>
          <w:rStyle w:val="FootnoteReference"/>
          <w:rFonts w:asciiTheme="minorHAnsi" w:hAnsiTheme="minorHAnsi"/>
          <w:sz w:val="22"/>
          <w:szCs w:val="22"/>
          <w:lang w:eastAsia="en-US"/>
        </w:rPr>
        <w:footnoteReference w:id="42"/>
      </w:r>
      <w:r w:rsidR="001D29F7">
        <w:rPr>
          <w:rFonts w:asciiTheme="minorHAnsi" w:hAnsiTheme="minorHAnsi"/>
          <w:sz w:val="22"/>
          <w:szCs w:val="22"/>
          <w:lang w:eastAsia="en-US"/>
        </w:rPr>
        <w:t xml:space="preserve">  The table includes a note that ‘Category C soils and PIW are outside the scope of the SWRRIP’.</w:t>
      </w:r>
      <w:r w:rsidR="00FD048C">
        <w:rPr>
          <w:rFonts w:asciiTheme="minorHAnsi" w:hAnsiTheme="minorHAnsi"/>
          <w:sz w:val="22"/>
          <w:szCs w:val="22"/>
          <w:lang w:eastAsia="en-US"/>
        </w:rPr>
        <w:t xml:space="preserve"> </w:t>
      </w:r>
    </w:p>
    <w:p w:rsidR="00AF7310" w:rsidRDefault="00392624" w:rsidP="004024FA">
      <w:pPr>
        <w:rPr>
          <w:rFonts w:asciiTheme="minorHAnsi" w:hAnsiTheme="minorHAnsi"/>
          <w:sz w:val="22"/>
          <w:szCs w:val="22"/>
          <w:lang w:eastAsia="en-US"/>
        </w:rPr>
      </w:pPr>
      <w:r>
        <w:rPr>
          <w:rFonts w:asciiTheme="minorHAnsi" w:hAnsiTheme="minorHAnsi"/>
          <w:sz w:val="22"/>
          <w:szCs w:val="22"/>
          <w:lang w:eastAsia="en-US"/>
        </w:rPr>
        <w:lastRenderedPageBreak/>
        <w:t xml:space="preserve">The landfill is also identified in the </w:t>
      </w:r>
      <w:r w:rsidR="005655AB">
        <w:rPr>
          <w:rFonts w:asciiTheme="minorHAnsi" w:hAnsiTheme="minorHAnsi"/>
          <w:i/>
          <w:sz w:val="22"/>
          <w:szCs w:val="22"/>
          <w:lang w:eastAsia="en-US"/>
        </w:rPr>
        <w:t xml:space="preserve">Metropolitan Waste and Resource Recovery Implementation </w:t>
      </w:r>
      <w:r w:rsidR="00941EA2">
        <w:rPr>
          <w:rFonts w:asciiTheme="minorHAnsi" w:hAnsiTheme="minorHAnsi"/>
          <w:i/>
          <w:sz w:val="22"/>
          <w:szCs w:val="22"/>
          <w:lang w:eastAsia="en-US"/>
        </w:rPr>
        <w:t>Plan 2016</w:t>
      </w:r>
      <w:r w:rsidR="00941EA2">
        <w:rPr>
          <w:rFonts w:asciiTheme="minorHAnsi" w:hAnsiTheme="minorHAnsi"/>
          <w:sz w:val="22"/>
          <w:szCs w:val="22"/>
          <w:lang w:eastAsia="en-US"/>
        </w:rPr>
        <w:t xml:space="preserve"> (</w:t>
      </w:r>
      <w:r w:rsidR="00941EA2">
        <w:rPr>
          <w:rFonts w:asciiTheme="minorHAnsi" w:hAnsiTheme="minorHAnsi"/>
          <w:b/>
          <w:sz w:val="22"/>
          <w:szCs w:val="22"/>
          <w:lang w:eastAsia="en-US"/>
        </w:rPr>
        <w:t>Metro Plan</w:t>
      </w:r>
      <w:r w:rsidR="00941EA2">
        <w:rPr>
          <w:rFonts w:asciiTheme="minorHAnsi" w:hAnsiTheme="minorHAnsi"/>
          <w:sz w:val="22"/>
          <w:szCs w:val="22"/>
          <w:lang w:eastAsia="en-US"/>
        </w:rPr>
        <w:t>).</w:t>
      </w:r>
      <w:r w:rsidR="007E2123">
        <w:rPr>
          <w:rStyle w:val="FootnoteReference"/>
          <w:rFonts w:asciiTheme="minorHAnsi" w:hAnsiTheme="minorHAnsi"/>
          <w:sz w:val="22"/>
          <w:szCs w:val="22"/>
          <w:lang w:eastAsia="en-US"/>
        </w:rPr>
        <w:footnoteReference w:id="43"/>
      </w:r>
      <w:r w:rsidR="00FB7D20">
        <w:rPr>
          <w:rFonts w:asciiTheme="minorHAnsi" w:hAnsiTheme="minorHAnsi"/>
          <w:sz w:val="22"/>
          <w:szCs w:val="22"/>
          <w:lang w:eastAsia="en-US"/>
        </w:rPr>
        <w:t xml:space="preserve">  The Metro Plan includes the landfill in Table 10 (Existing landfills)</w:t>
      </w:r>
      <w:r w:rsidR="00685567">
        <w:rPr>
          <w:rFonts w:asciiTheme="minorHAnsi" w:hAnsiTheme="minorHAnsi"/>
          <w:sz w:val="22"/>
          <w:szCs w:val="22"/>
          <w:lang w:eastAsia="en-US"/>
        </w:rPr>
        <w:t>, which describes its:</w:t>
      </w:r>
      <w:r w:rsidR="00112D04">
        <w:rPr>
          <w:rStyle w:val="FootnoteReference"/>
          <w:rFonts w:asciiTheme="minorHAnsi" w:hAnsiTheme="minorHAnsi"/>
          <w:sz w:val="22"/>
          <w:szCs w:val="22"/>
          <w:lang w:eastAsia="en-US"/>
        </w:rPr>
        <w:footnoteReference w:id="44"/>
      </w:r>
    </w:p>
    <w:p w:rsidR="00685567" w:rsidRDefault="00A60017" w:rsidP="003340E2">
      <w:pPr>
        <w:pStyle w:val="ListParagraph"/>
        <w:numPr>
          <w:ilvl w:val="0"/>
          <w:numId w:val="17"/>
        </w:numPr>
      </w:pPr>
      <w:r>
        <w:t>licen</w:t>
      </w:r>
      <w:r w:rsidR="000F3316">
        <w:t>s</w:t>
      </w:r>
      <w:r>
        <w:t>ed waste types as:</w:t>
      </w:r>
      <w:r w:rsidR="00775E6F">
        <w:t xml:space="preserve"> ‘Inert sludges/slurries, materials with PCBs (&gt;2 &amp; &lt;50 mg/kg), contaminated soil (Category C), asbestos (all forms) and ceramic-based fibres </w:t>
      </w:r>
      <w:proofErr w:type="gramStart"/>
      <w:r w:rsidR="00775E6F">
        <w:t>similar to</w:t>
      </w:r>
      <w:proofErr w:type="gramEnd"/>
      <w:r w:rsidR="00775E6F">
        <w:t xml:space="preserve"> asbestos’; and</w:t>
      </w:r>
    </w:p>
    <w:p w:rsidR="00A60017" w:rsidRPr="00685567" w:rsidRDefault="00A60017" w:rsidP="003340E2">
      <w:pPr>
        <w:pStyle w:val="ListParagraph"/>
        <w:numPr>
          <w:ilvl w:val="0"/>
          <w:numId w:val="17"/>
        </w:numPr>
      </w:pPr>
      <w:r>
        <w:t>likely closure date as: ‘Potential to operate beyond 2046’.</w:t>
      </w:r>
    </w:p>
    <w:p w:rsidR="00B075F7" w:rsidRDefault="00B075F7" w:rsidP="004024FA">
      <w:pPr>
        <w:rPr>
          <w:rFonts w:asciiTheme="minorHAnsi" w:hAnsiTheme="minorHAnsi"/>
          <w:sz w:val="22"/>
          <w:szCs w:val="22"/>
          <w:lang w:eastAsia="en-US"/>
        </w:rPr>
      </w:pPr>
      <w:r>
        <w:rPr>
          <w:rFonts w:asciiTheme="minorHAnsi" w:hAnsiTheme="minorHAnsi"/>
          <w:sz w:val="22"/>
          <w:szCs w:val="22"/>
          <w:lang w:eastAsia="en-US"/>
        </w:rPr>
        <w:t xml:space="preserve">Table </w:t>
      </w:r>
      <w:r w:rsidR="00A954F5">
        <w:rPr>
          <w:rFonts w:asciiTheme="minorHAnsi" w:hAnsiTheme="minorHAnsi"/>
          <w:sz w:val="22"/>
          <w:szCs w:val="22"/>
          <w:lang w:eastAsia="en-US"/>
        </w:rPr>
        <w:t xml:space="preserve">11 (Metropolitan landfill sequence of fill) </w:t>
      </w:r>
      <w:r w:rsidR="006F4D25">
        <w:rPr>
          <w:rFonts w:asciiTheme="minorHAnsi" w:hAnsiTheme="minorHAnsi"/>
          <w:sz w:val="22"/>
          <w:szCs w:val="22"/>
          <w:lang w:eastAsia="en-US"/>
        </w:rPr>
        <w:t xml:space="preserve">in the Metro Plan </w:t>
      </w:r>
      <w:r w:rsidR="00A954F5">
        <w:rPr>
          <w:rFonts w:asciiTheme="minorHAnsi" w:hAnsiTheme="minorHAnsi"/>
          <w:sz w:val="22"/>
          <w:szCs w:val="22"/>
          <w:lang w:eastAsia="en-US"/>
        </w:rPr>
        <w:t xml:space="preserve">shows the landfill as one of three with ‘Potential to operate beyond </w:t>
      </w:r>
      <w:r w:rsidR="002404C4">
        <w:rPr>
          <w:rFonts w:asciiTheme="minorHAnsi" w:hAnsiTheme="minorHAnsi"/>
          <w:sz w:val="22"/>
          <w:szCs w:val="22"/>
          <w:lang w:eastAsia="en-US"/>
        </w:rPr>
        <w:t>2</w:t>
      </w:r>
      <w:r w:rsidR="007D178C">
        <w:rPr>
          <w:rFonts w:asciiTheme="minorHAnsi" w:hAnsiTheme="minorHAnsi"/>
          <w:sz w:val="22"/>
          <w:szCs w:val="22"/>
          <w:lang w:eastAsia="en-US"/>
        </w:rPr>
        <w:t>0</w:t>
      </w:r>
      <w:r w:rsidR="002404C4">
        <w:rPr>
          <w:rFonts w:asciiTheme="minorHAnsi" w:hAnsiTheme="minorHAnsi"/>
          <w:sz w:val="22"/>
          <w:szCs w:val="22"/>
          <w:lang w:eastAsia="en-US"/>
        </w:rPr>
        <w:t xml:space="preserve">46’ </w:t>
      </w:r>
      <w:r w:rsidR="00A954F5">
        <w:rPr>
          <w:rFonts w:asciiTheme="minorHAnsi" w:hAnsiTheme="minorHAnsi"/>
          <w:sz w:val="22"/>
          <w:szCs w:val="22"/>
          <w:lang w:eastAsia="en-US"/>
        </w:rPr>
        <w:t>with the necessary works approval and planning approval to do so.</w:t>
      </w:r>
    </w:p>
    <w:p w:rsidR="0051521F" w:rsidRDefault="0051521F" w:rsidP="004024FA">
      <w:pPr>
        <w:rPr>
          <w:rFonts w:asciiTheme="minorHAnsi" w:hAnsiTheme="minorHAnsi"/>
          <w:sz w:val="22"/>
          <w:szCs w:val="22"/>
          <w:lang w:eastAsia="en-US"/>
        </w:rPr>
      </w:pPr>
      <w:r>
        <w:rPr>
          <w:rFonts w:asciiTheme="minorHAnsi" w:hAnsiTheme="minorHAnsi"/>
          <w:sz w:val="22"/>
          <w:szCs w:val="22"/>
          <w:lang w:eastAsia="en-US"/>
        </w:rPr>
        <w:t xml:space="preserve">The VPA understands the timeframe </w:t>
      </w:r>
      <w:r w:rsidR="00FE7504">
        <w:rPr>
          <w:rFonts w:asciiTheme="minorHAnsi" w:hAnsiTheme="minorHAnsi"/>
          <w:sz w:val="22"/>
          <w:szCs w:val="22"/>
          <w:lang w:eastAsia="en-US"/>
        </w:rPr>
        <w:t>described</w:t>
      </w:r>
      <w:r>
        <w:rPr>
          <w:rFonts w:asciiTheme="minorHAnsi" w:hAnsiTheme="minorHAnsi"/>
          <w:sz w:val="22"/>
          <w:szCs w:val="22"/>
          <w:lang w:eastAsia="en-US"/>
        </w:rPr>
        <w:t xml:space="preserve"> in the M</w:t>
      </w:r>
      <w:r w:rsidR="00F41408">
        <w:rPr>
          <w:rFonts w:asciiTheme="minorHAnsi" w:hAnsiTheme="minorHAnsi"/>
          <w:sz w:val="22"/>
          <w:szCs w:val="22"/>
          <w:lang w:eastAsia="en-US"/>
        </w:rPr>
        <w:t>etro Plan for this landfill to be</w:t>
      </w:r>
      <w:r>
        <w:rPr>
          <w:rFonts w:asciiTheme="minorHAnsi" w:hAnsiTheme="minorHAnsi"/>
          <w:sz w:val="22"/>
          <w:szCs w:val="22"/>
          <w:lang w:eastAsia="en-US"/>
        </w:rPr>
        <w:t xml:space="preserve"> accurate.</w:t>
      </w:r>
    </w:p>
    <w:p w:rsidR="003E555C" w:rsidRDefault="00EC2F67" w:rsidP="004024FA">
      <w:pPr>
        <w:rPr>
          <w:rFonts w:asciiTheme="minorHAnsi" w:hAnsiTheme="minorHAnsi"/>
          <w:sz w:val="22"/>
          <w:szCs w:val="22"/>
          <w:lang w:eastAsia="en-US"/>
        </w:rPr>
      </w:pPr>
      <w:r>
        <w:rPr>
          <w:rFonts w:asciiTheme="minorHAnsi" w:hAnsiTheme="minorHAnsi"/>
          <w:sz w:val="22"/>
          <w:szCs w:val="22"/>
          <w:lang w:eastAsia="en-US"/>
        </w:rPr>
        <w:t xml:space="preserve">Plan 3 (Future Urban Structure) </w:t>
      </w:r>
      <w:r w:rsidR="006E46C1">
        <w:rPr>
          <w:rFonts w:asciiTheme="minorHAnsi" w:hAnsiTheme="minorHAnsi"/>
          <w:sz w:val="22"/>
          <w:szCs w:val="22"/>
          <w:lang w:eastAsia="en-US"/>
        </w:rPr>
        <w:t xml:space="preserve">in the </w:t>
      </w:r>
      <w:r w:rsidR="00024286">
        <w:rPr>
          <w:rFonts w:asciiTheme="minorHAnsi" w:hAnsiTheme="minorHAnsi"/>
          <w:sz w:val="22"/>
          <w:szCs w:val="22"/>
          <w:lang w:eastAsia="en-US"/>
        </w:rPr>
        <w:t xml:space="preserve">Sunbury South </w:t>
      </w:r>
      <w:r w:rsidR="006E46C1">
        <w:rPr>
          <w:rFonts w:asciiTheme="minorHAnsi" w:hAnsiTheme="minorHAnsi"/>
          <w:sz w:val="22"/>
          <w:szCs w:val="22"/>
          <w:lang w:eastAsia="en-US"/>
        </w:rPr>
        <w:t xml:space="preserve">PSP shows the landfill with </w:t>
      </w:r>
      <w:r w:rsidR="00607352">
        <w:rPr>
          <w:rFonts w:asciiTheme="minorHAnsi" w:hAnsiTheme="minorHAnsi"/>
          <w:sz w:val="22"/>
          <w:szCs w:val="22"/>
          <w:lang w:eastAsia="en-US"/>
        </w:rPr>
        <w:t>a ‘landfill buffer (500m)’.</w:t>
      </w:r>
      <w:r w:rsidR="00EA012C">
        <w:rPr>
          <w:rFonts w:asciiTheme="minorHAnsi" w:hAnsiTheme="minorHAnsi"/>
          <w:sz w:val="22"/>
          <w:szCs w:val="22"/>
          <w:lang w:eastAsia="en-US"/>
        </w:rPr>
        <w:t xml:space="preserve">  This buffer </w:t>
      </w:r>
      <w:r w:rsidR="00BE4F3A">
        <w:rPr>
          <w:rFonts w:asciiTheme="minorHAnsi" w:hAnsiTheme="minorHAnsi"/>
          <w:sz w:val="22"/>
          <w:szCs w:val="22"/>
          <w:lang w:eastAsia="en-US"/>
        </w:rPr>
        <w:t>partially overlaps with two other buffers, for the quarry and composting facility, which are considered further below in this submission.</w:t>
      </w:r>
      <w:r w:rsidR="004024FA">
        <w:rPr>
          <w:rFonts w:asciiTheme="minorHAnsi" w:hAnsiTheme="minorHAnsi"/>
          <w:sz w:val="22"/>
          <w:szCs w:val="22"/>
          <w:lang w:eastAsia="en-US"/>
        </w:rPr>
        <w:t xml:space="preserve">  Plan 3 shows a range of uses within the landfill buffer.</w:t>
      </w:r>
    </w:p>
    <w:p w:rsidR="0092488B" w:rsidRDefault="009C1256" w:rsidP="006704B1">
      <w:pPr>
        <w:rPr>
          <w:rFonts w:asciiTheme="minorHAnsi" w:hAnsiTheme="minorHAnsi"/>
          <w:sz w:val="22"/>
          <w:szCs w:val="22"/>
          <w:lang w:eastAsia="en-US"/>
        </w:rPr>
      </w:pPr>
      <w:r>
        <w:rPr>
          <w:rFonts w:asciiTheme="minorHAnsi" w:hAnsiTheme="minorHAnsi"/>
          <w:sz w:val="22"/>
          <w:szCs w:val="22"/>
          <w:lang w:eastAsia="en-US"/>
        </w:rPr>
        <w:t>Schedule 9</w:t>
      </w:r>
      <w:r w:rsidR="001D63BD">
        <w:rPr>
          <w:rFonts w:asciiTheme="minorHAnsi" w:hAnsiTheme="minorHAnsi"/>
          <w:sz w:val="22"/>
          <w:szCs w:val="22"/>
          <w:lang w:eastAsia="en-US"/>
        </w:rPr>
        <w:t xml:space="preserve"> to the UGZ r</w:t>
      </w:r>
      <w:r>
        <w:rPr>
          <w:rFonts w:asciiTheme="minorHAnsi" w:hAnsiTheme="minorHAnsi"/>
          <w:sz w:val="22"/>
          <w:szCs w:val="22"/>
          <w:lang w:eastAsia="en-US"/>
        </w:rPr>
        <w:t>eplicates Plan 3 in the PSP as Map 1.</w:t>
      </w:r>
      <w:r w:rsidR="00034F89">
        <w:rPr>
          <w:rFonts w:asciiTheme="minorHAnsi" w:hAnsiTheme="minorHAnsi"/>
          <w:sz w:val="22"/>
          <w:szCs w:val="22"/>
          <w:lang w:eastAsia="en-US"/>
        </w:rPr>
        <w:t xml:space="preserve">  The Schedule</w:t>
      </w:r>
      <w:r w:rsidR="00922AB4">
        <w:rPr>
          <w:rFonts w:asciiTheme="minorHAnsi" w:hAnsiTheme="minorHAnsi"/>
          <w:sz w:val="22"/>
          <w:szCs w:val="22"/>
          <w:lang w:eastAsia="en-US"/>
        </w:rPr>
        <w:t xml:space="preserve"> includes provisions that relate to the landfill </w:t>
      </w:r>
      <w:r w:rsidR="00E719AD">
        <w:rPr>
          <w:rFonts w:asciiTheme="minorHAnsi" w:hAnsiTheme="minorHAnsi"/>
          <w:sz w:val="22"/>
          <w:szCs w:val="22"/>
          <w:lang w:eastAsia="en-US"/>
        </w:rPr>
        <w:t xml:space="preserve">buffer </w:t>
      </w:r>
      <w:r w:rsidR="00922AB4">
        <w:rPr>
          <w:rFonts w:asciiTheme="minorHAnsi" w:hAnsiTheme="minorHAnsi"/>
          <w:sz w:val="22"/>
          <w:szCs w:val="22"/>
          <w:lang w:eastAsia="en-US"/>
        </w:rPr>
        <w:t>at:</w:t>
      </w:r>
    </w:p>
    <w:p w:rsidR="00922AB4" w:rsidRDefault="00922AB4" w:rsidP="003340E2">
      <w:pPr>
        <w:pStyle w:val="ListParagraph"/>
        <w:numPr>
          <w:ilvl w:val="0"/>
          <w:numId w:val="15"/>
        </w:numPr>
      </w:pPr>
      <w:r>
        <w:t>Clause 2.4 (Specific provisions – Use of land);</w:t>
      </w:r>
    </w:p>
    <w:p w:rsidR="00922AB4" w:rsidRDefault="0092488B" w:rsidP="003340E2">
      <w:pPr>
        <w:pStyle w:val="ListParagraph"/>
        <w:numPr>
          <w:ilvl w:val="0"/>
          <w:numId w:val="15"/>
        </w:numPr>
      </w:pPr>
      <w:r>
        <w:t>Clause 2.8 (Specific provision – Buildings and Works within Landfill Buffer)</w:t>
      </w:r>
      <w:r w:rsidR="00F74645">
        <w:t>;</w:t>
      </w:r>
    </w:p>
    <w:p w:rsidR="00F74645" w:rsidRDefault="00F74645" w:rsidP="003340E2">
      <w:pPr>
        <w:pStyle w:val="ListParagraph"/>
        <w:numPr>
          <w:ilvl w:val="0"/>
          <w:numId w:val="15"/>
        </w:numPr>
      </w:pPr>
      <w:r>
        <w:t>Clause 3.7 (Applications to Subdivide or Use Land within Landfill Buffer); and</w:t>
      </w:r>
    </w:p>
    <w:p w:rsidR="00F74645" w:rsidRPr="00922AB4" w:rsidRDefault="00F74645" w:rsidP="003340E2">
      <w:pPr>
        <w:pStyle w:val="ListParagraph"/>
        <w:numPr>
          <w:ilvl w:val="0"/>
          <w:numId w:val="15"/>
        </w:numPr>
      </w:pPr>
      <w:r>
        <w:t>Clause 3.8 (All applications within Landfill Buffer).</w:t>
      </w:r>
    </w:p>
    <w:p w:rsidR="00971349" w:rsidRDefault="00502DA3" w:rsidP="00286212">
      <w:pPr>
        <w:rPr>
          <w:rFonts w:asciiTheme="minorHAnsi" w:hAnsiTheme="minorHAnsi"/>
          <w:sz w:val="22"/>
          <w:szCs w:val="22"/>
          <w:lang w:eastAsia="en-US"/>
        </w:rPr>
      </w:pPr>
      <w:r w:rsidRPr="00A43826">
        <w:rPr>
          <w:rFonts w:asciiTheme="minorHAnsi" w:hAnsiTheme="minorHAnsi"/>
          <w:sz w:val="22"/>
          <w:szCs w:val="22"/>
          <w:lang w:eastAsia="en-US"/>
        </w:rPr>
        <w:t>Th</w:t>
      </w:r>
      <w:r w:rsidR="00A43826" w:rsidRPr="00A43826">
        <w:rPr>
          <w:rFonts w:asciiTheme="minorHAnsi" w:hAnsiTheme="minorHAnsi"/>
          <w:sz w:val="22"/>
          <w:szCs w:val="22"/>
          <w:lang w:eastAsia="en-US"/>
        </w:rPr>
        <w:t xml:space="preserve">e submissions identified above </w:t>
      </w:r>
      <w:r w:rsidR="00286212">
        <w:rPr>
          <w:rFonts w:asciiTheme="minorHAnsi" w:hAnsiTheme="minorHAnsi"/>
          <w:sz w:val="22"/>
          <w:szCs w:val="22"/>
          <w:lang w:eastAsia="en-US"/>
        </w:rPr>
        <w:t>raise issues in relation to:</w:t>
      </w:r>
    </w:p>
    <w:p w:rsidR="00286212" w:rsidRDefault="00286212" w:rsidP="003340E2">
      <w:pPr>
        <w:pStyle w:val="ListParagraph"/>
        <w:numPr>
          <w:ilvl w:val="0"/>
          <w:numId w:val="18"/>
        </w:numPr>
      </w:pPr>
      <w:r>
        <w:t xml:space="preserve">the </w:t>
      </w:r>
      <w:r w:rsidR="008845A7">
        <w:t>appropriate extent of the landfill buffer; and</w:t>
      </w:r>
    </w:p>
    <w:p w:rsidR="00286212" w:rsidRPr="00286212" w:rsidRDefault="008845A7" w:rsidP="003340E2">
      <w:pPr>
        <w:pStyle w:val="ListParagraph"/>
        <w:numPr>
          <w:ilvl w:val="0"/>
          <w:numId w:val="18"/>
        </w:numPr>
      </w:pPr>
      <w:r>
        <w:t>the planning controls proposed in Schedule 9 to apply within the landfill buffer</w:t>
      </w:r>
      <w:r w:rsidR="001658C2">
        <w:t>.</w:t>
      </w:r>
    </w:p>
    <w:p w:rsidR="00751E7E" w:rsidRDefault="00FF33C1" w:rsidP="006704B1">
      <w:pPr>
        <w:rPr>
          <w:rFonts w:asciiTheme="minorHAnsi" w:hAnsiTheme="minorHAnsi"/>
          <w:sz w:val="22"/>
          <w:szCs w:val="22"/>
          <w:lang w:eastAsia="en-US"/>
        </w:rPr>
      </w:pPr>
      <w:r>
        <w:rPr>
          <w:rFonts w:asciiTheme="minorHAnsi" w:hAnsiTheme="minorHAnsi"/>
          <w:sz w:val="22"/>
          <w:szCs w:val="22"/>
          <w:lang w:eastAsia="en-US"/>
        </w:rPr>
        <w:t>In responding to these submissions, t</w:t>
      </w:r>
      <w:r w:rsidR="004D5393">
        <w:rPr>
          <w:rFonts w:asciiTheme="minorHAnsi" w:hAnsiTheme="minorHAnsi"/>
          <w:sz w:val="22"/>
          <w:szCs w:val="22"/>
          <w:lang w:eastAsia="en-US"/>
        </w:rPr>
        <w:t>he VPA relies on the expert evidence of</w:t>
      </w:r>
      <w:r w:rsidR="00751E7E">
        <w:rPr>
          <w:rFonts w:asciiTheme="minorHAnsi" w:hAnsiTheme="minorHAnsi"/>
          <w:sz w:val="22"/>
          <w:szCs w:val="22"/>
          <w:lang w:eastAsia="en-US"/>
        </w:rPr>
        <w:t>:</w:t>
      </w:r>
    </w:p>
    <w:p w:rsidR="00751E7E" w:rsidRDefault="004D5393" w:rsidP="003340E2">
      <w:pPr>
        <w:pStyle w:val="ListParagraph"/>
        <w:numPr>
          <w:ilvl w:val="0"/>
          <w:numId w:val="15"/>
        </w:numPr>
      </w:pPr>
      <w:r>
        <w:t xml:space="preserve">Mr </w:t>
      </w:r>
      <w:r w:rsidR="009F446A">
        <w:t xml:space="preserve">Clarke in relation </w:t>
      </w:r>
      <w:r w:rsidR="00751E7E">
        <w:t>to landfill gas;</w:t>
      </w:r>
      <w:r w:rsidR="00625D40">
        <w:t xml:space="preserve"> and</w:t>
      </w:r>
    </w:p>
    <w:p w:rsidR="00955587" w:rsidRDefault="00751E7E" w:rsidP="003340E2">
      <w:pPr>
        <w:pStyle w:val="ListParagraph"/>
        <w:numPr>
          <w:ilvl w:val="0"/>
          <w:numId w:val="15"/>
        </w:numPr>
      </w:pPr>
      <w:r>
        <w:t xml:space="preserve">Mr Ramsay in relation to odour. </w:t>
      </w:r>
    </w:p>
    <w:p w:rsidR="00C748A9" w:rsidRDefault="008661B0" w:rsidP="00C748A9">
      <w:pPr>
        <w:rPr>
          <w:rFonts w:asciiTheme="minorHAnsi" w:hAnsiTheme="minorHAnsi"/>
          <w:sz w:val="22"/>
          <w:szCs w:val="22"/>
          <w:lang w:eastAsia="en-US"/>
        </w:rPr>
      </w:pPr>
      <w:r>
        <w:rPr>
          <w:rFonts w:asciiTheme="minorHAnsi" w:hAnsiTheme="minorHAnsi"/>
          <w:sz w:val="22"/>
          <w:szCs w:val="22"/>
          <w:lang w:eastAsia="en-US"/>
        </w:rPr>
        <w:t>T</w:t>
      </w:r>
      <w:r w:rsidR="00546CE8">
        <w:rPr>
          <w:rFonts w:asciiTheme="minorHAnsi" w:hAnsiTheme="minorHAnsi"/>
          <w:sz w:val="22"/>
          <w:szCs w:val="22"/>
          <w:lang w:eastAsia="en-US"/>
        </w:rPr>
        <w:t xml:space="preserve">hat evidence considers the exhibition version of the </w:t>
      </w:r>
      <w:r w:rsidR="00C748A9">
        <w:rPr>
          <w:rFonts w:asciiTheme="minorHAnsi" w:hAnsiTheme="minorHAnsi"/>
          <w:sz w:val="22"/>
          <w:szCs w:val="22"/>
          <w:lang w:eastAsia="en-US"/>
        </w:rPr>
        <w:t xml:space="preserve">Schedule 9 to the UGZ.  The updated planning scheme ordinance at Appendix 5 to the VPA’s Part A submission includes </w:t>
      </w:r>
      <w:proofErr w:type="gramStart"/>
      <w:r w:rsidR="00C748A9">
        <w:rPr>
          <w:rFonts w:asciiTheme="minorHAnsi" w:hAnsiTheme="minorHAnsi"/>
          <w:sz w:val="22"/>
          <w:szCs w:val="22"/>
          <w:lang w:eastAsia="en-US"/>
        </w:rPr>
        <w:t>a number of</w:t>
      </w:r>
      <w:proofErr w:type="gramEnd"/>
      <w:r w:rsidR="00C748A9">
        <w:rPr>
          <w:rFonts w:asciiTheme="minorHAnsi" w:hAnsiTheme="minorHAnsi"/>
          <w:sz w:val="22"/>
          <w:szCs w:val="22"/>
          <w:lang w:eastAsia="en-US"/>
        </w:rPr>
        <w:t xml:space="preserve"> proposed changes to </w:t>
      </w:r>
      <w:r w:rsidR="00625D40">
        <w:rPr>
          <w:rFonts w:asciiTheme="minorHAnsi" w:hAnsiTheme="minorHAnsi"/>
          <w:sz w:val="22"/>
          <w:szCs w:val="22"/>
          <w:lang w:eastAsia="en-US"/>
        </w:rPr>
        <w:t>the relevant provisions.</w:t>
      </w:r>
      <w:r w:rsidR="00C748A9">
        <w:rPr>
          <w:rFonts w:asciiTheme="minorHAnsi" w:hAnsiTheme="minorHAnsi"/>
          <w:sz w:val="22"/>
          <w:szCs w:val="22"/>
          <w:lang w:eastAsia="en-US"/>
        </w:rPr>
        <w:t xml:space="preserve">   </w:t>
      </w:r>
    </w:p>
    <w:p w:rsidR="00C748A9" w:rsidRPr="0083636F" w:rsidRDefault="008517B5" w:rsidP="006704B1">
      <w:pPr>
        <w:rPr>
          <w:rFonts w:asciiTheme="minorHAnsi" w:hAnsiTheme="minorHAnsi"/>
          <w:sz w:val="22"/>
          <w:szCs w:val="22"/>
          <w:lang w:eastAsia="en-US"/>
        </w:rPr>
      </w:pPr>
      <w:r>
        <w:rPr>
          <w:rFonts w:asciiTheme="minorHAnsi" w:hAnsiTheme="minorHAnsi"/>
          <w:sz w:val="22"/>
          <w:szCs w:val="22"/>
          <w:lang w:eastAsia="en-US"/>
        </w:rPr>
        <w:t xml:space="preserve">The expert witness report in relation to town planning by Michael Barlow of Urbis on behalf of </w:t>
      </w:r>
      <w:r w:rsidR="00C96639">
        <w:rPr>
          <w:rFonts w:asciiTheme="minorHAnsi" w:hAnsiTheme="minorHAnsi"/>
          <w:sz w:val="22"/>
          <w:szCs w:val="22"/>
          <w:lang w:eastAsia="en-US"/>
        </w:rPr>
        <w:t xml:space="preserve">Hi-Quality </w:t>
      </w:r>
      <w:r w:rsidR="0083636F">
        <w:rPr>
          <w:rFonts w:asciiTheme="minorHAnsi" w:hAnsiTheme="minorHAnsi"/>
          <w:sz w:val="22"/>
          <w:szCs w:val="22"/>
          <w:lang w:eastAsia="en-US"/>
        </w:rPr>
        <w:t>also considers the landfill buffers.</w:t>
      </w:r>
    </w:p>
    <w:p w:rsidR="002C636F" w:rsidRPr="00315E22" w:rsidRDefault="00AE5596" w:rsidP="002C636F">
      <w:pPr>
        <w:pStyle w:val="Heading3"/>
        <w:rPr>
          <w:rFonts w:asciiTheme="minorHAnsi" w:hAnsiTheme="minorHAnsi"/>
          <w:b/>
        </w:rPr>
      </w:pPr>
      <w:r>
        <w:rPr>
          <w:rFonts w:asciiTheme="minorHAnsi" w:hAnsiTheme="minorHAnsi"/>
          <w:b/>
        </w:rPr>
        <w:lastRenderedPageBreak/>
        <w:t>Issue 1: e</w:t>
      </w:r>
      <w:r w:rsidR="002C636F">
        <w:rPr>
          <w:rFonts w:asciiTheme="minorHAnsi" w:hAnsiTheme="minorHAnsi"/>
          <w:b/>
        </w:rPr>
        <w:t>xtent of buffer</w:t>
      </w:r>
    </w:p>
    <w:p w:rsidR="00644469" w:rsidRPr="00F5778D" w:rsidRDefault="00644469" w:rsidP="002C636F">
      <w:pPr>
        <w:rPr>
          <w:rFonts w:asciiTheme="minorHAnsi" w:hAnsiTheme="minorHAnsi"/>
          <w:b/>
          <w:i/>
          <w:sz w:val="22"/>
          <w:lang w:eastAsia="en-US"/>
        </w:rPr>
      </w:pPr>
      <w:r w:rsidRPr="00F5778D">
        <w:rPr>
          <w:rFonts w:asciiTheme="minorHAnsi" w:hAnsiTheme="minorHAnsi"/>
          <w:b/>
          <w:i/>
          <w:sz w:val="22"/>
          <w:lang w:eastAsia="en-US"/>
        </w:rPr>
        <w:t>Submissions</w:t>
      </w:r>
      <w:r w:rsidR="00C11A97" w:rsidRPr="00F5778D">
        <w:rPr>
          <w:rFonts w:asciiTheme="minorHAnsi" w:hAnsiTheme="minorHAnsi"/>
          <w:b/>
          <w:i/>
          <w:sz w:val="22"/>
          <w:lang w:eastAsia="en-US"/>
        </w:rPr>
        <w:t xml:space="preserve"> in response to exhibition </w:t>
      </w:r>
    </w:p>
    <w:p w:rsidR="00644469" w:rsidRDefault="00164984" w:rsidP="002C636F">
      <w:pPr>
        <w:rPr>
          <w:rFonts w:asciiTheme="minorHAnsi" w:hAnsiTheme="minorHAnsi"/>
          <w:sz w:val="22"/>
          <w:lang w:eastAsia="en-US"/>
        </w:rPr>
      </w:pPr>
      <w:r>
        <w:rPr>
          <w:rFonts w:asciiTheme="minorHAnsi" w:hAnsiTheme="minorHAnsi"/>
          <w:sz w:val="22"/>
          <w:lang w:eastAsia="en-US"/>
        </w:rPr>
        <w:t>H</w:t>
      </w:r>
      <w:r w:rsidR="00512465">
        <w:rPr>
          <w:rFonts w:asciiTheme="minorHAnsi" w:hAnsiTheme="minorHAnsi"/>
          <w:sz w:val="22"/>
          <w:lang w:eastAsia="en-US"/>
        </w:rPr>
        <w:t>i-Quality submitted that it was ‘not satisfied that a 500 metres landfill buffer is appropriate having regard to the type of waste accepted on the Hi-Quality site, and current policy uncertainty in relation to landfill buffers’.</w:t>
      </w:r>
      <w:r w:rsidR="00B10803">
        <w:rPr>
          <w:rFonts w:asciiTheme="minorHAnsi" w:hAnsiTheme="minorHAnsi"/>
          <w:sz w:val="22"/>
          <w:lang w:eastAsia="en-US"/>
        </w:rPr>
        <w:t xml:space="preserve">  The VPA understood this </w:t>
      </w:r>
      <w:r w:rsidR="00C67738">
        <w:rPr>
          <w:rFonts w:asciiTheme="minorHAnsi" w:hAnsiTheme="minorHAnsi"/>
          <w:sz w:val="22"/>
          <w:lang w:eastAsia="en-US"/>
        </w:rPr>
        <w:t>submission to be in favour of a reduced rather than expanded buffer.</w:t>
      </w:r>
    </w:p>
    <w:p w:rsidR="00CF1D7C" w:rsidRPr="005F3C23" w:rsidRDefault="00CF1D7C" w:rsidP="00CF1D7C">
      <w:pPr>
        <w:rPr>
          <w:rFonts w:asciiTheme="minorHAnsi" w:hAnsiTheme="minorHAnsi"/>
          <w:i/>
          <w:sz w:val="22"/>
          <w:lang w:eastAsia="en-US"/>
        </w:rPr>
      </w:pPr>
      <w:r>
        <w:rPr>
          <w:rFonts w:asciiTheme="minorHAnsi" w:hAnsiTheme="minorHAnsi"/>
          <w:sz w:val="22"/>
          <w:lang w:eastAsia="en-US"/>
        </w:rPr>
        <w:t>J and L Ware, the owners of 670 Sunbury Road, Bulla,</w:t>
      </w:r>
      <w:r>
        <w:rPr>
          <w:rStyle w:val="FootnoteReference"/>
          <w:rFonts w:asciiTheme="minorHAnsi" w:hAnsiTheme="minorHAnsi"/>
          <w:sz w:val="22"/>
          <w:lang w:eastAsia="en-US"/>
        </w:rPr>
        <w:footnoteReference w:id="45"/>
      </w:r>
      <w:r>
        <w:rPr>
          <w:rFonts w:asciiTheme="minorHAnsi" w:hAnsiTheme="minorHAnsi"/>
          <w:sz w:val="22"/>
          <w:lang w:eastAsia="en-US"/>
        </w:rPr>
        <w:t xml:space="preserve"> which adjoins the landfill to the west, raised concerns in relation to noise and dust from both the quarry and landfill operations</w:t>
      </w:r>
      <w:r w:rsidR="00691AC3">
        <w:rPr>
          <w:rFonts w:asciiTheme="minorHAnsi" w:hAnsiTheme="minorHAnsi"/>
          <w:sz w:val="22"/>
          <w:lang w:eastAsia="en-US"/>
        </w:rPr>
        <w:t>, which they submitted were ‘clearly perceptible and audible at our house approximately 700 m from the property boundary’.</w:t>
      </w:r>
    </w:p>
    <w:p w:rsidR="00164984" w:rsidRPr="007D4036" w:rsidRDefault="00DC3A90" w:rsidP="002C636F">
      <w:pPr>
        <w:rPr>
          <w:rFonts w:asciiTheme="minorHAnsi" w:hAnsiTheme="minorHAnsi"/>
          <w:sz w:val="22"/>
          <w:lang w:eastAsia="en-US"/>
        </w:rPr>
      </w:pPr>
      <w:r>
        <w:rPr>
          <w:rFonts w:asciiTheme="minorHAnsi" w:hAnsiTheme="minorHAnsi"/>
          <w:sz w:val="22"/>
          <w:lang w:eastAsia="en-US"/>
        </w:rPr>
        <w:t>The Environment Protection Authority (</w:t>
      </w:r>
      <w:r>
        <w:rPr>
          <w:rFonts w:asciiTheme="minorHAnsi" w:hAnsiTheme="minorHAnsi"/>
          <w:b/>
          <w:sz w:val="22"/>
          <w:lang w:eastAsia="en-US"/>
        </w:rPr>
        <w:t>EPA</w:t>
      </w:r>
      <w:r>
        <w:rPr>
          <w:rFonts w:asciiTheme="minorHAnsi" w:hAnsiTheme="minorHAnsi"/>
          <w:sz w:val="22"/>
          <w:lang w:eastAsia="en-US"/>
        </w:rPr>
        <w:t xml:space="preserve">) </w:t>
      </w:r>
      <w:r w:rsidR="001E36B2">
        <w:rPr>
          <w:rFonts w:asciiTheme="minorHAnsi" w:hAnsiTheme="minorHAnsi"/>
          <w:sz w:val="22"/>
          <w:lang w:eastAsia="en-US"/>
        </w:rPr>
        <w:t xml:space="preserve">submission referred to the </w:t>
      </w:r>
      <w:r w:rsidR="0093066F">
        <w:rPr>
          <w:rFonts w:asciiTheme="minorHAnsi" w:hAnsiTheme="minorHAnsi"/>
          <w:i/>
          <w:sz w:val="22"/>
          <w:lang w:eastAsia="en-US"/>
        </w:rPr>
        <w:t>Best Practice Environmental Management – Siting, Design, Operation and Rehabilitation of Landfills</w:t>
      </w:r>
      <w:r w:rsidR="000A51EE">
        <w:rPr>
          <w:rFonts w:asciiTheme="minorHAnsi" w:hAnsiTheme="minorHAnsi"/>
          <w:i/>
          <w:sz w:val="22"/>
          <w:lang w:eastAsia="en-US"/>
        </w:rPr>
        <w:t xml:space="preserve"> </w:t>
      </w:r>
      <w:r w:rsidR="000A51EE">
        <w:rPr>
          <w:rFonts w:asciiTheme="minorHAnsi" w:hAnsiTheme="minorHAnsi"/>
          <w:sz w:val="22"/>
          <w:lang w:eastAsia="en-US"/>
        </w:rPr>
        <w:t>(</w:t>
      </w:r>
      <w:r w:rsidR="000A51EE">
        <w:rPr>
          <w:rFonts w:asciiTheme="minorHAnsi" w:hAnsiTheme="minorHAnsi"/>
          <w:b/>
          <w:sz w:val="22"/>
          <w:lang w:eastAsia="en-US"/>
        </w:rPr>
        <w:t>Landfill BPEM</w:t>
      </w:r>
      <w:r w:rsidR="000A51EE">
        <w:rPr>
          <w:rFonts w:asciiTheme="minorHAnsi" w:hAnsiTheme="minorHAnsi"/>
          <w:sz w:val="22"/>
          <w:lang w:eastAsia="en-US"/>
        </w:rPr>
        <w:t>)</w:t>
      </w:r>
      <w:r w:rsidR="0093066F">
        <w:rPr>
          <w:rStyle w:val="FootnoteReference"/>
          <w:rFonts w:asciiTheme="minorHAnsi" w:hAnsiTheme="minorHAnsi"/>
          <w:i/>
          <w:sz w:val="22"/>
          <w:lang w:eastAsia="en-US"/>
        </w:rPr>
        <w:footnoteReference w:id="46"/>
      </w:r>
      <w:r w:rsidR="0093066F">
        <w:rPr>
          <w:rFonts w:asciiTheme="minorHAnsi" w:hAnsiTheme="minorHAnsi"/>
          <w:sz w:val="22"/>
          <w:lang w:eastAsia="en-US"/>
        </w:rPr>
        <w:t xml:space="preserve"> as </w:t>
      </w:r>
      <w:r w:rsidR="003A2E6C">
        <w:rPr>
          <w:rFonts w:asciiTheme="minorHAnsi" w:hAnsiTheme="minorHAnsi"/>
          <w:sz w:val="22"/>
          <w:lang w:eastAsia="en-US"/>
        </w:rPr>
        <w:t>specifying buffer distan</w:t>
      </w:r>
      <w:r w:rsidR="00A12654">
        <w:rPr>
          <w:rFonts w:asciiTheme="minorHAnsi" w:hAnsiTheme="minorHAnsi"/>
          <w:sz w:val="22"/>
          <w:lang w:eastAsia="en-US"/>
        </w:rPr>
        <w:t>ces for landfills.</w:t>
      </w:r>
      <w:r w:rsidR="00EE2BF8">
        <w:rPr>
          <w:rFonts w:asciiTheme="minorHAnsi" w:hAnsiTheme="minorHAnsi"/>
          <w:sz w:val="22"/>
          <w:lang w:eastAsia="en-US"/>
        </w:rPr>
        <w:t xml:space="preserve">  The submission note</w:t>
      </w:r>
      <w:r w:rsidR="004C74B0">
        <w:rPr>
          <w:rFonts w:asciiTheme="minorHAnsi" w:hAnsiTheme="minorHAnsi"/>
          <w:sz w:val="22"/>
          <w:lang w:eastAsia="en-US"/>
        </w:rPr>
        <w:t>d</w:t>
      </w:r>
      <w:r w:rsidR="00EE2BF8">
        <w:rPr>
          <w:rFonts w:asciiTheme="minorHAnsi" w:hAnsiTheme="minorHAnsi"/>
          <w:sz w:val="22"/>
          <w:lang w:eastAsia="en-US"/>
        </w:rPr>
        <w:t xml:space="preserve"> that </w:t>
      </w:r>
      <w:r w:rsidR="00A11CF8">
        <w:rPr>
          <w:rFonts w:asciiTheme="minorHAnsi" w:hAnsiTheme="minorHAnsi"/>
          <w:sz w:val="22"/>
          <w:lang w:eastAsia="en-US"/>
        </w:rPr>
        <w:t>both active and closed ‘type 2’ landf</w:t>
      </w:r>
      <w:r w:rsidR="00443904">
        <w:rPr>
          <w:rFonts w:asciiTheme="minorHAnsi" w:hAnsiTheme="minorHAnsi"/>
          <w:sz w:val="22"/>
          <w:lang w:eastAsia="en-US"/>
        </w:rPr>
        <w:t xml:space="preserve">ills require a </w:t>
      </w:r>
      <w:proofErr w:type="gramStart"/>
      <w:r w:rsidR="00443904">
        <w:rPr>
          <w:rFonts w:asciiTheme="minorHAnsi" w:hAnsiTheme="minorHAnsi"/>
          <w:sz w:val="22"/>
          <w:lang w:eastAsia="en-US"/>
        </w:rPr>
        <w:t>500 metre</w:t>
      </w:r>
      <w:proofErr w:type="gramEnd"/>
      <w:r w:rsidR="00443904">
        <w:rPr>
          <w:rFonts w:asciiTheme="minorHAnsi" w:hAnsiTheme="minorHAnsi"/>
          <w:sz w:val="22"/>
          <w:lang w:eastAsia="en-US"/>
        </w:rPr>
        <w:t xml:space="preserve"> buffer</w:t>
      </w:r>
      <w:r w:rsidR="0094621D">
        <w:rPr>
          <w:rFonts w:asciiTheme="minorHAnsi" w:hAnsiTheme="minorHAnsi"/>
          <w:sz w:val="22"/>
          <w:lang w:eastAsia="en-US"/>
        </w:rPr>
        <w:t xml:space="preserve"> in the BPEM</w:t>
      </w:r>
      <w:r w:rsidR="00985A1E">
        <w:rPr>
          <w:rFonts w:asciiTheme="minorHAnsi" w:hAnsiTheme="minorHAnsi"/>
          <w:sz w:val="22"/>
          <w:lang w:eastAsia="en-US"/>
        </w:rPr>
        <w:t xml:space="preserve"> and that the EPA would recommend </w:t>
      </w:r>
      <w:r w:rsidR="00D8713B">
        <w:rPr>
          <w:rFonts w:asciiTheme="minorHAnsi" w:hAnsiTheme="minorHAnsi"/>
          <w:sz w:val="22"/>
          <w:lang w:eastAsia="en-US"/>
        </w:rPr>
        <w:t xml:space="preserve">an audit be undertaken in accordance with section 53V of the </w:t>
      </w:r>
      <w:r w:rsidR="00D8713B">
        <w:rPr>
          <w:rFonts w:asciiTheme="minorHAnsi" w:hAnsiTheme="minorHAnsi"/>
          <w:i/>
          <w:sz w:val="22"/>
          <w:lang w:eastAsia="en-US"/>
        </w:rPr>
        <w:t xml:space="preserve">Environment Protection Act </w:t>
      </w:r>
      <w:r w:rsidR="007D4036">
        <w:rPr>
          <w:rFonts w:asciiTheme="minorHAnsi" w:hAnsiTheme="minorHAnsi"/>
          <w:i/>
          <w:sz w:val="22"/>
          <w:lang w:eastAsia="en-US"/>
        </w:rPr>
        <w:t xml:space="preserve">1971 </w:t>
      </w:r>
      <w:r w:rsidR="007D4036">
        <w:rPr>
          <w:rFonts w:asciiTheme="minorHAnsi" w:hAnsiTheme="minorHAnsi"/>
          <w:sz w:val="22"/>
          <w:lang w:eastAsia="en-US"/>
        </w:rPr>
        <w:t>(</w:t>
      </w:r>
      <w:r w:rsidR="007D4036">
        <w:rPr>
          <w:rFonts w:asciiTheme="minorHAnsi" w:hAnsiTheme="minorHAnsi"/>
          <w:b/>
          <w:sz w:val="22"/>
          <w:lang w:eastAsia="en-US"/>
        </w:rPr>
        <w:t>s53V audit</w:t>
      </w:r>
      <w:r w:rsidR="007D4036">
        <w:rPr>
          <w:rFonts w:asciiTheme="minorHAnsi" w:hAnsiTheme="minorHAnsi"/>
          <w:sz w:val="22"/>
          <w:lang w:eastAsia="en-US"/>
        </w:rPr>
        <w:t xml:space="preserve">) </w:t>
      </w:r>
      <w:r w:rsidR="00FA49FB">
        <w:rPr>
          <w:rFonts w:asciiTheme="minorHAnsi" w:hAnsiTheme="minorHAnsi"/>
          <w:sz w:val="22"/>
          <w:lang w:eastAsia="en-US"/>
        </w:rPr>
        <w:t xml:space="preserve">for the Amendment </w:t>
      </w:r>
      <w:r w:rsidR="007D4036">
        <w:rPr>
          <w:rFonts w:asciiTheme="minorHAnsi" w:hAnsiTheme="minorHAnsi"/>
          <w:sz w:val="22"/>
          <w:lang w:eastAsia="en-US"/>
        </w:rPr>
        <w:t>if sens</w:t>
      </w:r>
      <w:r w:rsidR="00306646">
        <w:rPr>
          <w:rFonts w:asciiTheme="minorHAnsi" w:hAnsiTheme="minorHAnsi"/>
          <w:sz w:val="22"/>
          <w:lang w:eastAsia="en-US"/>
        </w:rPr>
        <w:t>itive uses were proposed to be allowed within that buffer.</w:t>
      </w:r>
    </w:p>
    <w:p w:rsidR="00164984" w:rsidRPr="00201AF7" w:rsidRDefault="00201AF7" w:rsidP="002C636F">
      <w:pPr>
        <w:rPr>
          <w:rFonts w:asciiTheme="minorHAnsi" w:hAnsiTheme="minorHAnsi"/>
          <w:sz w:val="22"/>
          <w:lang w:eastAsia="en-US"/>
        </w:rPr>
      </w:pPr>
      <w:r w:rsidRPr="00201AF7">
        <w:rPr>
          <w:rFonts w:asciiTheme="minorHAnsi" w:hAnsiTheme="minorHAnsi"/>
          <w:sz w:val="22"/>
          <w:lang w:eastAsia="en-US"/>
        </w:rPr>
        <w:t xml:space="preserve">The </w:t>
      </w:r>
      <w:r>
        <w:rPr>
          <w:rFonts w:asciiTheme="minorHAnsi" w:hAnsiTheme="minorHAnsi"/>
          <w:sz w:val="22"/>
          <w:lang w:eastAsia="en-US"/>
        </w:rPr>
        <w:t>Metropolitan Waste and Resource Recovery Group (</w:t>
      </w:r>
      <w:r w:rsidR="0089339E">
        <w:rPr>
          <w:rFonts w:asciiTheme="minorHAnsi" w:hAnsiTheme="minorHAnsi"/>
          <w:b/>
          <w:sz w:val="22"/>
          <w:lang w:eastAsia="en-US"/>
        </w:rPr>
        <w:t>MWR</w:t>
      </w:r>
      <w:r>
        <w:rPr>
          <w:rFonts w:asciiTheme="minorHAnsi" w:hAnsiTheme="minorHAnsi"/>
          <w:b/>
          <w:sz w:val="22"/>
          <w:lang w:eastAsia="en-US"/>
        </w:rPr>
        <w:t>RG</w:t>
      </w:r>
      <w:r>
        <w:rPr>
          <w:rFonts w:asciiTheme="minorHAnsi" w:hAnsiTheme="minorHAnsi"/>
          <w:sz w:val="22"/>
          <w:lang w:eastAsia="en-US"/>
        </w:rPr>
        <w:t>) submission acknowledge</w:t>
      </w:r>
      <w:r w:rsidR="00667A57">
        <w:rPr>
          <w:rFonts w:asciiTheme="minorHAnsi" w:hAnsiTheme="minorHAnsi"/>
          <w:sz w:val="22"/>
          <w:lang w:eastAsia="en-US"/>
        </w:rPr>
        <w:t>d</w:t>
      </w:r>
      <w:r>
        <w:rPr>
          <w:rFonts w:asciiTheme="minorHAnsi" w:hAnsiTheme="minorHAnsi"/>
          <w:sz w:val="22"/>
          <w:lang w:eastAsia="en-US"/>
        </w:rPr>
        <w:t xml:space="preserve"> the </w:t>
      </w:r>
      <w:proofErr w:type="gramStart"/>
      <w:r>
        <w:rPr>
          <w:rFonts w:asciiTheme="minorHAnsi" w:hAnsiTheme="minorHAnsi"/>
          <w:sz w:val="22"/>
          <w:lang w:eastAsia="en-US"/>
        </w:rPr>
        <w:t>500 metre</w:t>
      </w:r>
      <w:proofErr w:type="gramEnd"/>
      <w:r>
        <w:rPr>
          <w:rFonts w:asciiTheme="minorHAnsi" w:hAnsiTheme="minorHAnsi"/>
          <w:sz w:val="22"/>
          <w:lang w:eastAsia="en-US"/>
        </w:rPr>
        <w:t xml:space="preserve"> landfill buffer </w:t>
      </w:r>
      <w:r w:rsidR="00164DCF">
        <w:rPr>
          <w:rFonts w:asciiTheme="minorHAnsi" w:hAnsiTheme="minorHAnsi"/>
          <w:sz w:val="22"/>
          <w:lang w:eastAsia="en-US"/>
        </w:rPr>
        <w:t>but</w:t>
      </w:r>
      <w:r w:rsidR="00667A57">
        <w:rPr>
          <w:rFonts w:asciiTheme="minorHAnsi" w:hAnsiTheme="minorHAnsi"/>
          <w:sz w:val="22"/>
          <w:lang w:eastAsia="en-US"/>
        </w:rPr>
        <w:t xml:space="preserve"> did </w:t>
      </w:r>
      <w:r w:rsidR="00164DCF">
        <w:rPr>
          <w:rFonts w:asciiTheme="minorHAnsi" w:hAnsiTheme="minorHAnsi"/>
          <w:sz w:val="22"/>
          <w:lang w:eastAsia="en-US"/>
        </w:rPr>
        <w:t>not comment on its extent.</w:t>
      </w:r>
      <w:r>
        <w:rPr>
          <w:rFonts w:asciiTheme="minorHAnsi" w:hAnsiTheme="minorHAnsi"/>
          <w:sz w:val="22"/>
          <w:lang w:eastAsia="en-US"/>
        </w:rPr>
        <w:t xml:space="preserve"> </w:t>
      </w:r>
    </w:p>
    <w:p w:rsidR="00164984" w:rsidRPr="000F4D02" w:rsidRDefault="000F4D02" w:rsidP="002C636F">
      <w:pPr>
        <w:rPr>
          <w:rFonts w:asciiTheme="minorHAnsi" w:hAnsiTheme="minorHAnsi"/>
          <w:sz w:val="22"/>
          <w:lang w:eastAsia="en-US"/>
        </w:rPr>
      </w:pPr>
      <w:r>
        <w:rPr>
          <w:rFonts w:asciiTheme="minorHAnsi" w:hAnsiTheme="minorHAnsi"/>
          <w:sz w:val="22"/>
          <w:lang w:eastAsia="en-US"/>
        </w:rPr>
        <w:t>The Sustainability Victoria (</w:t>
      </w:r>
      <w:r>
        <w:rPr>
          <w:rFonts w:asciiTheme="minorHAnsi" w:hAnsiTheme="minorHAnsi"/>
          <w:b/>
          <w:sz w:val="22"/>
          <w:lang w:eastAsia="en-US"/>
        </w:rPr>
        <w:t>SV</w:t>
      </w:r>
      <w:r>
        <w:rPr>
          <w:rFonts w:asciiTheme="minorHAnsi" w:hAnsiTheme="minorHAnsi"/>
          <w:sz w:val="22"/>
          <w:lang w:eastAsia="en-US"/>
        </w:rPr>
        <w:t xml:space="preserve">) submission </w:t>
      </w:r>
      <w:r w:rsidR="00667A57">
        <w:rPr>
          <w:rFonts w:asciiTheme="minorHAnsi" w:hAnsiTheme="minorHAnsi"/>
          <w:sz w:val="22"/>
          <w:lang w:eastAsia="en-US"/>
        </w:rPr>
        <w:t>did</w:t>
      </w:r>
      <w:r>
        <w:rPr>
          <w:rFonts w:asciiTheme="minorHAnsi" w:hAnsiTheme="minorHAnsi"/>
          <w:sz w:val="22"/>
          <w:lang w:eastAsia="en-US"/>
        </w:rPr>
        <w:t xml:space="preserve"> not refer to the extent of the buffer, but focuse</w:t>
      </w:r>
      <w:r w:rsidR="008D0270">
        <w:rPr>
          <w:rFonts w:asciiTheme="minorHAnsi" w:hAnsiTheme="minorHAnsi"/>
          <w:sz w:val="22"/>
          <w:lang w:eastAsia="en-US"/>
        </w:rPr>
        <w:t>d</w:t>
      </w:r>
      <w:r>
        <w:rPr>
          <w:rFonts w:asciiTheme="minorHAnsi" w:hAnsiTheme="minorHAnsi"/>
          <w:sz w:val="22"/>
          <w:lang w:eastAsia="en-US"/>
        </w:rPr>
        <w:t xml:space="preserve"> on the controls that apply </w:t>
      </w:r>
      <w:r w:rsidR="00BB3B3A">
        <w:rPr>
          <w:rFonts w:asciiTheme="minorHAnsi" w:hAnsiTheme="minorHAnsi"/>
          <w:sz w:val="22"/>
          <w:lang w:eastAsia="en-US"/>
        </w:rPr>
        <w:t>within</w:t>
      </w:r>
      <w:r>
        <w:rPr>
          <w:rFonts w:asciiTheme="minorHAnsi" w:hAnsiTheme="minorHAnsi"/>
          <w:sz w:val="22"/>
          <w:lang w:eastAsia="en-US"/>
        </w:rPr>
        <w:t xml:space="preserve"> the buffer.</w:t>
      </w:r>
    </w:p>
    <w:p w:rsidR="00644469" w:rsidRPr="00F5778D" w:rsidRDefault="00644469" w:rsidP="002C636F">
      <w:pPr>
        <w:rPr>
          <w:rFonts w:asciiTheme="minorHAnsi" w:hAnsiTheme="minorHAnsi"/>
          <w:b/>
          <w:i/>
          <w:sz w:val="22"/>
          <w:lang w:eastAsia="en-US"/>
        </w:rPr>
      </w:pPr>
      <w:r w:rsidRPr="00F5778D">
        <w:rPr>
          <w:rFonts w:asciiTheme="minorHAnsi" w:hAnsiTheme="minorHAnsi"/>
          <w:b/>
          <w:i/>
          <w:sz w:val="22"/>
          <w:lang w:eastAsia="en-US"/>
        </w:rPr>
        <w:t xml:space="preserve">VPA </w:t>
      </w:r>
      <w:r w:rsidR="00C11A97" w:rsidRPr="00F5778D">
        <w:rPr>
          <w:rFonts w:asciiTheme="minorHAnsi" w:hAnsiTheme="minorHAnsi"/>
          <w:b/>
          <w:i/>
          <w:sz w:val="22"/>
          <w:lang w:eastAsia="en-US"/>
        </w:rPr>
        <w:t>submissions</w:t>
      </w:r>
      <w:r w:rsidR="008D5F7C" w:rsidRPr="00F5778D">
        <w:rPr>
          <w:rFonts w:asciiTheme="minorHAnsi" w:hAnsiTheme="minorHAnsi"/>
          <w:b/>
          <w:i/>
          <w:sz w:val="22"/>
          <w:lang w:eastAsia="en-US"/>
        </w:rPr>
        <w:t xml:space="preserve"> and response to evidence</w:t>
      </w:r>
    </w:p>
    <w:p w:rsidR="00C53F72" w:rsidRDefault="00C53F72" w:rsidP="00C53F72">
      <w:pPr>
        <w:rPr>
          <w:rFonts w:asciiTheme="minorHAnsi" w:hAnsiTheme="minorHAnsi"/>
          <w:sz w:val="22"/>
          <w:lang w:eastAsia="en-US"/>
        </w:rPr>
      </w:pPr>
      <w:r>
        <w:rPr>
          <w:rFonts w:asciiTheme="minorHAnsi" w:hAnsiTheme="minorHAnsi"/>
          <w:sz w:val="22"/>
          <w:lang w:eastAsia="en-US"/>
        </w:rPr>
        <w:t>Section 12(2)(b</w:t>
      </w:r>
      <w:r w:rsidRPr="003D3AC6">
        <w:rPr>
          <w:rFonts w:asciiTheme="minorHAnsi" w:hAnsiTheme="minorHAnsi"/>
          <w:sz w:val="22"/>
          <w:lang w:eastAsia="en-US"/>
        </w:rPr>
        <w:t xml:space="preserve">) of </w:t>
      </w:r>
      <w:r w:rsidR="003C18A9" w:rsidRPr="003D3AC6">
        <w:rPr>
          <w:rFonts w:asciiTheme="minorHAnsi" w:hAnsiTheme="minorHAnsi"/>
          <w:sz w:val="22"/>
          <w:lang w:eastAsia="en-US"/>
        </w:rPr>
        <w:t>the P&amp;E Act</w:t>
      </w:r>
      <w:r w:rsidRPr="003D3AC6">
        <w:rPr>
          <w:rFonts w:asciiTheme="minorHAnsi" w:hAnsiTheme="minorHAnsi"/>
          <w:sz w:val="22"/>
          <w:lang w:eastAsia="en-US"/>
        </w:rPr>
        <w:t xml:space="preserve"> requires a planning authority in preparing a planning scheme amendment to </w:t>
      </w:r>
      <w:proofErr w:type="gramStart"/>
      <w:r w:rsidRPr="003D3AC6">
        <w:rPr>
          <w:rFonts w:asciiTheme="minorHAnsi" w:hAnsiTheme="minorHAnsi"/>
          <w:sz w:val="22"/>
          <w:lang w:eastAsia="en-US"/>
        </w:rPr>
        <w:t>take into account</w:t>
      </w:r>
      <w:proofErr w:type="gramEnd"/>
      <w:r w:rsidRPr="003D3AC6">
        <w:rPr>
          <w:rFonts w:asciiTheme="minorHAnsi" w:hAnsiTheme="minorHAnsi"/>
          <w:sz w:val="22"/>
          <w:lang w:eastAsia="en-US"/>
        </w:rPr>
        <w:t xml:space="preserve"> any significant effects which it considers the environment might have on any use or development envisaged in the</w:t>
      </w:r>
      <w:r>
        <w:rPr>
          <w:rFonts w:asciiTheme="minorHAnsi" w:hAnsiTheme="minorHAnsi"/>
          <w:sz w:val="22"/>
          <w:lang w:eastAsia="en-US"/>
        </w:rPr>
        <w:t xml:space="preserve"> amendment. </w:t>
      </w:r>
      <w:r w:rsidR="002D1669">
        <w:rPr>
          <w:rFonts w:asciiTheme="minorHAnsi" w:hAnsiTheme="minorHAnsi"/>
          <w:sz w:val="22"/>
          <w:lang w:eastAsia="en-US"/>
        </w:rPr>
        <w:t xml:space="preserve"> The VPA takes this responsibility seriously</w:t>
      </w:r>
      <w:r w:rsidR="00AF4EDC">
        <w:rPr>
          <w:rFonts w:asciiTheme="minorHAnsi" w:hAnsiTheme="minorHAnsi"/>
          <w:sz w:val="22"/>
          <w:lang w:eastAsia="en-US"/>
        </w:rPr>
        <w:t xml:space="preserve"> and accepts that landfill buffers and their extent are </w:t>
      </w:r>
      <w:r w:rsidR="005202C9">
        <w:rPr>
          <w:rFonts w:asciiTheme="minorHAnsi" w:hAnsiTheme="minorHAnsi"/>
          <w:sz w:val="22"/>
          <w:lang w:eastAsia="en-US"/>
        </w:rPr>
        <w:t xml:space="preserve">important issues.  </w:t>
      </w:r>
    </w:p>
    <w:p w:rsidR="00C53F72" w:rsidRDefault="00C53F72" w:rsidP="00C53F72">
      <w:pPr>
        <w:rPr>
          <w:rFonts w:asciiTheme="minorHAnsi" w:hAnsiTheme="minorHAnsi"/>
          <w:sz w:val="22"/>
          <w:lang w:eastAsia="en-US"/>
        </w:rPr>
      </w:pPr>
      <w:r>
        <w:rPr>
          <w:rFonts w:asciiTheme="minorHAnsi" w:hAnsiTheme="minorHAnsi"/>
          <w:sz w:val="22"/>
          <w:lang w:eastAsia="en-US"/>
        </w:rPr>
        <w:t>The VPA recognises that landfills can have significant effects on the surrounding environment and community, including potential discharges of landfill gas, odour, noise, litter and dust.  The VPA considers</w:t>
      </w:r>
      <w:r w:rsidR="00530F73">
        <w:rPr>
          <w:rFonts w:asciiTheme="minorHAnsi" w:hAnsiTheme="minorHAnsi"/>
          <w:sz w:val="22"/>
          <w:lang w:eastAsia="en-US"/>
        </w:rPr>
        <w:t xml:space="preserve"> that</w:t>
      </w:r>
      <w:r>
        <w:rPr>
          <w:rFonts w:asciiTheme="minorHAnsi" w:hAnsiTheme="minorHAnsi"/>
          <w:sz w:val="22"/>
          <w:lang w:eastAsia="en-US"/>
        </w:rPr>
        <w:t xml:space="preserve"> </w:t>
      </w:r>
      <w:r w:rsidR="006F7532">
        <w:rPr>
          <w:rFonts w:asciiTheme="minorHAnsi" w:hAnsiTheme="minorHAnsi"/>
          <w:sz w:val="22"/>
          <w:lang w:eastAsia="en-US"/>
        </w:rPr>
        <w:t>Amendment C207</w:t>
      </w:r>
      <w:r>
        <w:rPr>
          <w:rFonts w:asciiTheme="minorHAnsi" w:hAnsiTheme="minorHAnsi"/>
          <w:sz w:val="22"/>
          <w:lang w:eastAsia="en-US"/>
        </w:rPr>
        <w:t xml:space="preserve">, subject to </w:t>
      </w:r>
      <w:proofErr w:type="gramStart"/>
      <w:r>
        <w:rPr>
          <w:rFonts w:asciiTheme="minorHAnsi" w:hAnsiTheme="minorHAnsi"/>
          <w:sz w:val="22"/>
          <w:lang w:eastAsia="en-US"/>
        </w:rPr>
        <w:t>a number of</w:t>
      </w:r>
      <w:proofErr w:type="gramEnd"/>
      <w:r>
        <w:rPr>
          <w:rFonts w:asciiTheme="minorHAnsi" w:hAnsiTheme="minorHAnsi"/>
          <w:sz w:val="22"/>
          <w:lang w:eastAsia="en-US"/>
        </w:rPr>
        <w:t xml:space="preserve"> post-exhibition changes summarised below, appropriately take</w:t>
      </w:r>
      <w:r w:rsidR="006F7532">
        <w:rPr>
          <w:rFonts w:asciiTheme="minorHAnsi" w:hAnsiTheme="minorHAnsi"/>
          <w:sz w:val="22"/>
          <w:lang w:eastAsia="en-US"/>
        </w:rPr>
        <w:t>s</w:t>
      </w:r>
      <w:r>
        <w:rPr>
          <w:rFonts w:asciiTheme="minorHAnsi" w:hAnsiTheme="minorHAnsi"/>
          <w:sz w:val="22"/>
          <w:lang w:eastAsia="en-US"/>
        </w:rPr>
        <w:t xml:space="preserve"> into account and address those effects.</w:t>
      </w:r>
    </w:p>
    <w:p w:rsidR="00C53F72" w:rsidRDefault="00C53F72" w:rsidP="00C53F72">
      <w:pPr>
        <w:rPr>
          <w:rFonts w:asciiTheme="minorHAnsi" w:hAnsiTheme="minorHAnsi"/>
          <w:sz w:val="22"/>
          <w:lang w:eastAsia="en-US"/>
        </w:rPr>
      </w:pPr>
      <w:r>
        <w:rPr>
          <w:rFonts w:asciiTheme="minorHAnsi" w:hAnsiTheme="minorHAnsi"/>
          <w:sz w:val="22"/>
          <w:lang w:eastAsia="en-US"/>
        </w:rPr>
        <w:lastRenderedPageBreak/>
        <w:t>Clause 19.03-5 in the Scheme (Waste and resource recovery) includes the following strategy:</w:t>
      </w:r>
    </w:p>
    <w:p w:rsidR="00C53F72" w:rsidRPr="006645F5" w:rsidRDefault="00C53F72" w:rsidP="00C53F72">
      <w:pPr>
        <w:ind w:left="709"/>
        <w:rPr>
          <w:rFonts w:asciiTheme="minorHAnsi" w:hAnsiTheme="minorHAnsi"/>
          <w:i/>
          <w:sz w:val="22"/>
          <w:lang w:eastAsia="en-US"/>
        </w:rPr>
      </w:pPr>
      <w:r>
        <w:rPr>
          <w:rFonts w:asciiTheme="minorHAnsi" w:hAnsiTheme="minorHAnsi"/>
          <w:i/>
          <w:sz w:val="22"/>
          <w:lang w:eastAsia="en-US"/>
        </w:rPr>
        <w:t>Protect waste and resource recovery infrastructure against encroachment from incompatible land uses by ensuring buffer areas are defined, protected and maintained.</w:t>
      </w:r>
    </w:p>
    <w:p w:rsidR="00C53F72" w:rsidRDefault="00C53F72" w:rsidP="00C53F72">
      <w:pPr>
        <w:rPr>
          <w:rFonts w:asciiTheme="minorHAnsi" w:hAnsiTheme="minorHAnsi"/>
          <w:sz w:val="22"/>
          <w:lang w:eastAsia="en-US"/>
        </w:rPr>
      </w:pPr>
      <w:r>
        <w:rPr>
          <w:rFonts w:asciiTheme="minorHAnsi" w:hAnsiTheme="minorHAnsi"/>
          <w:sz w:val="22"/>
          <w:lang w:eastAsia="en-US"/>
        </w:rPr>
        <w:t>Clause 19.03-5 includ</w:t>
      </w:r>
      <w:r w:rsidR="00B36594">
        <w:rPr>
          <w:rFonts w:asciiTheme="minorHAnsi" w:hAnsiTheme="minorHAnsi"/>
          <w:sz w:val="22"/>
          <w:lang w:eastAsia="en-US"/>
        </w:rPr>
        <w:t>es</w:t>
      </w:r>
      <w:r>
        <w:rPr>
          <w:rFonts w:asciiTheme="minorHAnsi" w:hAnsiTheme="minorHAnsi"/>
          <w:sz w:val="22"/>
          <w:lang w:eastAsia="en-US"/>
        </w:rPr>
        <w:t xml:space="preserve"> the SWRRIP, the Metro Plan and the Landfill BPEM as policy guidelines.</w:t>
      </w:r>
    </w:p>
    <w:p w:rsidR="00C53F72" w:rsidRPr="00491CFE" w:rsidRDefault="00C53F72" w:rsidP="00C53F72">
      <w:pPr>
        <w:rPr>
          <w:rFonts w:asciiTheme="minorHAnsi" w:hAnsiTheme="minorHAnsi"/>
          <w:sz w:val="22"/>
          <w:lang w:eastAsia="en-US"/>
        </w:rPr>
      </w:pPr>
      <w:r w:rsidRPr="00491CFE">
        <w:rPr>
          <w:rFonts w:asciiTheme="minorHAnsi" w:hAnsiTheme="minorHAnsi"/>
          <w:sz w:val="22"/>
          <w:lang w:eastAsia="en-US"/>
        </w:rPr>
        <w:t>The extent of the landfill buffer, as depicted in the Sunbury South PSP and Schedule 9 to the UGZ, is based on the Landfill BPEM.</w:t>
      </w:r>
    </w:p>
    <w:p w:rsidR="004D0170" w:rsidRDefault="00C53F72" w:rsidP="00C53F72">
      <w:pPr>
        <w:rPr>
          <w:rFonts w:asciiTheme="minorHAnsi" w:hAnsiTheme="minorHAnsi"/>
          <w:sz w:val="22"/>
          <w:lang w:eastAsia="en-US"/>
        </w:rPr>
      </w:pPr>
      <w:r w:rsidRPr="00491CFE">
        <w:rPr>
          <w:rFonts w:asciiTheme="minorHAnsi" w:hAnsiTheme="minorHAnsi"/>
          <w:sz w:val="22"/>
          <w:lang w:eastAsia="en-US"/>
        </w:rPr>
        <w:t>The Landfill BPEM addresses buffer distances for ac</w:t>
      </w:r>
      <w:r w:rsidR="00300B72">
        <w:rPr>
          <w:rFonts w:asciiTheme="minorHAnsi" w:hAnsiTheme="minorHAnsi"/>
          <w:sz w:val="22"/>
          <w:lang w:eastAsia="en-US"/>
        </w:rPr>
        <w:t>tive landfills at section 5.1.5.</w:t>
      </w:r>
      <w:r w:rsidR="00916E98">
        <w:rPr>
          <w:rStyle w:val="FootnoteReference"/>
          <w:rFonts w:asciiTheme="minorHAnsi" w:hAnsiTheme="minorHAnsi"/>
          <w:sz w:val="22"/>
          <w:lang w:eastAsia="en-US"/>
        </w:rPr>
        <w:footnoteReference w:id="47"/>
      </w:r>
      <w:r w:rsidR="00300B72">
        <w:rPr>
          <w:rFonts w:asciiTheme="minorHAnsi" w:hAnsiTheme="minorHAnsi"/>
          <w:sz w:val="22"/>
          <w:lang w:eastAsia="en-US"/>
        </w:rPr>
        <w:t xml:space="preserve">  Within that section, table 5.2 sets out th</w:t>
      </w:r>
      <w:r w:rsidR="007649FF">
        <w:rPr>
          <w:rFonts w:asciiTheme="minorHAnsi" w:hAnsiTheme="minorHAnsi"/>
          <w:sz w:val="22"/>
          <w:lang w:eastAsia="en-US"/>
        </w:rPr>
        <w:t xml:space="preserve">e buffer distances required for </w:t>
      </w:r>
      <w:r w:rsidR="004D0170">
        <w:rPr>
          <w:rFonts w:asciiTheme="minorHAnsi" w:hAnsiTheme="minorHAnsi"/>
          <w:sz w:val="22"/>
          <w:lang w:eastAsia="en-US"/>
        </w:rPr>
        <w:t>‘</w:t>
      </w:r>
      <w:r w:rsidR="007649FF">
        <w:rPr>
          <w:rFonts w:asciiTheme="minorHAnsi" w:hAnsiTheme="minorHAnsi"/>
          <w:sz w:val="22"/>
          <w:lang w:eastAsia="en-US"/>
        </w:rPr>
        <w:t>landfill gas migration, safety and amenity impacts</w:t>
      </w:r>
      <w:r w:rsidR="004D0170">
        <w:rPr>
          <w:rFonts w:asciiTheme="minorHAnsi" w:hAnsiTheme="minorHAnsi"/>
          <w:sz w:val="22"/>
          <w:lang w:eastAsia="en-US"/>
        </w:rPr>
        <w:t>’</w:t>
      </w:r>
      <w:r w:rsidR="007649FF">
        <w:rPr>
          <w:rFonts w:asciiTheme="minorHAnsi" w:hAnsiTheme="minorHAnsi"/>
          <w:sz w:val="22"/>
          <w:lang w:eastAsia="en-US"/>
        </w:rPr>
        <w:t>.</w:t>
      </w:r>
      <w:r w:rsidR="0059797B">
        <w:rPr>
          <w:rFonts w:asciiTheme="minorHAnsi" w:hAnsiTheme="minorHAnsi"/>
          <w:sz w:val="22"/>
          <w:lang w:eastAsia="en-US"/>
        </w:rPr>
        <w:t xml:space="preserve">  </w:t>
      </w:r>
      <w:r w:rsidR="004D0170">
        <w:rPr>
          <w:rFonts w:asciiTheme="minorHAnsi" w:hAnsiTheme="minorHAnsi"/>
          <w:sz w:val="22"/>
          <w:lang w:eastAsia="en-US"/>
        </w:rPr>
        <w:t>These include:</w:t>
      </w:r>
    </w:p>
    <w:p w:rsidR="00C53F72" w:rsidRDefault="004D0170" w:rsidP="003340E2">
      <w:pPr>
        <w:pStyle w:val="ListParagraph"/>
        <w:numPr>
          <w:ilvl w:val="0"/>
          <w:numId w:val="23"/>
        </w:numPr>
      </w:pPr>
      <w:r>
        <w:t>500 metres from buildings and structures for ‘Type 2’ landfills; and</w:t>
      </w:r>
    </w:p>
    <w:p w:rsidR="004D0170" w:rsidRDefault="004D0170" w:rsidP="003340E2">
      <w:pPr>
        <w:pStyle w:val="ListParagraph"/>
        <w:numPr>
          <w:ilvl w:val="0"/>
          <w:numId w:val="23"/>
        </w:numPr>
      </w:pPr>
      <w:r>
        <w:t>200 metres from buildings and structures for ‘Type 3’ landfills.</w:t>
      </w:r>
    </w:p>
    <w:p w:rsidR="00982897" w:rsidRDefault="00314AC5" w:rsidP="004D0170">
      <w:pPr>
        <w:rPr>
          <w:rFonts w:asciiTheme="minorHAnsi" w:hAnsiTheme="minorHAnsi"/>
          <w:sz w:val="22"/>
          <w:lang w:eastAsia="en-US"/>
        </w:rPr>
      </w:pPr>
      <w:r>
        <w:rPr>
          <w:rFonts w:asciiTheme="minorHAnsi" w:hAnsiTheme="minorHAnsi"/>
          <w:sz w:val="22"/>
          <w:lang w:eastAsia="en-US"/>
        </w:rPr>
        <w:t xml:space="preserve">Section 4 of the Landfill BPEM classifies landfills according to the waste types they accept.  </w:t>
      </w:r>
      <w:r w:rsidR="00FA0E99">
        <w:rPr>
          <w:rFonts w:asciiTheme="minorHAnsi" w:hAnsiTheme="minorHAnsi"/>
          <w:sz w:val="22"/>
          <w:lang w:eastAsia="en-US"/>
        </w:rPr>
        <w:t xml:space="preserve">Within that section, table 4.1 </w:t>
      </w:r>
      <w:r w:rsidR="00EC2189">
        <w:rPr>
          <w:rFonts w:asciiTheme="minorHAnsi" w:hAnsiTheme="minorHAnsi"/>
          <w:sz w:val="22"/>
          <w:lang w:eastAsia="en-US"/>
        </w:rPr>
        <w:t>classifies:</w:t>
      </w:r>
    </w:p>
    <w:p w:rsidR="00EC2189" w:rsidRDefault="00EC2189" w:rsidP="003340E2">
      <w:pPr>
        <w:pStyle w:val="ListParagraph"/>
        <w:numPr>
          <w:ilvl w:val="0"/>
          <w:numId w:val="25"/>
        </w:numPr>
      </w:pPr>
      <w:r>
        <w:t>Type 2 landfills as accepting putrescible (municipal) waste, solid inert waste, fill material, and category C prescribed industrial waste</w:t>
      </w:r>
      <w:r w:rsidR="00A00D33">
        <w:t>; and</w:t>
      </w:r>
    </w:p>
    <w:p w:rsidR="00A00D33" w:rsidRPr="00EC2189" w:rsidRDefault="00A00D33" w:rsidP="003340E2">
      <w:pPr>
        <w:pStyle w:val="ListParagraph"/>
        <w:numPr>
          <w:ilvl w:val="0"/>
          <w:numId w:val="25"/>
        </w:numPr>
      </w:pPr>
      <w:r>
        <w:t>Type 3 landfills as accepting solid inert waste and fill material only.</w:t>
      </w:r>
    </w:p>
    <w:p w:rsidR="002D3818" w:rsidRDefault="002D3818" w:rsidP="004D0170">
      <w:pPr>
        <w:rPr>
          <w:rFonts w:asciiTheme="minorHAnsi" w:hAnsiTheme="minorHAnsi"/>
          <w:sz w:val="22"/>
          <w:lang w:eastAsia="en-US"/>
        </w:rPr>
      </w:pPr>
      <w:r>
        <w:rPr>
          <w:rFonts w:asciiTheme="minorHAnsi" w:hAnsiTheme="minorHAnsi"/>
          <w:sz w:val="22"/>
          <w:lang w:eastAsia="en-US"/>
        </w:rPr>
        <w:t>The landfill classifications apply across the Landfill BPEM</w:t>
      </w:r>
      <w:r w:rsidR="00184F95">
        <w:rPr>
          <w:rFonts w:asciiTheme="minorHAnsi" w:hAnsiTheme="minorHAnsi"/>
          <w:sz w:val="22"/>
          <w:lang w:eastAsia="en-US"/>
        </w:rPr>
        <w:t xml:space="preserve">, not exclusively </w:t>
      </w:r>
      <w:proofErr w:type="gramStart"/>
      <w:r w:rsidR="00184F95">
        <w:rPr>
          <w:rFonts w:asciiTheme="minorHAnsi" w:hAnsiTheme="minorHAnsi"/>
          <w:sz w:val="22"/>
          <w:lang w:eastAsia="en-US"/>
        </w:rPr>
        <w:t>for the purpose of</w:t>
      </w:r>
      <w:proofErr w:type="gramEnd"/>
      <w:r w:rsidR="00184F95">
        <w:rPr>
          <w:rFonts w:asciiTheme="minorHAnsi" w:hAnsiTheme="minorHAnsi"/>
          <w:sz w:val="22"/>
          <w:lang w:eastAsia="en-US"/>
        </w:rPr>
        <w:t xml:space="preserve"> determining buffer distances.</w:t>
      </w:r>
      <w:r>
        <w:rPr>
          <w:rFonts w:asciiTheme="minorHAnsi" w:hAnsiTheme="minorHAnsi"/>
          <w:sz w:val="22"/>
          <w:lang w:eastAsia="en-US"/>
        </w:rPr>
        <w:t xml:space="preserve"> </w:t>
      </w:r>
    </w:p>
    <w:p w:rsidR="008E67AA" w:rsidRDefault="00192D67" w:rsidP="004D0170">
      <w:pPr>
        <w:rPr>
          <w:rFonts w:asciiTheme="minorHAnsi" w:hAnsiTheme="minorHAnsi"/>
          <w:sz w:val="22"/>
          <w:lang w:eastAsia="en-US"/>
        </w:rPr>
      </w:pPr>
      <w:r>
        <w:rPr>
          <w:rFonts w:asciiTheme="minorHAnsi" w:hAnsiTheme="minorHAnsi"/>
          <w:sz w:val="22"/>
          <w:lang w:eastAsia="en-US"/>
        </w:rPr>
        <w:t xml:space="preserve">The </w:t>
      </w:r>
      <w:proofErr w:type="gramStart"/>
      <w:r>
        <w:rPr>
          <w:rFonts w:asciiTheme="minorHAnsi" w:hAnsiTheme="minorHAnsi"/>
          <w:sz w:val="22"/>
          <w:lang w:eastAsia="en-US"/>
        </w:rPr>
        <w:t>500 metre</w:t>
      </w:r>
      <w:proofErr w:type="gramEnd"/>
      <w:r>
        <w:rPr>
          <w:rFonts w:asciiTheme="minorHAnsi" w:hAnsiTheme="minorHAnsi"/>
          <w:sz w:val="22"/>
          <w:lang w:eastAsia="en-US"/>
        </w:rPr>
        <w:t xml:space="preserve"> buffer </w:t>
      </w:r>
      <w:r w:rsidR="00A00D33">
        <w:rPr>
          <w:rFonts w:asciiTheme="minorHAnsi" w:hAnsiTheme="minorHAnsi"/>
          <w:sz w:val="22"/>
          <w:lang w:eastAsia="en-US"/>
        </w:rPr>
        <w:t xml:space="preserve">in the Sunbury South PSP and Schedule 9 to the UGZ </w:t>
      </w:r>
      <w:r w:rsidR="008118FE">
        <w:rPr>
          <w:rFonts w:asciiTheme="minorHAnsi" w:hAnsiTheme="minorHAnsi"/>
          <w:sz w:val="22"/>
          <w:lang w:eastAsia="en-US"/>
        </w:rPr>
        <w:t>is based on the distance</w:t>
      </w:r>
      <w:r w:rsidR="00A00D33">
        <w:rPr>
          <w:rFonts w:asciiTheme="minorHAnsi" w:hAnsiTheme="minorHAnsi"/>
          <w:sz w:val="22"/>
          <w:lang w:eastAsia="en-US"/>
        </w:rPr>
        <w:t xml:space="preserve"> specified for Type 2 landfills</w:t>
      </w:r>
      <w:r w:rsidR="00D24711">
        <w:rPr>
          <w:rFonts w:asciiTheme="minorHAnsi" w:hAnsiTheme="minorHAnsi"/>
          <w:sz w:val="22"/>
          <w:lang w:eastAsia="en-US"/>
        </w:rPr>
        <w:t xml:space="preserve">, </w:t>
      </w:r>
      <w:r w:rsidR="00435DA3">
        <w:rPr>
          <w:rFonts w:asciiTheme="minorHAnsi" w:hAnsiTheme="minorHAnsi"/>
          <w:sz w:val="22"/>
          <w:lang w:eastAsia="en-US"/>
        </w:rPr>
        <w:t>since</w:t>
      </w:r>
      <w:r w:rsidR="00D24711">
        <w:rPr>
          <w:rFonts w:asciiTheme="minorHAnsi" w:hAnsiTheme="minorHAnsi"/>
          <w:sz w:val="22"/>
          <w:lang w:eastAsia="en-US"/>
        </w:rPr>
        <w:t xml:space="preserve"> the landfill accepts category C prescribed industrial waste.</w:t>
      </w:r>
    </w:p>
    <w:p w:rsidR="00315B78" w:rsidRDefault="00A03F42" w:rsidP="004D0170">
      <w:pPr>
        <w:rPr>
          <w:rFonts w:asciiTheme="minorHAnsi" w:hAnsiTheme="minorHAnsi"/>
          <w:sz w:val="22"/>
          <w:lang w:eastAsia="en-US"/>
        </w:rPr>
      </w:pPr>
      <w:r>
        <w:rPr>
          <w:rFonts w:asciiTheme="minorHAnsi" w:hAnsiTheme="minorHAnsi"/>
          <w:sz w:val="22"/>
          <w:lang w:eastAsia="en-US"/>
        </w:rPr>
        <w:t xml:space="preserve">The VPA has subsequently obtained </w:t>
      </w:r>
      <w:r w:rsidR="0096223F">
        <w:rPr>
          <w:rFonts w:asciiTheme="minorHAnsi" w:hAnsiTheme="minorHAnsi"/>
          <w:sz w:val="22"/>
          <w:lang w:eastAsia="en-US"/>
        </w:rPr>
        <w:t>independent evidence from</w:t>
      </w:r>
      <w:r>
        <w:rPr>
          <w:rFonts w:asciiTheme="minorHAnsi" w:hAnsiTheme="minorHAnsi"/>
          <w:sz w:val="22"/>
          <w:lang w:eastAsia="en-US"/>
        </w:rPr>
        <w:t xml:space="preserve"> Mr Clarke in relation to the appropriate extent of the landfill buffe</w:t>
      </w:r>
      <w:r w:rsidR="00315B78">
        <w:rPr>
          <w:rFonts w:asciiTheme="minorHAnsi" w:hAnsiTheme="minorHAnsi"/>
          <w:sz w:val="22"/>
          <w:lang w:eastAsia="en-US"/>
        </w:rPr>
        <w:t>r.</w:t>
      </w:r>
    </w:p>
    <w:p w:rsidR="008118FE" w:rsidRDefault="0096223F" w:rsidP="004D0170">
      <w:pPr>
        <w:rPr>
          <w:rFonts w:asciiTheme="minorHAnsi" w:hAnsiTheme="minorHAnsi"/>
          <w:sz w:val="22"/>
          <w:lang w:eastAsia="en-US"/>
        </w:rPr>
      </w:pPr>
      <w:r>
        <w:rPr>
          <w:rFonts w:asciiTheme="minorHAnsi" w:hAnsiTheme="minorHAnsi"/>
          <w:sz w:val="22"/>
          <w:lang w:eastAsia="en-US"/>
        </w:rPr>
        <w:t xml:space="preserve">Mr Clarke has provided his expert </w:t>
      </w:r>
      <w:r w:rsidR="009F7FDA">
        <w:rPr>
          <w:rFonts w:asciiTheme="minorHAnsi" w:hAnsiTheme="minorHAnsi"/>
          <w:sz w:val="22"/>
          <w:lang w:eastAsia="en-US"/>
        </w:rPr>
        <w:t xml:space="preserve">opinion </w:t>
      </w:r>
      <w:r w:rsidR="00F726D3">
        <w:rPr>
          <w:rFonts w:asciiTheme="minorHAnsi" w:hAnsiTheme="minorHAnsi"/>
          <w:sz w:val="22"/>
          <w:lang w:eastAsia="en-US"/>
        </w:rPr>
        <w:t xml:space="preserve">on the wastes accepted at this landfill </w:t>
      </w:r>
      <w:r w:rsidR="00346D7B">
        <w:rPr>
          <w:rFonts w:asciiTheme="minorHAnsi" w:hAnsiTheme="minorHAnsi"/>
          <w:sz w:val="22"/>
          <w:lang w:eastAsia="en-US"/>
        </w:rPr>
        <w:t xml:space="preserve">and its corresponding ‘type’ </w:t>
      </w:r>
      <w:r w:rsidR="009F7FDA">
        <w:rPr>
          <w:rFonts w:asciiTheme="minorHAnsi" w:hAnsiTheme="minorHAnsi"/>
          <w:sz w:val="22"/>
          <w:lang w:eastAsia="en-US"/>
        </w:rPr>
        <w:t>as follows</w:t>
      </w:r>
      <w:r>
        <w:rPr>
          <w:rFonts w:asciiTheme="minorHAnsi" w:hAnsiTheme="minorHAnsi"/>
          <w:sz w:val="22"/>
          <w:lang w:eastAsia="en-US"/>
        </w:rPr>
        <w:t>:</w:t>
      </w:r>
      <w:r w:rsidR="00422CC7">
        <w:rPr>
          <w:rStyle w:val="FootnoteReference"/>
          <w:rFonts w:asciiTheme="minorHAnsi" w:hAnsiTheme="minorHAnsi"/>
          <w:sz w:val="22"/>
          <w:lang w:eastAsia="en-US"/>
        </w:rPr>
        <w:footnoteReference w:id="48"/>
      </w:r>
      <w:r w:rsidR="00A03F42">
        <w:rPr>
          <w:rFonts w:asciiTheme="minorHAnsi" w:hAnsiTheme="minorHAnsi"/>
          <w:sz w:val="22"/>
          <w:lang w:eastAsia="en-US"/>
        </w:rPr>
        <w:t xml:space="preserve"> </w:t>
      </w:r>
    </w:p>
    <w:p w:rsidR="00184F95" w:rsidRDefault="00184F95" w:rsidP="00184F95">
      <w:pPr>
        <w:ind w:left="709"/>
        <w:rPr>
          <w:rFonts w:asciiTheme="minorHAnsi" w:hAnsiTheme="minorHAnsi"/>
          <w:i/>
          <w:sz w:val="22"/>
          <w:lang w:eastAsia="en-US"/>
        </w:rPr>
      </w:pPr>
      <w:r>
        <w:rPr>
          <w:rFonts w:asciiTheme="minorHAnsi" w:hAnsiTheme="minorHAnsi"/>
          <w:i/>
          <w:sz w:val="22"/>
          <w:lang w:eastAsia="en-US"/>
        </w:rPr>
        <w:t xml:space="preserve">The HQQP Landfill is defined as a Type 2 landfill in the EPA Licence on the basis that it receives PIW, asbestos and material containing PCBs.  However, the </w:t>
      </w:r>
      <w:proofErr w:type="gramStart"/>
      <w:r>
        <w:rPr>
          <w:rFonts w:asciiTheme="minorHAnsi" w:hAnsiTheme="minorHAnsi"/>
          <w:i/>
          <w:sz w:val="22"/>
          <w:lang w:eastAsia="en-US"/>
        </w:rPr>
        <w:t>500 m</w:t>
      </w:r>
      <w:proofErr w:type="gramEnd"/>
      <w:r>
        <w:rPr>
          <w:rFonts w:asciiTheme="minorHAnsi" w:hAnsiTheme="minorHAnsi"/>
          <w:i/>
          <w:sz w:val="22"/>
          <w:lang w:eastAsia="en-US"/>
        </w:rPr>
        <w:t xml:space="preserve"> landfill buffer required for Type 2 landfills in the Landfill BPEM is relevant to putrescible wastes, which are the waste stream most likely to produce significant volumes of methane and carbon </w:t>
      </w:r>
      <w:r>
        <w:rPr>
          <w:rFonts w:asciiTheme="minorHAnsi" w:hAnsiTheme="minorHAnsi"/>
          <w:i/>
          <w:sz w:val="22"/>
          <w:lang w:eastAsia="en-US"/>
        </w:rPr>
        <w:lastRenderedPageBreak/>
        <w:t>dioxide.  The Type 2 wastes disposed at the HQQP landfill are likely to generate less methane and carbon dioxide than solid inert waste.</w:t>
      </w:r>
    </w:p>
    <w:p w:rsidR="00184F95" w:rsidRPr="00184F95" w:rsidRDefault="00184F95" w:rsidP="00184F95">
      <w:pPr>
        <w:rPr>
          <w:rFonts w:asciiTheme="minorHAnsi" w:hAnsiTheme="minorHAnsi"/>
          <w:sz w:val="22"/>
          <w:lang w:eastAsia="en-US"/>
        </w:rPr>
      </w:pPr>
      <w:r>
        <w:rPr>
          <w:rFonts w:asciiTheme="minorHAnsi" w:hAnsiTheme="minorHAnsi"/>
          <w:sz w:val="22"/>
          <w:lang w:eastAsia="en-US"/>
        </w:rPr>
        <w:t>Mr Clarke consequently states:</w:t>
      </w:r>
      <w:r>
        <w:rPr>
          <w:rStyle w:val="FootnoteReference"/>
          <w:rFonts w:asciiTheme="minorHAnsi" w:hAnsiTheme="minorHAnsi"/>
          <w:sz w:val="22"/>
          <w:lang w:eastAsia="en-US"/>
        </w:rPr>
        <w:footnoteReference w:id="49"/>
      </w:r>
    </w:p>
    <w:p w:rsidR="009A4C4C" w:rsidRPr="009A4C4C" w:rsidRDefault="009F7FDA" w:rsidP="009A4C4C">
      <w:pPr>
        <w:ind w:left="709"/>
        <w:rPr>
          <w:rFonts w:asciiTheme="minorHAnsi" w:hAnsiTheme="minorHAnsi"/>
          <w:i/>
          <w:sz w:val="22"/>
          <w:lang w:eastAsia="en-US"/>
        </w:rPr>
      </w:pPr>
      <w:r>
        <w:rPr>
          <w:rFonts w:asciiTheme="minorHAnsi" w:hAnsiTheme="minorHAnsi"/>
          <w:i/>
          <w:sz w:val="22"/>
          <w:lang w:eastAsia="en-US"/>
        </w:rPr>
        <w:t>B</w:t>
      </w:r>
      <w:r w:rsidR="00593581">
        <w:rPr>
          <w:rFonts w:asciiTheme="minorHAnsi" w:hAnsiTheme="minorHAnsi"/>
          <w:i/>
          <w:sz w:val="22"/>
          <w:lang w:eastAsia="en-US"/>
        </w:rPr>
        <w:t xml:space="preserve">ased on the nature of waste in the HQQP Landfill I believe it is prudent to adopt the landfill buffer distance of 200 m required for Type 3 landfills as a starting point.  </w:t>
      </w:r>
    </w:p>
    <w:p w:rsidR="00E663FD" w:rsidRDefault="009D70DC" w:rsidP="00825EF6">
      <w:pPr>
        <w:rPr>
          <w:rFonts w:asciiTheme="minorHAnsi" w:hAnsiTheme="minorHAnsi"/>
          <w:sz w:val="22"/>
          <w:lang w:eastAsia="en-US"/>
        </w:rPr>
      </w:pPr>
      <w:r>
        <w:rPr>
          <w:rFonts w:asciiTheme="minorHAnsi" w:hAnsiTheme="minorHAnsi"/>
          <w:sz w:val="22"/>
          <w:lang w:eastAsia="en-US"/>
        </w:rPr>
        <w:t xml:space="preserve">From this starting point, </w:t>
      </w:r>
      <w:r w:rsidR="0048338B">
        <w:rPr>
          <w:rFonts w:asciiTheme="minorHAnsi" w:hAnsiTheme="minorHAnsi"/>
          <w:sz w:val="22"/>
          <w:lang w:eastAsia="en-US"/>
        </w:rPr>
        <w:t xml:space="preserve">Mr Clarke </w:t>
      </w:r>
      <w:r w:rsidR="0055046B">
        <w:rPr>
          <w:rFonts w:asciiTheme="minorHAnsi" w:hAnsiTheme="minorHAnsi"/>
          <w:sz w:val="22"/>
          <w:lang w:eastAsia="en-US"/>
        </w:rPr>
        <w:t>recommends</w:t>
      </w:r>
      <w:r w:rsidR="0048338B">
        <w:rPr>
          <w:rFonts w:asciiTheme="minorHAnsi" w:hAnsiTheme="minorHAnsi"/>
          <w:sz w:val="22"/>
          <w:lang w:eastAsia="en-US"/>
        </w:rPr>
        <w:t xml:space="preserve"> a number of modifications to the </w:t>
      </w:r>
      <w:proofErr w:type="gramStart"/>
      <w:r w:rsidR="00ED366C">
        <w:rPr>
          <w:rFonts w:asciiTheme="minorHAnsi" w:hAnsiTheme="minorHAnsi"/>
          <w:sz w:val="22"/>
          <w:lang w:eastAsia="en-US"/>
        </w:rPr>
        <w:t>200</w:t>
      </w:r>
      <w:r w:rsidR="00EF2117">
        <w:rPr>
          <w:rFonts w:asciiTheme="minorHAnsi" w:hAnsiTheme="minorHAnsi"/>
          <w:sz w:val="22"/>
          <w:lang w:eastAsia="en-US"/>
        </w:rPr>
        <w:t xml:space="preserve"> metre</w:t>
      </w:r>
      <w:proofErr w:type="gramEnd"/>
      <w:r w:rsidR="00EF2117">
        <w:rPr>
          <w:rFonts w:asciiTheme="minorHAnsi" w:hAnsiTheme="minorHAnsi"/>
          <w:sz w:val="22"/>
          <w:lang w:eastAsia="en-US"/>
        </w:rPr>
        <w:t xml:space="preserve"> buffe</w:t>
      </w:r>
      <w:r w:rsidR="00E663FD">
        <w:rPr>
          <w:rFonts w:asciiTheme="minorHAnsi" w:hAnsiTheme="minorHAnsi"/>
          <w:sz w:val="22"/>
          <w:lang w:eastAsia="en-US"/>
        </w:rPr>
        <w:t>r</w:t>
      </w:r>
      <w:r w:rsidR="009062CC">
        <w:rPr>
          <w:rFonts w:asciiTheme="minorHAnsi" w:hAnsiTheme="minorHAnsi"/>
          <w:sz w:val="22"/>
          <w:lang w:eastAsia="en-US"/>
        </w:rPr>
        <w:t xml:space="preserve"> based on his assessment of the contaminant sources, pathways and receptors, and the relationships between them.  These modifications involve:</w:t>
      </w:r>
    </w:p>
    <w:p w:rsidR="00BC3D6E" w:rsidRDefault="00BC3D6E" w:rsidP="00BC3D6E">
      <w:pPr>
        <w:pStyle w:val="ListParagraph"/>
      </w:pPr>
    </w:p>
    <w:p w:rsidR="00187957" w:rsidRDefault="00E54DE6" w:rsidP="003340E2">
      <w:pPr>
        <w:pStyle w:val="ListParagraph"/>
        <w:numPr>
          <w:ilvl w:val="0"/>
          <w:numId w:val="24"/>
        </w:numPr>
      </w:pPr>
      <w:r>
        <w:t>A</w:t>
      </w:r>
      <w:r w:rsidR="007A0FF0">
        <w:t>n exten</w:t>
      </w:r>
      <w:r w:rsidR="00D37AF4">
        <w:t xml:space="preserve">sion to the west </w:t>
      </w:r>
      <w:r w:rsidR="00F3513A">
        <w:t>of the landfill</w:t>
      </w:r>
      <w:r w:rsidR="005039CC">
        <w:t xml:space="preserve"> towards areas proposed for residential and industrial use</w:t>
      </w:r>
      <w:r>
        <w:t>, approximately 50 metres beyond the break in slope</w:t>
      </w:r>
      <w:r w:rsidR="00724A34">
        <w:t>, to result in a maximum extent of approximately 315 metres.</w:t>
      </w:r>
      <w:r w:rsidR="00C11D98">
        <w:t xml:space="preserve"> </w:t>
      </w:r>
      <w:r w:rsidR="00187957">
        <w:t>Mr Clarke considers that:</w:t>
      </w:r>
      <w:r w:rsidR="008F61D1">
        <w:rPr>
          <w:rStyle w:val="FootnoteReference"/>
        </w:rPr>
        <w:footnoteReference w:id="50"/>
      </w:r>
    </w:p>
    <w:p w:rsidR="00187957" w:rsidRDefault="00187957" w:rsidP="00187957">
      <w:pPr>
        <w:pStyle w:val="ListParagraph"/>
      </w:pPr>
    </w:p>
    <w:p w:rsidR="009062CC" w:rsidRDefault="00187957" w:rsidP="00187957">
      <w:pPr>
        <w:pStyle w:val="ListParagraph"/>
        <w:ind w:left="1418"/>
      </w:pPr>
      <w:r>
        <w:rPr>
          <w:i/>
        </w:rPr>
        <w:t>In the unlikely event of “upset” conditions arising, vacant land at the top of the plateau would allow the licence holder for the landfill and EPA to more easily implement contingency measures between the landfill and sensitive receptors.</w:t>
      </w:r>
      <w:r w:rsidR="00C11D98">
        <w:t xml:space="preserve"> </w:t>
      </w:r>
      <w:r w:rsidR="00724A34">
        <w:t xml:space="preserve"> </w:t>
      </w:r>
    </w:p>
    <w:p w:rsidR="00EF2117" w:rsidRPr="00EF2117" w:rsidRDefault="00724A34" w:rsidP="00187957">
      <w:pPr>
        <w:pStyle w:val="ListParagraph"/>
        <w:ind w:left="1418"/>
      </w:pPr>
      <w:r>
        <w:t xml:space="preserve"> </w:t>
      </w:r>
    </w:p>
    <w:p w:rsidR="002D0111" w:rsidRDefault="00825EF6" w:rsidP="003340E2">
      <w:pPr>
        <w:pStyle w:val="ListParagraph"/>
        <w:numPr>
          <w:ilvl w:val="0"/>
          <w:numId w:val="24"/>
        </w:numPr>
      </w:pPr>
      <w:r>
        <w:t xml:space="preserve"> </w:t>
      </w:r>
      <w:r w:rsidR="003C562B">
        <w:t xml:space="preserve">A reduction </w:t>
      </w:r>
      <w:r w:rsidR="00935E89">
        <w:t xml:space="preserve">to the east of the landfill </w:t>
      </w:r>
      <w:r w:rsidR="0026217A">
        <w:t>towards Emu Creek where elevations drop below the base of waste in the landfill and any subsurface migration of landfill gas is likely to discharge to the atmosphere in the slope.</w:t>
      </w:r>
    </w:p>
    <w:p w:rsidR="00104C5B" w:rsidRDefault="00104C5B" w:rsidP="00104C5B">
      <w:pPr>
        <w:rPr>
          <w:rFonts w:asciiTheme="minorHAnsi" w:hAnsiTheme="minorHAnsi"/>
          <w:sz w:val="22"/>
          <w:lang w:eastAsia="en-US"/>
        </w:rPr>
      </w:pPr>
      <w:r w:rsidRPr="00104C5B">
        <w:rPr>
          <w:rFonts w:asciiTheme="minorHAnsi" w:hAnsiTheme="minorHAnsi"/>
          <w:sz w:val="22"/>
          <w:lang w:eastAsia="en-US"/>
        </w:rPr>
        <w:t xml:space="preserve">The </w:t>
      </w:r>
      <w:r w:rsidR="00A40419">
        <w:rPr>
          <w:rFonts w:asciiTheme="minorHAnsi" w:hAnsiTheme="minorHAnsi"/>
          <w:sz w:val="22"/>
          <w:lang w:eastAsia="en-US"/>
        </w:rPr>
        <w:t>landfill buffer extent</w:t>
      </w:r>
      <w:r w:rsidR="009012C3">
        <w:rPr>
          <w:rFonts w:asciiTheme="minorHAnsi" w:hAnsiTheme="minorHAnsi"/>
          <w:sz w:val="22"/>
          <w:lang w:eastAsia="en-US"/>
        </w:rPr>
        <w:t xml:space="preserve"> recommended by Mr Clarke in respect of landfill gas migration is presented in Figure 3 of his report.  </w:t>
      </w:r>
    </w:p>
    <w:p w:rsidR="00AE71E7" w:rsidRDefault="00ED15CF" w:rsidP="00104C5B">
      <w:pPr>
        <w:rPr>
          <w:rFonts w:asciiTheme="minorHAnsi" w:hAnsiTheme="minorHAnsi"/>
          <w:sz w:val="22"/>
          <w:lang w:eastAsia="en-US"/>
        </w:rPr>
      </w:pPr>
      <w:r>
        <w:rPr>
          <w:rFonts w:asciiTheme="minorHAnsi" w:hAnsiTheme="minorHAnsi"/>
          <w:sz w:val="22"/>
          <w:lang w:eastAsia="en-US"/>
        </w:rPr>
        <w:t>There is no other expert evidence before the Panel in relation to landfill gas.</w:t>
      </w:r>
    </w:p>
    <w:p w:rsidR="008408D8" w:rsidRDefault="00E7494F" w:rsidP="00104C5B">
      <w:pPr>
        <w:rPr>
          <w:rFonts w:asciiTheme="minorHAnsi" w:hAnsiTheme="minorHAnsi"/>
          <w:sz w:val="22"/>
          <w:lang w:eastAsia="en-US"/>
        </w:rPr>
      </w:pPr>
      <w:r>
        <w:rPr>
          <w:rFonts w:asciiTheme="minorHAnsi" w:hAnsiTheme="minorHAnsi"/>
          <w:sz w:val="22"/>
          <w:lang w:eastAsia="en-US"/>
        </w:rPr>
        <w:t xml:space="preserve">As noted above, the </w:t>
      </w:r>
      <w:r w:rsidR="00A32DF8">
        <w:rPr>
          <w:rFonts w:asciiTheme="minorHAnsi" w:hAnsiTheme="minorHAnsi"/>
          <w:sz w:val="22"/>
          <w:lang w:eastAsia="en-US"/>
        </w:rPr>
        <w:t xml:space="preserve">Landfill </w:t>
      </w:r>
      <w:r>
        <w:rPr>
          <w:rFonts w:asciiTheme="minorHAnsi" w:hAnsiTheme="minorHAnsi"/>
          <w:sz w:val="22"/>
          <w:lang w:eastAsia="en-US"/>
        </w:rPr>
        <w:t xml:space="preserve">BPEM requires the </w:t>
      </w:r>
      <w:r w:rsidR="00082365">
        <w:rPr>
          <w:rFonts w:asciiTheme="minorHAnsi" w:hAnsiTheme="minorHAnsi"/>
          <w:sz w:val="22"/>
          <w:lang w:eastAsia="en-US"/>
        </w:rPr>
        <w:t>buffers specified in table 5.2</w:t>
      </w:r>
      <w:r>
        <w:rPr>
          <w:rFonts w:asciiTheme="minorHAnsi" w:hAnsiTheme="minorHAnsi"/>
          <w:sz w:val="22"/>
          <w:lang w:eastAsia="en-US"/>
        </w:rPr>
        <w:t xml:space="preserve"> for ‘</w:t>
      </w:r>
      <w:r w:rsidR="00C95B91">
        <w:rPr>
          <w:rFonts w:asciiTheme="minorHAnsi" w:hAnsiTheme="minorHAnsi"/>
          <w:sz w:val="22"/>
          <w:lang w:eastAsia="en-US"/>
        </w:rPr>
        <w:t xml:space="preserve">safety and </w:t>
      </w:r>
      <w:r>
        <w:rPr>
          <w:rFonts w:asciiTheme="minorHAnsi" w:hAnsiTheme="minorHAnsi"/>
          <w:sz w:val="22"/>
          <w:lang w:eastAsia="en-US"/>
        </w:rPr>
        <w:t>amenity impacts’ in addition to landfill gas migration.</w:t>
      </w:r>
      <w:r w:rsidR="008408D8">
        <w:rPr>
          <w:rFonts w:asciiTheme="minorHAnsi" w:hAnsiTheme="minorHAnsi"/>
          <w:sz w:val="22"/>
          <w:lang w:eastAsia="en-US"/>
        </w:rPr>
        <w:t xml:space="preserve">  </w:t>
      </w:r>
      <w:r w:rsidR="00B97D74">
        <w:rPr>
          <w:rFonts w:asciiTheme="minorHAnsi" w:hAnsiTheme="minorHAnsi"/>
          <w:sz w:val="22"/>
          <w:lang w:eastAsia="en-US"/>
        </w:rPr>
        <w:t>In this regard</w:t>
      </w:r>
      <w:r w:rsidR="00C95B91">
        <w:rPr>
          <w:rFonts w:asciiTheme="minorHAnsi" w:hAnsiTheme="minorHAnsi"/>
          <w:sz w:val="22"/>
          <w:lang w:eastAsia="en-US"/>
        </w:rPr>
        <w:t>, the Landfill BPEM states:</w:t>
      </w:r>
      <w:r w:rsidR="00657112">
        <w:rPr>
          <w:rStyle w:val="FootnoteReference"/>
          <w:rFonts w:asciiTheme="minorHAnsi" w:hAnsiTheme="minorHAnsi"/>
          <w:sz w:val="22"/>
          <w:lang w:eastAsia="en-US"/>
        </w:rPr>
        <w:footnoteReference w:id="51"/>
      </w:r>
    </w:p>
    <w:p w:rsidR="00C95B91" w:rsidRPr="00C95B91" w:rsidRDefault="00C95B91" w:rsidP="00C95B91">
      <w:pPr>
        <w:ind w:left="709"/>
        <w:rPr>
          <w:rFonts w:asciiTheme="minorHAnsi" w:hAnsiTheme="minorHAnsi"/>
          <w:i/>
          <w:sz w:val="22"/>
          <w:lang w:eastAsia="en-US"/>
        </w:rPr>
      </w:pPr>
      <w:r>
        <w:rPr>
          <w:rFonts w:asciiTheme="minorHAnsi" w:hAnsiTheme="minorHAnsi"/>
          <w:i/>
          <w:sz w:val="22"/>
          <w:lang w:eastAsia="en-US"/>
        </w:rPr>
        <w:t xml:space="preserve">While other potential impacts such as fire, litter, noise and safety risks exist, the </w:t>
      </w:r>
      <w:r w:rsidR="00657112">
        <w:rPr>
          <w:rFonts w:asciiTheme="minorHAnsi" w:hAnsiTheme="minorHAnsi"/>
          <w:i/>
          <w:sz w:val="22"/>
          <w:lang w:eastAsia="en-US"/>
        </w:rPr>
        <w:t>buffers required for protection from these impacts fall within the buffer required for odour and landfill gas.</w:t>
      </w:r>
    </w:p>
    <w:p w:rsidR="009F6707" w:rsidRDefault="00FF58F4" w:rsidP="00104C5B">
      <w:pPr>
        <w:rPr>
          <w:rFonts w:asciiTheme="minorHAnsi" w:hAnsiTheme="minorHAnsi"/>
          <w:sz w:val="22"/>
          <w:lang w:eastAsia="en-US"/>
        </w:rPr>
      </w:pPr>
      <w:r>
        <w:rPr>
          <w:rFonts w:asciiTheme="minorHAnsi" w:hAnsiTheme="minorHAnsi"/>
          <w:sz w:val="22"/>
          <w:lang w:eastAsia="en-US"/>
        </w:rPr>
        <w:t xml:space="preserve">The </w:t>
      </w:r>
      <w:r w:rsidR="009F6663">
        <w:rPr>
          <w:rFonts w:asciiTheme="minorHAnsi" w:hAnsiTheme="minorHAnsi"/>
          <w:sz w:val="22"/>
          <w:lang w:eastAsia="en-US"/>
        </w:rPr>
        <w:t xml:space="preserve">expert evidence of Mr Ramsay on behalf of the VPA </w:t>
      </w:r>
      <w:r w:rsidR="008912AF">
        <w:rPr>
          <w:rFonts w:asciiTheme="minorHAnsi" w:hAnsiTheme="minorHAnsi"/>
          <w:sz w:val="22"/>
          <w:lang w:eastAsia="en-US"/>
        </w:rPr>
        <w:t>considers</w:t>
      </w:r>
      <w:r w:rsidR="009F6663">
        <w:rPr>
          <w:rFonts w:asciiTheme="minorHAnsi" w:hAnsiTheme="minorHAnsi"/>
          <w:sz w:val="22"/>
          <w:lang w:eastAsia="en-US"/>
        </w:rPr>
        <w:t xml:space="preserve"> the appropriate extent of the landfill buffer </w:t>
      </w:r>
      <w:r w:rsidR="002863B2">
        <w:rPr>
          <w:rFonts w:asciiTheme="minorHAnsi" w:hAnsiTheme="minorHAnsi"/>
          <w:sz w:val="22"/>
          <w:lang w:eastAsia="en-US"/>
        </w:rPr>
        <w:t>in relation to odour impacts.</w:t>
      </w:r>
      <w:r w:rsidR="004B7B30">
        <w:rPr>
          <w:rFonts w:asciiTheme="minorHAnsi" w:hAnsiTheme="minorHAnsi"/>
          <w:sz w:val="22"/>
          <w:lang w:eastAsia="en-US"/>
        </w:rPr>
        <w:t xml:space="preserve">  </w:t>
      </w:r>
    </w:p>
    <w:p w:rsidR="005878CA" w:rsidRDefault="003D1777" w:rsidP="00104C5B">
      <w:pPr>
        <w:rPr>
          <w:rFonts w:asciiTheme="minorHAnsi" w:hAnsiTheme="minorHAnsi"/>
          <w:sz w:val="22"/>
          <w:lang w:eastAsia="en-US"/>
        </w:rPr>
      </w:pPr>
      <w:r>
        <w:rPr>
          <w:rFonts w:asciiTheme="minorHAnsi" w:hAnsiTheme="minorHAnsi"/>
          <w:sz w:val="22"/>
          <w:lang w:eastAsia="en-US"/>
        </w:rPr>
        <w:lastRenderedPageBreak/>
        <w:t xml:space="preserve">Mr Ramsay </w:t>
      </w:r>
      <w:r w:rsidR="00BF5F7C">
        <w:rPr>
          <w:rFonts w:asciiTheme="minorHAnsi" w:hAnsiTheme="minorHAnsi"/>
          <w:sz w:val="22"/>
          <w:lang w:eastAsia="en-US"/>
        </w:rPr>
        <w:t>notes</w:t>
      </w:r>
      <w:r>
        <w:rPr>
          <w:rFonts w:asciiTheme="minorHAnsi" w:hAnsiTheme="minorHAnsi"/>
          <w:sz w:val="22"/>
          <w:lang w:eastAsia="en-US"/>
        </w:rPr>
        <w:t xml:space="preserve"> that the landfill is a Type 2 landfill because it is licensed to receive category C prescribed in industrial waste</w:t>
      </w:r>
      <w:r w:rsidR="005878CA">
        <w:rPr>
          <w:rFonts w:asciiTheme="minorHAnsi" w:hAnsiTheme="minorHAnsi"/>
          <w:sz w:val="22"/>
          <w:lang w:eastAsia="en-US"/>
        </w:rPr>
        <w:t xml:space="preserve"> and that the required buffer in the Landfill BPEM for a Type 2 landfill is 500 metres.</w:t>
      </w:r>
    </w:p>
    <w:p w:rsidR="00B450B5" w:rsidRDefault="00B450B5" w:rsidP="00104C5B">
      <w:pPr>
        <w:rPr>
          <w:rFonts w:asciiTheme="minorHAnsi" w:hAnsiTheme="minorHAnsi"/>
          <w:sz w:val="22"/>
          <w:lang w:eastAsia="en-US"/>
        </w:rPr>
      </w:pPr>
      <w:r>
        <w:rPr>
          <w:rFonts w:asciiTheme="minorHAnsi" w:hAnsiTheme="minorHAnsi"/>
          <w:sz w:val="22"/>
          <w:lang w:eastAsia="en-US"/>
        </w:rPr>
        <w:t>There is no other expert evidence before the Panel in relation to odour impacts from the landfill.</w:t>
      </w:r>
    </w:p>
    <w:p w:rsidR="00FA24E0" w:rsidRDefault="00FA24E0" w:rsidP="00FA24E0">
      <w:pPr>
        <w:keepNext/>
        <w:rPr>
          <w:rFonts w:asciiTheme="minorHAnsi" w:hAnsiTheme="minorHAnsi"/>
          <w:b/>
          <w:i/>
          <w:sz w:val="22"/>
          <w:lang w:eastAsia="en-US"/>
        </w:rPr>
      </w:pPr>
      <w:r w:rsidRPr="00F5778D">
        <w:rPr>
          <w:rFonts w:asciiTheme="minorHAnsi" w:hAnsiTheme="minorHAnsi"/>
          <w:b/>
          <w:i/>
          <w:sz w:val="22"/>
          <w:lang w:eastAsia="en-US"/>
        </w:rPr>
        <w:t xml:space="preserve">VPA </w:t>
      </w:r>
      <w:r>
        <w:rPr>
          <w:rFonts w:asciiTheme="minorHAnsi" w:hAnsiTheme="minorHAnsi"/>
          <w:b/>
          <w:i/>
          <w:sz w:val="22"/>
          <w:lang w:eastAsia="en-US"/>
        </w:rPr>
        <w:t>position</w:t>
      </w:r>
    </w:p>
    <w:p w:rsidR="00FA24E0" w:rsidRDefault="00E031A2" w:rsidP="00FA24E0">
      <w:pPr>
        <w:keepNext/>
        <w:rPr>
          <w:rFonts w:asciiTheme="minorHAnsi" w:hAnsiTheme="minorHAnsi"/>
          <w:sz w:val="22"/>
          <w:lang w:eastAsia="en-US"/>
        </w:rPr>
      </w:pPr>
      <w:r>
        <w:rPr>
          <w:rFonts w:asciiTheme="minorHAnsi" w:hAnsiTheme="minorHAnsi"/>
          <w:sz w:val="22"/>
          <w:lang w:eastAsia="en-US"/>
        </w:rPr>
        <w:t xml:space="preserve">The VPA acknowledges </w:t>
      </w:r>
      <w:r w:rsidR="00D15ED2">
        <w:rPr>
          <w:rFonts w:asciiTheme="minorHAnsi" w:hAnsiTheme="minorHAnsi"/>
          <w:sz w:val="22"/>
          <w:lang w:eastAsia="en-US"/>
        </w:rPr>
        <w:t xml:space="preserve">the landfill is classified as a Type 2 landfill </w:t>
      </w:r>
      <w:r w:rsidR="00622032">
        <w:rPr>
          <w:rFonts w:asciiTheme="minorHAnsi" w:hAnsiTheme="minorHAnsi"/>
          <w:sz w:val="22"/>
          <w:lang w:eastAsia="en-US"/>
        </w:rPr>
        <w:t xml:space="preserve">in the </w:t>
      </w:r>
      <w:r w:rsidR="00057339">
        <w:rPr>
          <w:rFonts w:asciiTheme="minorHAnsi" w:hAnsiTheme="minorHAnsi"/>
          <w:sz w:val="22"/>
          <w:lang w:eastAsia="en-US"/>
        </w:rPr>
        <w:t xml:space="preserve">Landfill BPEM.  However, </w:t>
      </w:r>
      <w:r w:rsidR="00183800">
        <w:rPr>
          <w:rFonts w:asciiTheme="minorHAnsi" w:hAnsiTheme="minorHAnsi"/>
          <w:sz w:val="22"/>
          <w:lang w:eastAsia="en-US"/>
        </w:rPr>
        <w:t xml:space="preserve">the VPA </w:t>
      </w:r>
      <w:r w:rsidR="00F414A0">
        <w:rPr>
          <w:rFonts w:asciiTheme="minorHAnsi" w:hAnsiTheme="minorHAnsi"/>
          <w:sz w:val="22"/>
          <w:lang w:eastAsia="en-US"/>
        </w:rPr>
        <w:t>notes the</w:t>
      </w:r>
      <w:r w:rsidR="00CE04D7">
        <w:rPr>
          <w:rFonts w:asciiTheme="minorHAnsi" w:hAnsiTheme="minorHAnsi"/>
          <w:sz w:val="22"/>
          <w:lang w:eastAsia="en-US"/>
        </w:rPr>
        <w:t xml:space="preserve"> detailed assessment </w:t>
      </w:r>
      <w:r w:rsidR="00F414A0">
        <w:rPr>
          <w:rFonts w:asciiTheme="minorHAnsi" w:hAnsiTheme="minorHAnsi"/>
          <w:sz w:val="22"/>
          <w:lang w:eastAsia="en-US"/>
        </w:rPr>
        <w:t>of</w:t>
      </w:r>
      <w:r w:rsidR="00CE04D7">
        <w:rPr>
          <w:rFonts w:asciiTheme="minorHAnsi" w:hAnsiTheme="minorHAnsi"/>
          <w:sz w:val="22"/>
          <w:lang w:eastAsia="en-US"/>
        </w:rPr>
        <w:t xml:space="preserve"> </w:t>
      </w:r>
      <w:r w:rsidR="00183800">
        <w:rPr>
          <w:rFonts w:asciiTheme="minorHAnsi" w:hAnsiTheme="minorHAnsi"/>
          <w:sz w:val="22"/>
          <w:lang w:eastAsia="en-US"/>
        </w:rPr>
        <w:t>Mr Clarke</w:t>
      </w:r>
      <w:r w:rsidR="00392270">
        <w:rPr>
          <w:rFonts w:asciiTheme="minorHAnsi" w:hAnsiTheme="minorHAnsi"/>
          <w:sz w:val="22"/>
          <w:lang w:eastAsia="en-US"/>
        </w:rPr>
        <w:t xml:space="preserve"> and his statement</w:t>
      </w:r>
      <w:r w:rsidR="00183800">
        <w:rPr>
          <w:rFonts w:asciiTheme="minorHAnsi" w:hAnsiTheme="minorHAnsi"/>
          <w:sz w:val="22"/>
          <w:lang w:eastAsia="en-US"/>
        </w:rPr>
        <w:t xml:space="preserve"> that the </w:t>
      </w:r>
      <w:proofErr w:type="gramStart"/>
      <w:r w:rsidR="00183800">
        <w:rPr>
          <w:rFonts w:asciiTheme="minorHAnsi" w:hAnsiTheme="minorHAnsi"/>
          <w:sz w:val="22"/>
          <w:lang w:eastAsia="en-US"/>
        </w:rPr>
        <w:t>500 metre</w:t>
      </w:r>
      <w:proofErr w:type="gramEnd"/>
      <w:r w:rsidR="00183800">
        <w:rPr>
          <w:rFonts w:asciiTheme="minorHAnsi" w:hAnsiTheme="minorHAnsi"/>
          <w:sz w:val="22"/>
          <w:lang w:eastAsia="en-US"/>
        </w:rPr>
        <w:t xml:space="preserve"> buffer required for Type 2 landfills in the Landfill BPEM </w:t>
      </w:r>
      <w:r w:rsidR="009E14AE">
        <w:rPr>
          <w:rFonts w:asciiTheme="minorHAnsi" w:hAnsiTheme="minorHAnsi"/>
          <w:sz w:val="22"/>
          <w:lang w:eastAsia="en-US"/>
        </w:rPr>
        <w:t>relates</w:t>
      </w:r>
      <w:r w:rsidR="00183800">
        <w:rPr>
          <w:rFonts w:asciiTheme="minorHAnsi" w:hAnsiTheme="minorHAnsi"/>
          <w:sz w:val="22"/>
          <w:lang w:eastAsia="en-US"/>
        </w:rPr>
        <w:t xml:space="preserve"> to putrescible wastes</w:t>
      </w:r>
      <w:r w:rsidR="00D519E8">
        <w:rPr>
          <w:rFonts w:asciiTheme="minorHAnsi" w:hAnsiTheme="minorHAnsi"/>
          <w:sz w:val="22"/>
          <w:lang w:eastAsia="en-US"/>
        </w:rPr>
        <w:t xml:space="preserve">, which this landfill is not licensed to accept.  </w:t>
      </w:r>
    </w:p>
    <w:p w:rsidR="00B447FD" w:rsidRDefault="00B447FD" w:rsidP="00FA24E0">
      <w:pPr>
        <w:keepNext/>
        <w:rPr>
          <w:rFonts w:asciiTheme="minorHAnsi" w:hAnsiTheme="minorHAnsi"/>
          <w:sz w:val="22"/>
          <w:lang w:eastAsia="en-US"/>
        </w:rPr>
      </w:pPr>
      <w:r>
        <w:rPr>
          <w:rFonts w:asciiTheme="minorHAnsi" w:hAnsiTheme="minorHAnsi"/>
          <w:sz w:val="22"/>
          <w:lang w:eastAsia="en-US"/>
        </w:rPr>
        <w:t xml:space="preserve">The buffers required </w:t>
      </w:r>
      <w:r w:rsidR="00C65448">
        <w:rPr>
          <w:rFonts w:asciiTheme="minorHAnsi" w:hAnsiTheme="minorHAnsi"/>
          <w:sz w:val="22"/>
          <w:lang w:eastAsia="en-US"/>
        </w:rPr>
        <w:t xml:space="preserve">by the Landfill BPEM relate to both landfill gas migration and odour impacts.  The VPA acknowledges Mr Clarke’s evidence </w:t>
      </w:r>
      <w:r w:rsidR="00733D53">
        <w:rPr>
          <w:rFonts w:asciiTheme="minorHAnsi" w:hAnsiTheme="minorHAnsi"/>
          <w:sz w:val="22"/>
          <w:lang w:eastAsia="en-US"/>
        </w:rPr>
        <w:t>considers</w:t>
      </w:r>
      <w:r w:rsidR="00C65448">
        <w:rPr>
          <w:rFonts w:asciiTheme="minorHAnsi" w:hAnsiTheme="minorHAnsi"/>
          <w:sz w:val="22"/>
          <w:lang w:eastAsia="en-US"/>
        </w:rPr>
        <w:t xml:space="preserve"> landfill gas migration only.  </w:t>
      </w:r>
      <w:r w:rsidR="00392270">
        <w:rPr>
          <w:rFonts w:asciiTheme="minorHAnsi" w:hAnsiTheme="minorHAnsi"/>
          <w:sz w:val="22"/>
          <w:lang w:eastAsia="en-US"/>
        </w:rPr>
        <w:t xml:space="preserve">What then follows is a conflict in the evidence between that of Mr Clarke premised on landfill gas and that of Mr Ramsey on the issue of </w:t>
      </w:r>
      <w:r w:rsidR="00C86B05">
        <w:rPr>
          <w:rFonts w:asciiTheme="minorHAnsi" w:hAnsiTheme="minorHAnsi"/>
          <w:sz w:val="22"/>
          <w:lang w:eastAsia="en-US"/>
        </w:rPr>
        <w:t xml:space="preserve">odour.  The conflict in point is that Mr Ramsey’s evidence seeks to preserve the 500 </w:t>
      </w:r>
      <w:proofErr w:type="gramStart"/>
      <w:r w:rsidR="00C86B05">
        <w:rPr>
          <w:rFonts w:asciiTheme="minorHAnsi" w:hAnsiTheme="minorHAnsi"/>
          <w:sz w:val="22"/>
          <w:lang w:eastAsia="en-US"/>
        </w:rPr>
        <w:t>buffer</w:t>
      </w:r>
      <w:proofErr w:type="gramEnd"/>
      <w:r w:rsidR="00C86B05">
        <w:rPr>
          <w:rFonts w:asciiTheme="minorHAnsi" w:hAnsiTheme="minorHAnsi"/>
          <w:sz w:val="22"/>
          <w:lang w:eastAsia="en-US"/>
        </w:rPr>
        <w:t xml:space="preserve">.  The </w:t>
      </w:r>
      <w:r w:rsidR="00C65448">
        <w:rPr>
          <w:rFonts w:asciiTheme="minorHAnsi" w:hAnsiTheme="minorHAnsi"/>
          <w:sz w:val="22"/>
          <w:lang w:eastAsia="en-US"/>
        </w:rPr>
        <w:t xml:space="preserve">VPA </w:t>
      </w:r>
      <w:r w:rsidR="003F0FED">
        <w:rPr>
          <w:rFonts w:asciiTheme="minorHAnsi" w:hAnsiTheme="minorHAnsi"/>
          <w:sz w:val="22"/>
          <w:lang w:eastAsia="en-US"/>
        </w:rPr>
        <w:t xml:space="preserve">considers that Mr Clarke’s analysis with respect to the nature of wastes accepted by the landfill </w:t>
      </w:r>
      <w:r w:rsidR="00C86B05">
        <w:rPr>
          <w:rFonts w:asciiTheme="minorHAnsi" w:hAnsiTheme="minorHAnsi"/>
          <w:sz w:val="22"/>
          <w:lang w:eastAsia="en-US"/>
        </w:rPr>
        <w:t>is</w:t>
      </w:r>
      <w:r w:rsidR="003F0FED">
        <w:rPr>
          <w:rFonts w:asciiTheme="minorHAnsi" w:hAnsiTheme="minorHAnsi"/>
          <w:sz w:val="22"/>
          <w:lang w:eastAsia="en-US"/>
        </w:rPr>
        <w:t xml:space="preserve"> relevant to odour.</w:t>
      </w:r>
    </w:p>
    <w:p w:rsidR="00733D53" w:rsidRDefault="00733D53" w:rsidP="00733D53">
      <w:pPr>
        <w:keepNext/>
        <w:rPr>
          <w:rFonts w:asciiTheme="minorHAnsi" w:hAnsiTheme="minorHAnsi"/>
          <w:sz w:val="22"/>
          <w:lang w:eastAsia="en-US"/>
        </w:rPr>
      </w:pPr>
      <w:r>
        <w:rPr>
          <w:rFonts w:asciiTheme="minorHAnsi" w:hAnsiTheme="minorHAnsi"/>
          <w:sz w:val="22"/>
          <w:lang w:eastAsia="en-US"/>
        </w:rPr>
        <w:t>The VPA supports the landfill buffer extent recommended by Mr Clarke and s</w:t>
      </w:r>
      <w:r w:rsidR="00BA3AF0">
        <w:rPr>
          <w:rFonts w:asciiTheme="minorHAnsi" w:hAnsiTheme="minorHAnsi"/>
          <w:sz w:val="22"/>
          <w:lang w:eastAsia="en-US"/>
        </w:rPr>
        <w:t xml:space="preserve">hown in Figure 3 of his report.  It is the VPA’s submission that </w:t>
      </w:r>
      <w:r w:rsidR="0070731A">
        <w:rPr>
          <w:rFonts w:asciiTheme="minorHAnsi" w:hAnsiTheme="minorHAnsi"/>
          <w:sz w:val="22"/>
          <w:lang w:eastAsia="en-US"/>
        </w:rPr>
        <w:t xml:space="preserve">this extent </w:t>
      </w:r>
      <w:r w:rsidR="009C1FFA">
        <w:rPr>
          <w:rFonts w:asciiTheme="minorHAnsi" w:hAnsiTheme="minorHAnsi"/>
          <w:sz w:val="22"/>
          <w:lang w:eastAsia="en-US"/>
        </w:rPr>
        <w:t xml:space="preserve">may be </w:t>
      </w:r>
      <w:r w:rsidR="0070731A">
        <w:rPr>
          <w:rFonts w:asciiTheme="minorHAnsi" w:hAnsiTheme="minorHAnsi"/>
          <w:sz w:val="22"/>
          <w:lang w:eastAsia="en-US"/>
        </w:rPr>
        <w:t xml:space="preserve">appropriate to manage both landfill gas and </w:t>
      </w:r>
      <w:r w:rsidR="00A66756">
        <w:rPr>
          <w:rFonts w:asciiTheme="minorHAnsi" w:hAnsiTheme="minorHAnsi"/>
          <w:sz w:val="22"/>
          <w:lang w:eastAsia="en-US"/>
        </w:rPr>
        <w:t xml:space="preserve">potential </w:t>
      </w:r>
      <w:r w:rsidR="009C597C">
        <w:rPr>
          <w:rFonts w:asciiTheme="minorHAnsi" w:hAnsiTheme="minorHAnsi"/>
          <w:sz w:val="22"/>
          <w:lang w:eastAsia="en-US"/>
        </w:rPr>
        <w:t>odour impacts from the landfill</w:t>
      </w:r>
      <w:r w:rsidR="009C1FFA">
        <w:rPr>
          <w:rFonts w:asciiTheme="minorHAnsi" w:hAnsiTheme="minorHAnsi"/>
          <w:sz w:val="22"/>
          <w:lang w:eastAsia="en-US"/>
        </w:rPr>
        <w:t xml:space="preserve">.  It </w:t>
      </w:r>
      <w:r w:rsidR="008713D4">
        <w:rPr>
          <w:rFonts w:asciiTheme="minorHAnsi" w:hAnsiTheme="minorHAnsi"/>
          <w:sz w:val="22"/>
          <w:lang w:eastAsia="en-US"/>
        </w:rPr>
        <w:t>would then follow that the</w:t>
      </w:r>
      <w:r w:rsidR="009C1FFA">
        <w:rPr>
          <w:rFonts w:asciiTheme="minorHAnsi" w:hAnsiTheme="minorHAnsi"/>
          <w:sz w:val="22"/>
          <w:lang w:eastAsia="en-US"/>
        </w:rPr>
        <w:t xml:space="preserve"> reduced buffer </w:t>
      </w:r>
      <w:r w:rsidR="009C597C">
        <w:rPr>
          <w:rFonts w:asciiTheme="minorHAnsi" w:hAnsiTheme="minorHAnsi"/>
          <w:sz w:val="22"/>
          <w:lang w:eastAsia="en-US"/>
        </w:rPr>
        <w:t>should be reflected on Plan 3 in the Sunbury South PSP and Map 1 in Schedule 9 to the UGZ.</w:t>
      </w:r>
      <w:r w:rsidR="00447B22">
        <w:rPr>
          <w:rFonts w:asciiTheme="minorHAnsi" w:hAnsiTheme="minorHAnsi"/>
          <w:sz w:val="22"/>
          <w:lang w:eastAsia="en-US"/>
        </w:rPr>
        <w:t xml:space="preserve">  Ultimately th</w:t>
      </w:r>
      <w:r w:rsidR="00454414">
        <w:rPr>
          <w:rFonts w:asciiTheme="minorHAnsi" w:hAnsiTheme="minorHAnsi"/>
          <w:sz w:val="22"/>
          <w:lang w:eastAsia="en-US"/>
        </w:rPr>
        <w:t xml:space="preserve">ese are matters to be tested through evidence and the VPA will provide its further comment in due course.  </w:t>
      </w:r>
    </w:p>
    <w:p w:rsidR="002C636F" w:rsidRPr="00315E22" w:rsidRDefault="00AE5596" w:rsidP="002C636F">
      <w:pPr>
        <w:pStyle w:val="Heading3"/>
        <w:rPr>
          <w:rFonts w:asciiTheme="minorHAnsi" w:hAnsiTheme="minorHAnsi"/>
          <w:b/>
        </w:rPr>
      </w:pPr>
      <w:r>
        <w:rPr>
          <w:rFonts w:asciiTheme="minorHAnsi" w:hAnsiTheme="minorHAnsi"/>
          <w:b/>
        </w:rPr>
        <w:t>Issue 2: p</w:t>
      </w:r>
      <w:r w:rsidR="00E951EF">
        <w:rPr>
          <w:rFonts w:asciiTheme="minorHAnsi" w:hAnsiTheme="minorHAnsi"/>
          <w:b/>
        </w:rPr>
        <w:t xml:space="preserve">lanning controls </w:t>
      </w:r>
    </w:p>
    <w:p w:rsidR="00C11A97" w:rsidRPr="00F5778D" w:rsidRDefault="00C11A97" w:rsidP="00C11A97">
      <w:pPr>
        <w:rPr>
          <w:rFonts w:asciiTheme="minorHAnsi" w:hAnsiTheme="minorHAnsi"/>
          <w:b/>
          <w:i/>
          <w:sz w:val="22"/>
          <w:lang w:eastAsia="en-US"/>
        </w:rPr>
      </w:pPr>
      <w:r w:rsidRPr="00F5778D">
        <w:rPr>
          <w:rFonts w:asciiTheme="minorHAnsi" w:hAnsiTheme="minorHAnsi"/>
          <w:b/>
          <w:i/>
          <w:sz w:val="22"/>
          <w:lang w:eastAsia="en-US"/>
        </w:rPr>
        <w:t xml:space="preserve">Submissions in response to exhibition </w:t>
      </w:r>
    </w:p>
    <w:p w:rsidR="00B41E8E" w:rsidRDefault="00B41E8E" w:rsidP="00C11A97">
      <w:pPr>
        <w:rPr>
          <w:rFonts w:asciiTheme="minorHAnsi" w:hAnsiTheme="minorHAnsi"/>
          <w:sz w:val="22"/>
          <w:lang w:eastAsia="en-US"/>
        </w:rPr>
      </w:pPr>
      <w:r w:rsidRPr="00FE438D">
        <w:rPr>
          <w:rFonts w:asciiTheme="minorHAnsi" w:hAnsiTheme="minorHAnsi"/>
          <w:sz w:val="22"/>
          <w:lang w:eastAsia="en-US"/>
        </w:rPr>
        <w:t>Hi-Quality’s submission</w:t>
      </w:r>
      <w:r>
        <w:rPr>
          <w:rFonts w:asciiTheme="minorHAnsi" w:hAnsiTheme="minorHAnsi"/>
          <w:sz w:val="22"/>
          <w:lang w:eastAsia="en-US"/>
        </w:rPr>
        <w:t xml:space="preserve"> </w:t>
      </w:r>
      <w:r w:rsidR="00FE438D">
        <w:rPr>
          <w:rFonts w:asciiTheme="minorHAnsi" w:hAnsiTheme="minorHAnsi"/>
          <w:sz w:val="22"/>
          <w:lang w:eastAsia="en-US"/>
        </w:rPr>
        <w:t xml:space="preserve">did not address </w:t>
      </w:r>
      <w:r w:rsidR="00AB77F9">
        <w:rPr>
          <w:rFonts w:asciiTheme="minorHAnsi" w:hAnsiTheme="minorHAnsi"/>
          <w:sz w:val="22"/>
          <w:lang w:eastAsia="en-US"/>
        </w:rPr>
        <w:t>what planning controls should apply to land within the landfill buffer.</w:t>
      </w:r>
    </w:p>
    <w:p w:rsidR="00CF1D7C" w:rsidRDefault="00CF1D7C" w:rsidP="00CF1D7C">
      <w:pPr>
        <w:rPr>
          <w:rFonts w:asciiTheme="minorHAnsi" w:hAnsiTheme="minorHAnsi"/>
          <w:sz w:val="22"/>
          <w:lang w:eastAsia="en-US"/>
        </w:rPr>
      </w:pPr>
      <w:r>
        <w:rPr>
          <w:rFonts w:asciiTheme="minorHAnsi" w:hAnsiTheme="minorHAnsi"/>
          <w:sz w:val="22"/>
          <w:lang w:eastAsia="en-US"/>
        </w:rPr>
        <w:t xml:space="preserve">J and L Ware submitted that a buffer should be applied that prevents residential uses until the relevant </w:t>
      </w:r>
      <w:r w:rsidR="00A965C8">
        <w:rPr>
          <w:rFonts w:asciiTheme="minorHAnsi" w:hAnsiTheme="minorHAnsi"/>
          <w:sz w:val="22"/>
          <w:lang w:eastAsia="en-US"/>
        </w:rPr>
        <w:t xml:space="preserve">noise and dust-generating </w:t>
      </w:r>
      <w:r>
        <w:rPr>
          <w:rFonts w:asciiTheme="minorHAnsi" w:hAnsiTheme="minorHAnsi"/>
          <w:sz w:val="22"/>
          <w:lang w:eastAsia="en-US"/>
        </w:rPr>
        <w:t>activities relocate, change or cease.</w:t>
      </w:r>
    </w:p>
    <w:p w:rsidR="0042086F" w:rsidRDefault="002A17F0" w:rsidP="00CF1D7C">
      <w:pPr>
        <w:rPr>
          <w:rFonts w:asciiTheme="minorHAnsi" w:hAnsiTheme="minorHAnsi"/>
          <w:sz w:val="22"/>
          <w:lang w:eastAsia="en-US"/>
        </w:rPr>
      </w:pPr>
      <w:r>
        <w:rPr>
          <w:rFonts w:asciiTheme="minorHAnsi" w:hAnsiTheme="minorHAnsi"/>
          <w:sz w:val="22"/>
          <w:lang w:eastAsia="en-US"/>
        </w:rPr>
        <w:t xml:space="preserve">The EPA submitted that </w:t>
      </w:r>
      <w:r w:rsidR="00BE215D">
        <w:rPr>
          <w:rFonts w:asciiTheme="minorHAnsi" w:hAnsiTheme="minorHAnsi"/>
          <w:sz w:val="22"/>
          <w:lang w:eastAsia="en-US"/>
        </w:rPr>
        <w:t xml:space="preserve">changes should be made to </w:t>
      </w:r>
      <w:r w:rsidR="00463CF3">
        <w:rPr>
          <w:rFonts w:asciiTheme="minorHAnsi" w:hAnsiTheme="minorHAnsi"/>
          <w:sz w:val="22"/>
          <w:lang w:eastAsia="en-US"/>
        </w:rPr>
        <w:t>Schedule 9 to the UGZ to</w:t>
      </w:r>
      <w:r w:rsidR="0042086F">
        <w:rPr>
          <w:rFonts w:asciiTheme="minorHAnsi" w:hAnsiTheme="minorHAnsi"/>
          <w:sz w:val="22"/>
          <w:lang w:eastAsia="en-US"/>
        </w:rPr>
        <w:t>:</w:t>
      </w:r>
    </w:p>
    <w:p w:rsidR="0042086F" w:rsidRDefault="00FE785B" w:rsidP="003340E2">
      <w:pPr>
        <w:pStyle w:val="ListParagraph"/>
        <w:numPr>
          <w:ilvl w:val="0"/>
          <w:numId w:val="19"/>
        </w:numPr>
      </w:pPr>
      <w:r>
        <w:t xml:space="preserve">prohibit sensitive uses </w:t>
      </w:r>
      <w:r w:rsidR="006F5C5D">
        <w:t>within the buffer while the landfill continues to operate;</w:t>
      </w:r>
      <w:r w:rsidR="00A86111">
        <w:t xml:space="preserve"> and </w:t>
      </w:r>
    </w:p>
    <w:p w:rsidR="00A86111" w:rsidRDefault="00A86111" w:rsidP="003340E2">
      <w:pPr>
        <w:pStyle w:val="ListParagraph"/>
        <w:numPr>
          <w:ilvl w:val="0"/>
          <w:numId w:val="19"/>
        </w:numPr>
      </w:pPr>
      <w:r>
        <w:t xml:space="preserve">require </w:t>
      </w:r>
      <w:r w:rsidR="005B4EE6">
        <w:t xml:space="preserve">a s53V audit </w:t>
      </w:r>
      <w:r w:rsidR="0011446B">
        <w:t>to accompany all applications within the landfill buffer.</w:t>
      </w:r>
    </w:p>
    <w:p w:rsidR="006E10B7" w:rsidRDefault="0089339E" w:rsidP="00F953F1">
      <w:pPr>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The MWR</w:t>
      </w:r>
      <w:r w:rsidR="00F953F1">
        <w:rPr>
          <w:rFonts w:asciiTheme="minorHAnsi" w:eastAsiaTheme="minorHAnsi" w:hAnsiTheme="minorHAnsi" w:cstheme="minorBidi"/>
          <w:sz w:val="22"/>
          <w:szCs w:val="22"/>
          <w:lang w:eastAsia="en-US"/>
        </w:rPr>
        <w:t xml:space="preserve">RG </w:t>
      </w:r>
      <w:r w:rsidR="00F330BF">
        <w:rPr>
          <w:rFonts w:asciiTheme="minorHAnsi" w:eastAsiaTheme="minorHAnsi" w:hAnsiTheme="minorHAnsi" w:cstheme="minorBidi"/>
          <w:sz w:val="22"/>
          <w:szCs w:val="22"/>
          <w:lang w:eastAsia="en-US"/>
        </w:rPr>
        <w:t xml:space="preserve">submission </w:t>
      </w:r>
      <w:r w:rsidR="002E3B00">
        <w:rPr>
          <w:rFonts w:asciiTheme="minorHAnsi" w:eastAsiaTheme="minorHAnsi" w:hAnsiTheme="minorHAnsi" w:cstheme="minorBidi"/>
          <w:sz w:val="22"/>
          <w:szCs w:val="22"/>
          <w:lang w:eastAsia="en-US"/>
        </w:rPr>
        <w:t xml:space="preserve">generally supported </w:t>
      </w:r>
      <w:r w:rsidR="0056327E">
        <w:rPr>
          <w:rFonts w:asciiTheme="minorHAnsi" w:eastAsiaTheme="minorHAnsi" w:hAnsiTheme="minorHAnsi" w:cstheme="minorBidi"/>
          <w:sz w:val="22"/>
          <w:szCs w:val="22"/>
          <w:lang w:eastAsia="en-US"/>
        </w:rPr>
        <w:t xml:space="preserve">the provisions in </w:t>
      </w:r>
      <w:r w:rsidR="00F330BF">
        <w:rPr>
          <w:rFonts w:asciiTheme="minorHAnsi" w:eastAsiaTheme="minorHAnsi" w:hAnsiTheme="minorHAnsi" w:cstheme="minorBidi"/>
          <w:sz w:val="22"/>
          <w:szCs w:val="22"/>
          <w:lang w:eastAsia="en-US"/>
        </w:rPr>
        <w:t>Schedule 9 to the UGZ</w:t>
      </w:r>
      <w:r w:rsidR="0056327E">
        <w:rPr>
          <w:rFonts w:asciiTheme="minorHAnsi" w:eastAsiaTheme="minorHAnsi" w:hAnsiTheme="minorHAnsi" w:cstheme="minorBidi"/>
          <w:sz w:val="22"/>
          <w:szCs w:val="22"/>
          <w:lang w:eastAsia="en-US"/>
        </w:rPr>
        <w:t xml:space="preserve">, </w:t>
      </w:r>
      <w:r w:rsidR="001B7E8E">
        <w:rPr>
          <w:rFonts w:asciiTheme="minorHAnsi" w:eastAsiaTheme="minorHAnsi" w:hAnsiTheme="minorHAnsi" w:cstheme="minorBidi"/>
          <w:sz w:val="22"/>
          <w:szCs w:val="22"/>
          <w:lang w:eastAsia="en-US"/>
        </w:rPr>
        <w:t>but recommended</w:t>
      </w:r>
      <w:r w:rsidR="00F330BF">
        <w:rPr>
          <w:rFonts w:asciiTheme="minorHAnsi" w:eastAsiaTheme="minorHAnsi" w:hAnsiTheme="minorHAnsi" w:cstheme="minorBidi"/>
          <w:sz w:val="22"/>
          <w:szCs w:val="22"/>
          <w:lang w:eastAsia="en-US"/>
        </w:rPr>
        <w:t>:</w:t>
      </w:r>
    </w:p>
    <w:p w:rsidR="00F330BF" w:rsidRDefault="00F330BF" w:rsidP="003340E2">
      <w:pPr>
        <w:pStyle w:val="ListParagraph"/>
        <w:numPr>
          <w:ilvl w:val="0"/>
          <w:numId w:val="20"/>
        </w:numPr>
      </w:pPr>
      <w:r>
        <w:t>more clearly iden</w:t>
      </w:r>
      <w:r w:rsidR="00BF6604">
        <w:t>tifying the landfill buffer in M</w:t>
      </w:r>
      <w:r>
        <w:t>ap 1</w:t>
      </w:r>
      <w:r w:rsidR="00931F31">
        <w:t xml:space="preserve"> and renaming the buffer ‘landfill gas migration and amenity buffer area’</w:t>
      </w:r>
      <w:r>
        <w:t>;</w:t>
      </w:r>
    </w:p>
    <w:p w:rsidR="00F330BF" w:rsidRDefault="003753C8" w:rsidP="003340E2">
      <w:pPr>
        <w:pStyle w:val="ListParagraph"/>
        <w:numPr>
          <w:ilvl w:val="0"/>
          <w:numId w:val="20"/>
        </w:numPr>
      </w:pPr>
      <w:r>
        <w:t xml:space="preserve">removing the application </w:t>
      </w:r>
      <w:r w:rsidR="00B83320">
        <w:t>of</w:t>
      </w:r>
      <w:r>
        <w:t xml:space="preserve"> residential zones within the buffer;</w:t>
      </w:r>
      <w:r w:rsidR="000E1C67">
        <w:t xml:space="preserve"> and</w:t>
      </w:r>
    </w:p>
    <w:p w:rsidR="003753C8" w:rsidRPr="00A6597B" w:rsidRDefault="000E1C67" w:rsidP="003340E2">
      <w:pPr>
        <w:pStyle w:val="ListParagraph"/>
        <w:numPr>
          <w:ilvl w:val="0"/>
          <w:numId w:val="20"/>
        </w:numPr>
      </w:pPr>
      <w:r>
        <w:lastRenderedPageBreak/>
        <w:t>transferring the provisions that relate to the buffer to an Environmental Significance Overlay (</w:t>
      </w:r>
      <w:r>
        <w:rPr>
          <w:b/>
        </w:rPr>
        <w:t>ESO</w:t>
      </w:r>
      <w:r>
        <w:t>)</w:t>
      </w:r>
      <w:r w:rsidR="001961FB">
        <w:t>.</w:t>
      </w:r>
    </w:p>
    <w:p w:rsidR="00023837" w:rsidRDefault="00984E24" w:rsidP="00C11A97">
      <w:pPr>
        <w:rPr>
          <w:rFonts w:asciiTheme="minorHAnsi" w:hAnsiTheme="minorHAnsi"/>
          <w:sz w:val="22"/>
          <w:lang w:eastAsia="en-US"/>
        </w:rPr>
      </w:pPr>
      <w:r>
        <w:rPr>
          <w:rFonts w:asciiTheme="minorHAnsi" w:hAnsiTheme="minorHAnsi"/>
          <w:sz w:val="22"/>
          <w:lang w:eastAsia="en-US"/>
        </w:rPr>
        <w:t>SV submitted that</w:t>
      </w:r>
      <w:r w:rsidR="00744C37">
        <w:rPr>
          <w:rFonts w:asciiTheme="minorHAnsi" w:hAnsiTheme="minorHAnsi"/>
          <w:sz w:val="22"/>
          <w:lang w:eastAsia="en-US"/>
        </w:rPr>
        <w:t>:</w:t>
      </w:r>
    </w:p>
    <w:p w:rsidR="00023837" w:rsidRDefault="00984E24" w:rsidP="003340E2">
      <w:pPr>
        <w:pStyle w:val="ListParagraph"/>
        <w:numPr>
          <w:ilvl w:val="0"/>
          <w:numId w:val="21"/>
        </w:numPr>
      </w:pPr>
      <w:r w:rsidRPr="00023837">
        <w:t>sensitive uses should be prohib</w:t>
      </w:r>
      <w:r w:rsidR="00023837">
        <w:t>ited within the landfill buffer;</w:t>
      </w:r>
    </w:p>
    <w:p w:rsidR="00023837" w:rsidRDefault="00023837" w:rsidP="003340E2">
      <w:pPr>
        <w:pStyle w:val="ListParagraph"/>
        <w:numPr>
          <w:ilvl w:val="0"/>
          <w:numId w:val="21"/>
        </w:numPr>
      </w:pPr>
      <w:r>
        <w:t xml:space="preserve">additional sensitive uses should be considered for exclusion, such as </w:t>
      </w:r>
      <w:r w:rsidR="00F4720D" w:rsidRPr="00023837">
        <w:t>place of worship, business college, employment training centre, tertiary institution, and outdoor/indoor recreation facility</w:t>
      </w:r>
      <w:r>
        <w:t>;</w:t>
      </w:r>
    </w:p>
    <w:p w:rsidR="00023837" w:rsidRDefault="007D6BB2" w:rsidP="003340E2">
      <w:pPr>
        <w:pStyle w:val="ListParagraph"/>
        <w:numPr>
          <w:ilvl w:val="0"/>
          <w:numId w:val="21"/>
        </w:numPr>
      </w:pPr>
      <w:r>
        <w:t>Plan 3 in the PSP and Map 1 in the Schedule should more clearly identify the land uses within the buffer;</w:t>
      </w:r>
      <w:r w:rsidR="00824C85">
        <w:t xml:space="preserve"> and</w:t>
      </w:r>
    </w:p>
    <w:p w:rsidR="007D6BB2" w:rsidRDefault="0070118F" w:rsidP="003340E2">
      <w:pPr>
        <w:pStyle w:val="ListParagraph"/>
        <w:numPr>
          <w:ilvl w:val="0"/>
          <w:numId w:val="21"/>
        </w:numPr>
      </w:pPr>
      <w:r>
        <w:t>i</w:t>
      </w:r>
      <w:r w:rsidR="00824C85">
        <w:t>n the longer term, the buffer could be converted into an overlay in the Scheme.</w:t>
      </w:r>
    </w:p>
    <w:p w:rsidR="00C11A97" w:rsidRPr="00F5778D" w:rsidRDefault="00C11A97" w:rsidP="004D1E85">
      <w:pPr>
        <w:keepNext/>
        <w:rPr>
          <w:rFonts w:asciiTheme="minorHAnsi" w:hAnsiTheme="minorHAnsi"/>
          <w:b/>
          <w:i/>
          <w:sz w:val="22"/>
          <w:lang w:eastAsia="en-US"/>
        </w:rPr>
      </w:pPr>
      <w:r w:rsidRPr="004D1E85">
        <w:rPr>
          <w:rFonts w:asciiTheme="minorHAnsi" w:hAnsiTheme="minorHAnsi"/>
          <w:b/>
          <w:i/>
          <w:sz w:val="22"/>
          <w:lang w:eastAsia="en-US"/>
        </w:rPr>
        <w:t>VPA submissions</w:t>
      </w:r>
      <w:r w:rsidR="008D5F7C" w:rsidRPr="004D1E85">
        <w:rPr>
          <w:rFonts w:asciiTheme="minorHAnsi" w:hAnsiTheme="minorHAnsi"/>
          <w:b/>
          <w:i/>
          <w:sz w:val="22"/>
          <w:lang w:eastAsia="en-US"/>
        </w:rPr>
        <w:t xml:space="preserve"> and response to evidence</w:t>
      </w:r>
      <w:r w:rsidR="008D5F7C" w:rsidRPr="00F5778D">
        <w:rPr>
          <w:rFonts w:asciiTheme="minorHAnsi" w:hAnsiTheme="minorHAnsi"/>
          <w:b/>
          <w:i/>
          <w:sz w:val="22"/>
          <w:lang w:eastAsia="en-US"/>
        </w:rPr>
        <w:t xml:space="preserve"> </w:t>
      </w:r>
    </w:p>
    <w:p w:rsidR="004D7544" w:rsidRDefault="004D1E85" w:rsidP="004D1E85">
      <w:pPr>
        <w:keepNext/>
        <w:rPr>
          <w:rFonts w:asciiTheme="minorHAnsi" w:hAnsiTheme="minorHAnsi"/>
          <w:sz w:val="22"/>
          <w:lang w:eastAsia="en-US"/>
        </w:rPr>
      </w:pPr>
      <w:r>
        <w:rPr>
          <w:rFonts w:asciiTheme="minorHAnsi" w:hAnsiTheme="minorHAnsi"/>
          <w:sz w:val="22"/>
          <w:lang w:eastAsia="en-US"/>
        </w:rPr>
        <w:t xml:space="preserve">The Landfill BPEM </w:t>
      </w:r>
      <w:r w:rsidR="005258E3">
        <w:rPr>
          <w:rFonts w:asciiTheme="minorHAnsi" w:hAnsiTheme="minorHAnsi"/>
          <w:sz w:val="22"/>
          <w:lang w:eastAsia="en-US"/>
        </w:rPr>
        <w:t>states</w:t>
      </w:r>
      <w:r>
        <w:rPr>
          <w:rFonts w:asciiTheme="minorHAnsi" w:hAnsiTheme="minorHAnsi"/>
          <w:sz w:val="22"/>
          <w:lang w:eastAsia="en-US"/>
        </w:rPr>
        <w:t xml:space="preserve"> that where a proposal ‘would have the effect of allowing development that encroaches into </w:t>
      </w:r>
      <w:r w:rsidR="005258E3">
        <w:rPr>
          <w:rFonts w:asciiTheme="minorHAnsi" w:hAnsiTheme="minorHAnsi"/>
          <w:sz w:val="22"/>
          <w:lang w:eastAsia="en-US"/>
        </w:rPr>
        <w:t>the recommended landfill buffe</w:t>
      </w:r>
      <w:r w:rsidR="00C823A0">
        <w:rPr>
          <w:rFonts w:asciiTheme="minorHAnsi" w:hAnsiTheme="minorHAnsi"/>
          <w:sz w:val="22"/>
          <w:lang w:eastAsia="en-US"/>
        </w:rPr>
        <w:t>r or increases the extent of development within the already encroached buffer area, EPA recommends that the planning or responsible authority require an environmental audit be conducted under Section 53V of the EP Act</w:t>
      </w:r>
      <w:r w:rsidR="002D60CA">
        <w:rPr>
          <w:rFonts w:asciiTheme="minorHAnsi" w:hAnsiTheme="minorHAnsi"/>
          <w:sz w:val="22"/>
          <w:lang w:eastAsia="en-US"/>
        </w:rPr>
        <w:t>’</w:t>
      </w:r>
      <w:r w:rsidR="00C823A0">
        <w:rPr>
          <w:rFonts w:asciiTheme="minorHAnsi" w:hAnsiTheme="minorHAnsi"/>
          <w:sz w:val="22"/>
          <w:lang w:eastAsia="en-US"/>
        </w:rPr>
        <w:t>.</w:t>
      </w:r>
      <w:r w:rsidR="002D60CA">
        <w:rPr>
          <w:rStyle w:val="FootnoteReference"/>
          <w:rFonts w:asciiTheme="minorHAnsi" w:hAnsiTheme="minorHAnsi"/>
          <w:sz w:val="22"/>
          <w:lang w:eastAsia="en-US"/>
        </w:rPr>
        <w:footnoteReference w:id="52"/>
      </w:r>
      <w:r w:rsidR="00C823A0">
        <w:rPr>
          <w:rFonts w:asciiTheme="minorHAnsi" w:hAnsiTheme="minorHAnsi"/>
          <w:sz w:val="22"/>
          <w:lang w:eastAsia="en-US"/>
        </w:rPr>
        <w:t xml:space="preserve"> </w:t>
      </w:r>
    </w:p>
    <w:p w:rsidR="00564CCF" w:rsidRDefault="00564CCF" w:rsidP="004D1E85">
      <w:pPr>
        <w:keepNext/>
        <w:rPr>
          <w:rFonts w:asciiTheme="minorHAnsi" w:hAnsiTheme="minorHAnsi"/>
          <w:sz w:val="22"/>
          <w:lang w:eastAsia="en-US"/>
        </w:rPr>
      </w:pPr>
      <w:r>
        <w:rPr>
          <w:rFonts w:asciiTheme="minorHAnsi" w:hAnsiTheme="minorHAnsi"/>
          <w:sz w:val="22"/>
          <w:lang w:eastAsia="en-US"/>
        </w:rPr>
        <w:t xml:space="preserve">The EPA has published a draft guideline on </w:t>
      </w:r>
      <w:r>
        <w:rPr>
          <w:rFonts w:asciiTheme="minorHAnsi" w:hAnsiTheme="minorHAnsi"/>
          <w:i/>
          <w:sz w:val="22"/>
          <w:lang w:eastAsia="en-US"/>
        </w:rPr>
        <w:t>Assessing planning proposals near landfills</w:t>
      </w:r>
      <w:r>
        <w:rPr>
          <w:rFonts w:asciiTheme="minorHAnsi" w:hAnsiTheme="minorHAnsi"/>
          <w:sz w:val="22"/>
          <w:lang w:eastAsia="en-US"/>
        </w:rPr>
        <w:t xml:space="preserve"> </w:t>
      </w:r>
      <w:r w:rsidR="0025675C">
        <w:rPr>
          <w:rFonts w:asciiTheme="minorHAnsi" w:hAnsiTheme="minorHAnsi"/>
          <w:sz w:val="22"/>
          <w:lang w:eastAsia="en-US"/>
        </w:rPr>
        <w:t>to provide further</w:t>
      </w:r>
      <w:r w:rsidR="00692216">
        <w:rPr>
          <w:rFonts w:asciiTheme="minorHAnsi" w:hAnsiTheme="minorHAnsi"/>
          <w:sz w:val="22"/>
          <w:lang w:eastAsia="en-US"/>
        </w:rPr>
        <w:t xml:space="preserve"> advice to planning and responsible</w:t>
      </w:r>
      <w:r w:rsidR="0025675C">
        <w:rPr>
          <w:rFonts w:asciiTheme="minorHAnsi" w:hAnsiTheme="minorHAnsi"/>
          <w:sz w:val="22"/>
          <w:lang w:eastAsia="en-US"/>
        </w:rPr>
        <w:t xml:space="preserve"> authorities in relation to this issue.</w:t>
      </w:r>
      <w:r w:rsidR="0025675C">
        <w:rPr>
          <w:rStyle w:val="FootnoteReference"/>
          <w:rFonts w:asciiTheme="minorHAnsi" w:hAnsiTheme="minorHAnsi"/>
          <w:sz w:val="22"/>
          <w:lang w:eastAsia="en-US"/>
        </w:rPr>
        <w:footnoteReference w:id="53"/>
      </w:r>
    </w:p>
    <w:p w:rsidR="000839C8" w:rsidRDefault="0064179D" w:rsidP="0094193C">
      <w:pPr>
        <w:rPr>
          <w:rFonts w:asciiTheme="minorHAnsi" w:hAnsiTheme="minorHAnsi"/>
          <w:sz w:val="22"/>
          <w:lang w:eastAsia="en-US"/>
        </w:rPr>
      </w:pPr>
      <w:r>
        <w:rPr>
          <w:rFonts w:asciiTheme="minorHAnsi" w:hAnsiTheme="minorHAnsi"/>
          <w:sz w:val="22"/>
          <w:lang w:eastAsia="en-US"/>
        </w:rPr>
        <w:t xml:space="preserve">The draft </w:t>
      </w:r>
      <w:r w:rsidR="0050464B">
        <w:rPr>
          <w:rFonts w:asciiTheme="minorHAnsi" w:hAnsiTheme="minorHAnsi"/>
          <w:sz w:val="22"/>
          <w:lang w:eastAsia="en-US"/>
        </w:rPr>
        <w:t>guideline notes that landfill buffers are to manage the risk of both landfil</w:t>
      </w:r>
      <w:r w:rsidR="00EB56E5">
        <w:rPr>
          <w:rFonts w:asciiTheme="minorHAnsi" w:hAnsiTheme="minorHAnsi"/>
          <w:sz w:val="22"/>
          <w:lang w:eastAsia="en-US"/>
        </w:rPr>
        <w:t>l gas and odour impacts, whi</w:t>
      </w:r>
      <w:r w:rsidR="0012015A">
        <w:rPr>
          <w:rFonts w:asciiTheme="minorHAnsi" w:hAnsiTheme="minorHAnsi"/>
          <w:sz w:val="22"/>
          <w:lang w:eastAsia="en-US"/>
        </w:rPr>
        <w:t xml:space="preserve">ch </w:t>
      </w:r>
      <w:r w:rsidR="004F2712">
        <w:rPr>
          <w:rFonts w:asciiTheme="minorHAnsi" w:hAnsiTheme="minorHAnsi"/>
          <w:sz w:val="22"/>
          <w:lang w:eastAsia="en-US"/>
        </w:rPr>
        <w:t xml:space="preserve">raise different concerns in relation to encroaching use and development.  </w:t>
      </w:r>
      <w:r w:rsidR="000839C8">
        <w:rPr>
          <w:rFonts w:asciiTheme="minorHAnsi" w:hAnsiTheme="minorHAnsi"/>
          <w:sz w:val="22"/>
          <w:lang w:eastAsia="en-US"/>
        </w:rPr>
        <w:t>It states:</w:t>
      </w:r>
      <w:r w:rsidR="00663184">
        <w:rPr>
          <w:rStyle w:val="FootnoteReference"/>
          <w:rFonts w:asciiTheme="minorHAnsi" w:hAnsiTheme="minorHAnsi"/>
          <w:sz w:val="22"/>
          <w:lang w:eastAsia="en-US"/>
        </w:rPr>
        <w:footnoteReference w:id="54"/>
      </w:r>
    </w:p>
    <w:p w:rsidR="000839C8" w:rsidRDefault="000839C8" w:rsidP="003340E2">
      <w:pPr>
        <w:pStyle w:val="ListParagraph"/>
        <w:numPr>
          <w:ilvl w:val="0"/>
          <w:numId w:val="26"/>
        </w:numPr>
        <w:rPr>
          <w:i/>
        </w:rPr>
      </w:pPr>
      <w:r>
        <w:rPr>
          <w:i/>
        </w:rPr>
        <w:t>In the context of landfill gas, any building or structure is considered sensitive, because of the risk of explosion or asphyxiation.</w:t>
      </w:r>
    </w:p>
    <w:p w:rsidR="000839C8" w:rsidRDefault="000839C8" w:rsidP="003340E2">
      <w:pPr>
        <w:pStyle w:val="ListParagraph"/>
        <w:numPr>
          <w:ilvl w:val="0"/>
          <w:numId w:val="26"/>
        </w:numPr>
        <w:rPr>
          <w:i/>
        </w:rPr>
      </w:pPr>
      <w:r>
        <w:rPr>
          <w:i/>
        </w:rPr>
        <w:t>In the context of odour, the definition in the Recommended Separation Distances for Industrial Residual Air Emissions – Guideline</w:t>
      </w:r>
      <w:r w:rsidR="00002C78">
        <w:rPr>
          <w:rStyle w:val="FootnoteReference"/>
          <w:i/>
        </w:rPr>
        <w:footnoteReference w:id="55"/>
      </w:r>
      <w:r>
        <w:rPr>
          <w:i/>
        </w:rPr>
        <w:t>…is appropriate, which is:</w:t>
      </w:r>
    </w:p>
    <w:p w:rsidR="000839C8" w:rsidRPr="000839C8" w:rsidRDefault="000839C8" w:rsidP="0094193C">
      <w:pPr>
        <w:pStyle w:val="ListParagraph"/>
        <w:ind w:left="1418"/>
        <w:rPr>
          <w:i/>
        </w:rPr>
      </w:pPr>
      <w:r>
        <w:rPr>
          <w:i/>
        </w:rPr>
        <w:t xml:space="preserve">Any land uses which require a </w:t>
      </w:r>
      <w:proofErr w:type="gramStart"/>
      <w:r>
        <w:rPr>
          <w:i/>
        </w:rPr>
        <w:t>particular focus</w:t>
      </w:r>
      <w:proofErr w:type="gramEnd"/>
      <w:r>
        <w:rPr>
          <w:i/>
        </w:rPr>
        <w:t xml:space="preserve"> on protecting the beneficial uses of the air environment relating to human health and wellbeing, local amenity and aesthetic enjoyment, for example residential premises, child care centres, pre-schools, primary schools, education centres or informal outdoor recreation sites.</w:t>
      </w:r>
    </w:p>
    <w:p w:rsidR="00261A05" w:rsidRDefault="00961714" w:rsidP="0094193C">
      <w:pPr>
        <w:rPr>
          <w:rFonts w:asciiTheme="minorHAnsi" w:hAnsiTheme="minorHAnsi"/>
          <w:sz w:val="22"/>
          <w:lang w:eastAsia="en-US"/>
        </w:rPr>
      </w:pPr>
      <w:r>
        <w:rPr>
          <w:rFonts w:asciiTheme="minorHAnsi" w:hAnsiTheme="minorHAnsi"/>
          <w:sz w:val="22"/>
          <w:lang w:eastAsia="en-US"/>
        </w:rPr>
        <w:t xml:space="preserve">With respect to the definition of ‘sensitive use’ in the context of odour impacts, the VPA understands that the EPA </w:t>
      </w:r>
      <w:r w:rsidR="00B243D7">
        <w:rPr>
          <w:rFonts w:asciiTheme="minorHAnsi" w:hAnsiTheme="minorHAnsi"/>
          <w:sz w:val="22"/>
          <w:lang w:eastAsia="en-US"/>
        </w:rPr>
        <w:t xml:space="preserve">commonly advises that </w:t>
      </w:r>
      <w:r w:rsidR="004E06DD">
        <w:rPr>
          <w:rFonts w:asciiTheme="minorHAnsi" w:hAnsiTheme="minorHAnsi"/>
          <w:sz w:val="22"/>
          <w:lang w:eastAsia="en-US"/>
        </w:rPr>
        <w:t>‘informal outdoor recreation’ is in fact an appropriate use within</w:t>
      </w:r>
      <w:r w:rsidR="00867860">
        <w:rPr>
          <w:rFonts w:asciiTheme="minorHAnsi" w:hAnsiTheme="minorHAnsi"/>
          <w:sz w:val="22"/>
          <w:lang w:eastAsia="en-US"/>
        </w:rPr>
        <w:t xml:space="preserve"> landfill</w:t>
      </w:r>
      <w:r w:rsidR="004E06DD">
        <w:rPr>
          <w:rFonts w:asciiTheme="minorHAnsi" w:hAnsiTheme="minorHAnsi"/>
          <w:sz w:val="22"/>
          <w:lang w:eastAsia="en-US"/>
        </w:rPr>
        <w:t xml:space="preserve"> buffers.</w:t>
      </w:r>
    </w:p>
    <w:p w:rsidR="0094193C" w:rsidRDefault="00204021" w:rsidP="0094193C">
      <w:pPr>
        <w:rPr>
          <w:rFonts w:asciiTheme="minorHAnsi" w:hAnsiTheme="minorHAnsi"/>
          <w:sz w:val="22"/>
          <w:lang w:eastAsia="en-US"/>
        </w:rPr>
      </w:pPr>
      <w:r>
        <w:rPr>
          <w:rFonts w:asciiTheme="minorHAnsi" w:hAnsiTheme="minorHAnsi"/>
          <w:sz w:val="22"/>
          <w:lang w:eastAsia="en-US"/>
        </w:rPr>
        <w:lastRenderedPageBreak/>
        <w:t xml:space="preserve">The post-exhibition version of Schedule 9 to the UGZ </w:t>
      </w:r>
      <w:r w:rsidR="00AD16AA">
        <w:rPr>
          <w:rFonts w:asciiTheme="minorHAnsi" w:hAnsiTheme="minorHAnsi"/>
          <w:sz w:val="22"/>
          <w:lang w:eastAsia="en-US"/>
        </w:rPr>
        <w:t xml:space="preserve">at Appendix 5 to the VPA’s Part A submission removes ‘information outdoor recreation’ as a use for which a permit is required within the landfill buffer under Clause </w:t>
      </w:r>
      <w:r w:rsidR="00F917AD">
        <w:rPr>
          <w:rFonts w:asciiTheme="minorHAnsi" w:hAnsiTheme="minorHAnsi"/>
          <w:sz w:val="22"/>
          <w:lang w:eastAsia="en-US"/>
        </w:rPr>
        <w:t>2.4.</w:t>
      </w:r>
      <w:r w:rsidR="004E7090">
        <w:rPr>
          <w:rFonts w:asciiTheme="minorHAnsi" w:hAnsiTheme="minorHAnsi"/>
          <w:sz w:val="22"/>
          <w:lang w:eastAsia="en-US"/>
        </w:rPr>
        <w:t xml:space="preserve">  </w:t>
      </w:r>
    </w:p>
    <w:p w:rsidR="003F2BB1" w:rsidRDefault="004E7090" w:rsidP="0094193C">
      <w:pPr>
        <w:rPr>
          <w:rFonts w:asciiTheme="minorHAnsi" w:hAnsiTheme="minorHAnsi"/>
          <w:sz w:val="22"/>
          <w:lang w:eastAsia="en-US"/>
        </w:rPr>
      </w:pPr>
      <w:r>
        <w:rPr>
          <w:rFonts w:asciiTheme="minorHAnsi" w:hAnsiTheme="minorHAnsi"/>
          <w:sz w:val="22"/>
          <w:lang w:eastAsia="en-US"/>
        </w:rPr>
        <w:t>T</w:t>
      </w:r>
      <w:r w:rsidR="006D0416">
        <w:rPr>
          <w:rFonts w:asciiTheme="minorHAnsi" w:hAnsiTheme="minorHAnsi"/>
          <w:sz w:val="22"/>
          <w:lang w:eastAsia="en-US"/>
        </w:rPr>
        <w:t>he</w:t>
      </w:r>
      <w:r>
        <w:rPr>
          <w:rFonts w:asciiTheme="minorHAnsi" w:hAnsiTheme="minorHAnsi"/>
          <w:sz w:val="22"/>
          <w:lang w:eastAsia="en-US"/>
        </w:rPr>
        <w:t xml:space="preserve"> removal is recommended </w:t>
      </w:r>
      <w:r w:rsidR="000173EB">
        <w:rPr>
          <w:rFonts w:asciiTheme="minorHAnsi" w:hAnsiTheme="minorHAnsi"/>
          <w:sz w:val="22"/>
          <w:lang w:eastAsia="en-US"/>
        </w:rPr>
        <w:t>by Mr Clarke</w:t>
      </w:r>
      <w:r w:rsidR="00201C6C">
        <w:rPr>
          <w:rFonts w:asciiTheme="minorHAnsi" w:hAnsiTheme="minorHAnsi"/>
          <w:sz w:val="22"/>
          <w:lang w:eastAsia="en-US"/>
        </w:rPr>
        <w:t xml:space="preserve"> on the basis that this use ‘would not typically involve construction of a building or structure</w:t>
      </w:r>
      <w:r w:rsidR="002C67EC">
        <w:rPr>
          <w:rFonts w:asciiTheme="minorHAnsi" w:hAnsiTheme="minorHAnsi"/>
          <w:sz w:val="22"/>
          <w:lang w:eastAsia="en-US"/>
        </w:rPr>
        <w:t>’</w:t>
      </w:r>
      <w:r>
        <w:rPr>
          <w:rFonts w:asciiTheme="minorHAnsi" w:hAnsiTheme="minorHAnsi"/>
          <w:sz w:val="22"/>
          <w:lang w:eastAsia="en-US"/>
        </w:rPr>
        <w:t>.</w:t>
      </w:r>
      <w:r w:rsidR="0094193C">
        <w:rPr>
          <w:rStyle w:val="FootnoteReference"/>
          <w:rFonts w:asciiTheme="minorHAnsi" w:hAnsiTheme="minorHAnsi"/>
          <w:sz w:val="22"/>
          <w:lang w:eastAsia="en-US"/>
        </w:rPr>
        <w:footnoteReference w:id="56"/>
      </w:r>
      <w:r w:rsidR="0012696A">
        <w:rPr>
          <w:rFonts w:asciiTheme="minorHAnsi" w:hAnsiTheme="minorHAnsi"/>
          <w:sz w:val="22"/>
          <w:lang w:eastAsia="en-US"/>
        </w:rPr>
        <w:t xml:space="preserve">  It is also recommended by Mr Ramsay</w:t>
      </w:r>
      <w:r w:rsidR="003F2BB1">
        <w:rPr>
          <w:rFonts w:asciiTheme="minorHAnsi" w:hAnsiTheme="minorHAnsi"/>
          <w:sz w:val="22"/>
          <w:lang w:eastAsia="en-US"/>
        </w:rPr>
        <w:t>, who states that:</w:t>
      </w:r>
      <w:r w:rsidR="00A15576">
        <w:rPr>
          <w:rStyle w:val="FootnoteReference"/>
          <w:rFonts w:asciiTheme="minorHAnsi" w:hAnsiTheme="minorHAnsi"/>
          <w:sz w:val="22"/>
          <w:lang w:eastAsia="en-US"/>
        </w:rPr>
        <w:footnoteReference w:id="57"/>
      </w:r>
    </w:p>
    <w:p w:rsidR="00FC43CB" w:rsidRDefault="003F2BB1" w:rsidP="003F2BB1">
      <w:pPr>
        <w:ind w:left="709"/>
        <w:rPr>
          <w:rFonts w:asciiTheme="minorHAnsi" w:hAnsiTheme="minorHAnsi"/>
          <w:sz w:val="22"/>
          <w:lang w:eastAsia="en-US"/>
        </w:rPr>
      </w:pPr>
      <w:r>
        <w:rPr>
          <w:rFonts w:asciiTheme="minorHAnsi" w:hAnsiTheme="minorHAnsi"/>
          <w:i/>
          <w:sz w:val="22"/>
          <w:lang w:eastAsia="en-US"/>
        </w:rPr>
        <w:t>Recreational and conservational public open space is a typical and appropriate interface land use and is explicitly lis</w:t>
      </w:r>
      <w:r w:rsidR="00F415C9">
        <w:rPr>
          <w:rFonts w:asciiTheme="minorHAnsi" w:hAnsiTheme="minorHAnsi"/>
          <w:i/>
          <w:sz w:val="22"/>
          <w:lang w:eastAsia="en-US"/>
        </w:rPr>
        <w:t xml:space="preserve">ted in Section 10.2 of [the </w:t>
      </w:r>
      <w:r>
        <w:rPr>
          <w:rFonts w:asciiTheme="minorHAnsi" w:hAnsiTheme="minorHAnsi"/>
          <w:i/>
          <w:sz w:val="22"/>
          <w:lang w:eastAsia="en-US"/>
        </w:rPr>
        <w:t>Separation Distance Guideline].</w:t>
      </w:r>
      <w:r w:rsidR="0094193C">
        <w:rPr>
          <w:rFonts w:asciiTheme="minorHAnsi" w:hAnsiTheme="minorHAnsi"/>
          <w:sz w:val="22"/>
          <w:lang w:eastAsia="en-US"/>
        </w:rPr>
        <w:t xml:space="preserve">  </w:t>
      </w:r>
    </w:p>
    <w:p w:rsidR="00347243" w:rsidRDefault="00347243" w:rsidP="0094193C">
      <w:pPr>
        <w:rPr>
          <w:rFonts w:asciiTheme="minorHAnsi" w:hAnsiTheme="minorHAnsi"/>
          <w:sz w:val="22"/>
          <w:lang w:eastAsia="en-US"/>
        </w:rPr>
      </w:pPr>
      <w:r>
        <w:rPr>
          <w:rFonts w:asciiTheme="minorHAnsi" w:hAnsiTheme="minorHAnsi"/>
          <w:sz w:val="22"/>
          <w:lang w:eastAsia="en-US"/>
        </w:rPr>
        <w:t xml:space="preserve">Mr </w:t>
      </w:r>
      <w:r w:rsidR="002B0CFD">
        <w:rPr>
          <w:rFonts w:asciiTheme="minorHAnsi" w:hAnsiTheme="minorHAnsi"/>
          <w:sz w:val="22"/>
          <w:lang w:eastAsia="en-US"/>
        </w:rPr>
        <w:t xml:space="preserve">Clarke and Mr Ramsay raise </w:t>
      </w:r>
      <w:proofErr w:type="gramStart"/>
      <w:r w:rsidR="002B0CFD">
        <w:rPr>
          <w:rFonts w:asciiTheme="minorHAnsi" w:hAnsiTheme="minorHAnsi"/>
          <w:sz w:val="22"/>
          <w:lang w:eastAsia="en-US"/>
        </w:rPr>
        <w:t>a number of</w:t>
      </w:r>
      <w:proofErr w:type="gramEnd"/>
      <w:r w:rsidR="002B0CFD">
        <w:rPr>
          <w:rFonts w:asciiTheme="minorHAnsi" w:hAnsiTheme="minorHAnsi"/>
          <w:sz w:val="22"/>
          <w:lang w:eastAsia="en-US"/>
        </w:rPr>
        <w:t xml:space="preserve"> concerns with the planning controls </w:t>
      </w:r>
      <w:r w:rsidR="003E3EAF">
        <w:rPr>
          <w:rFonts w:asciiTheme="minorHAnsi" w:hAnsiTheme="minorHAnsi"/>
          <w:sz w:val="22"/>
          <w:lang w:eastAsia="en-US"/>
        </w:rPr>
        <w:t>proposed in Clause 3.8 as exhibited.</w:t>
      </w:r>
    </w:p>
    <w:p w:rsidR="003E3EAF" w:rsidRDefault="003E3EAF" w:rsidP="0094193C">
      <w:pPr>
        <w:rPr>
          <w:rFonts w:asciiTheme="minorHAnsi" w:hAnsiTheme="minorHAnsi"/>
          <w:sz w:val="22"/>
          <w:lang w:eastAsia="en-US"/>
        </w:rPr>
      </w:pPr>
      <w:r>
        <w:rPr>
          <w:rFonts w:asciiTheme="minorHAnsi" w:hAnsiTheme="minorHAnsi"/>
          <w:sz w:val="22"/>
          <w:lang w:eastAsia="en-US"/>
        </w:rPr>
        <w:t>Mr Clarke</w:t>
      </w:r>
      <w:r w:rsidR="00AF2655">
        <w:rPr>
          <w:rFonts w:asciiTheme="minorHAnsi" w:hAnsiTheme="minorHAnsi"/>
          <w:sz w:val="22"/>
          <w:lang w:eastAsia="en-US"/>
        </w:rPr>
        <w:t xml:space="preserve"> notes the </w:t>
      </w:r>
      <w:r w:rsidR="00DA7FCC">
        <w:rPr>
          <w:rFonts w:asciiTheme="minorHAnsi" w:hAnsiTheme="minorHAnsi"/>
          <w:sz w:val="22"/>
          <w:lang w:eastAsia="en-US"/>
        </w:rPr>
        <w:t>difficulty for future planning permit applicant</w:t>
      </w:r>
      <w:r w:rsidR="00ED3EEA">
        <w:rPr>
          <w:rFonts w:asciiTheme="minorHAnsi" w:hAnsiTheme="minorHAnsi"/>
          <w:sz w:val="22"/>
          <w:lang w:eastAsia="en-US"/>
        </w:rPr>
        <w:t>s</w:t>
      </w:r>
      <w:r w:rsidR="00DA7FCC">
        <w:rPr>
          <w:rFonts w:asciiTheme="minorHAnsi" w:hAnsiTheme="minorHAnsi"/>
          <w:sz w:val="22"/>
          <w:lang w:eastAsia="en-US"/>
        </w:rPr>
        <w:t xml:space="preserve"> with respect to land </w:t>
      </w:r>
      <w:r w:rsidR="00D83A4F">
        <w:rPr>
          <w:rFonts w:asciiTheme="minorHAnsi" w:hAnsiTheme="minorHAnsi"/>
          <w:sz w:val="22"/>
          <w:lang w:eastAsia="en-US"/>
        </w:rPr>
        <w:t>within the landfill buffer</w:t>
      </w:r>
      <w:r w:rsidR="00DA7FCC">
        <w:rPr>
          <w:rFonts w:asciiTheme="minorHAnsi" w:hAnsiTheme="minorHAnsi"/>
          <w:sz w:val="22"/>
          <w:lang w:eastAsia="en-US"/>
        </w:rPr>
        <w:t xml:space="preserve"> in gaining access to the information required to conduct a landfill gas risk assessment</w:t>
      </w:r>
      <w:r w:rsidR="00512BBA">
        <w:rPr>
          <w:rFonts w:asciiTheme="minorHAnsi" w:hAnsiTheme="minorHAnsi"/>
          <w:sz w:val="22"/>
          <w:lang w:eastAsia="en-US"/>
        </w:rPr>
        <w:t xml:space="preserve">, </w:t>
      </w:r>
      <w:r w:rsidR="00693287">
        <w:rPr>
          <w:rFonts w:asciiTheme="minorHAnsi" w:hAnsiTheme="minorHAnsi"/>
          <w:sz w:val="22"/>
          <w:lang w:eastAsia="en-US"/>
        </w:rPr>
        <w:t>which is</w:t>
      </w:r>
      <w:r w:rsidR="00512BBA">
        <w:rPr>
          <w:rFonts w:asciiTheme="minorHAnsi" w:hAnsiTheme="minorHAnsi"/>
          <w:sz w:val="22"/>
          <w:lang w:eastAsia="en-US"/>
        </w:rPr>
        <w:t xml:space="preserve"> also required for a s53V audit</w:t>
      </w:r>
      <w:r w:rsidR="00DA7FCC">
        <w:rPr>
          <w:rFonts w:asciiTheme="minorHAnsi" w:hAnsiTheme="minorHAnsi"/>
          <w:sz w:val="22"/>
          <w:lang w:eastAsia="en-US"/>
        </w:rPr>
        <w:t>.</w:t>
      </w:r>
      <w:r w:rsidR="003B5FD5">
        <w:rPr>
          <w:rStyle w:val="FootnoteReference"/>
          <w:rFonts w:asciiTheme="minorHAnsi" w:hAnsiTheme="minorHAnsi"/>
          <w:sz w:val="22"/>
          <w:lang w:eastAsia="en-US"/>
        </w:rPr>
        <w:footnoteReference w:id="58"/>
      </w:r>
      <w:r w:rsidR="00512BBA">
        <w:rPr>
          <w:rFonts w:asciiTheme="minorHAnsi" w:hAnsiTheme="minorHAnsi"/>
          <w:sz w:val="22"/>
          <w:lang w:eastAsia="en-US"/>
        </w:rPr>
        <w:t xml:space="preserve">  The post-exhibition version of </w:t>
      </w:r>
      <w:r w:rsidR="00147B3D">
        <w:rPr>
          <w:rFonts w:asciiTheme="minorHAnsi" w:hAnsiTheme="minorHAnsi"/>
          <w:sz w:val="22"/>
          <w:lang w:eastAsia="en-US"/>
        </w:rPr>
        <w:t>Schedule 9 to the UGZ in</w:t>
      </w:r>
      <w:r w:rsidR="00512BBA">
        <w:rPr>
          <w:rFonts w:asciiTheme="minorHAnsi" w:hAnsiTheme="minorHAnsi"/>
          <w:sz w:val="22"/>
          <w:lang w:eastAsia="en-US"/>
        </w:rPr>
        <w:t xml:space="preserve"> Appendix 5 to the Part A submission </w:t>
      </w:r>
      <w:r w:rsidR="00F61D3C">
        <w:rPr>
          <w:rFonts w:asciiTheme="minorHAnsi" w:hAnsiTheme="minorHAnsi"/>
          <w:sz w:val="22"/>
          <w:lang w:eastAsia="en-US"/>
        </w:rPr>
        <w:t xml:space="preserve">removes the option of submitting a landfill gas risk assessment </w:t>
      </w:r>
      <w:r w:rsidR="00147B3D">
        <w:rPr>
          <w:rFonts w:asciiTheme="minorHAnsi" w:hAnsiTheme="minorHAnsi"/>
          <w:sz w:val="22"/>
          <w:lang w:eastAsia="en-US"/>
        </w:rPr>
        <w:t xml:space="preserve">in Clause 3.8 </w:t>
      </w:r>
      <w:r w:rsidR="00F61D3C">
        <w:rPr>
          <w:rFonts w:asciiTheme="minorHAnsi" w:hAnsiTheme="minorHAnsi"/>
          <w:sz w:val="22"/>
          <w:lang w:eastAsia="en-US"/>
        </w:rPr>
        <w:t>and requires all applications within the landfill buffer to be accompanied by a s53V audit.</w:t>
      </w:r>
    </w:p>
    <w:p w:rsidR="00393C5C" w:rsidRDefault="004B7FD3" w:rsidP="0094193C">
      <w:pPr>
        <w:rPr>
          <w:rFonts w:asciiTheme="minorHAnsi" w:hAnsiTheme="minorHAnsi"/>
          <w:sz w:val="22"/>
          <w:lang w:eastAsia="en-US"/>
        </w:rPr>
      </w:pPr>
      <w:r>
        <w:rPr>
          <w:rFonts w:asciiTheme="minorHAnsi" w:hAnsiTheme="minorHAnsi"/>
          <w:sz w:val="22"/>
          <w:lang w:eastAsia="en-US"/>
        </w:rPr>
        <w:t>This post-exhibition change would address Mr Ramsay’</w:t>
      </w:r>
      <w:r w:rsidR="005460B2">
        <w:rPr>
          <w:rFonts w:asciiTheme="minorHAnsi" w:hAnsiTheme="minorHAnsi"/>
          <w:sz w:val="22"/>
          <w:lang w:eastAsia="en-US"/>
        </w:rPr>
        <w:t xml:space="preserve">s opinion, based on the application of the draft EPA guideline, that </w:t>
      </w:r>
      <w:r w:rsidR="00A3026C">
        <w:rPr>
          <w:rFonts w:asciiTheme="minorHAnsi" w:hAnsiTheme="minorHAnsi"/>
          <w:sz w:val="22"/>
          <w:lang w:eastAsia="en-US"/>
        </w:rPr>
        <w:t xml:space="preserve">the </w:t>
      </w:r>
      <w:r w:rsidR="005460B2">
        <w:rPr>
          <w:rFonts w:asciiTheme="minorHAnsi" w:hAnsiTheme="minorHAnsi"/>
          <w:sz w:val="22"/>
          <w:lang w:eastAsia="en-US"/>
        </w:rPr>
        <w:t xml:space="preserve">EPA would be likely to recommend a s53V audit for any new building work within the </w:t>
      </w:r>
      <w:r w:rsidR="00E73281">
        <w:rPr>
          <w:rFonts w:asciiTheme="minorHAnsi" w:hAnsiTheme="minorHAnsi"/>
          <w:sz w:val="22"/>
          <w:lang w:eastAsia="en-US"/>
        </w:rPr>
        <w:t>landfill buffer.</w:t>
      </w:r>
    </w:p>
    <w:p w:rsidR="00E42A33" w:rsidRPr="00E42A33" w:rsidRDefault="007F5027" w:rsidP="00B45E18">
      <w:pPr>
        <w:rPr>
          <w:rFonts w:asciiTheme="minorHAnsi" w:hAnsiTheme="minorHAnsi"/>
          <w:sz w:val="22"/>
          <w:lang w:eastAsia="en-US"/>
        </w:rPr>
      </w:pPr>
      <w:r>
        <w:rPr>
          <w:rFonts w:asciiTheme="minorHAnsi" w:hAnsiTheme="minorHAnsi"/>
          <w:sz w:val="22"/>
          <w:lang w:eastAsia="en-US"/>
        </w:rPr>
        <w:t xml:space="preserve">Mr Clarke </w:t>
      </w:r>
      <w:r w:rsidR="00900DDA">
        <w:rPr>
          <w:rFonts w:asciiTheme="minorHAnsi" w:hAnsiTheme="minorHAnsi"/>
          <w:sz w:val="22"/>
          <w:lang w:eastAsia="en-US"/>
        </w:rPr>
        <w:t>further recommends</w:t>
      </w:r>
      <w:r w:rsidR="00EC2943">
        <w:rPr>
          <w:rFonts w:asciiTheme="minorHAnsi" w:hAnsiTheme="minorHAnsi"/>
          <w:sz w:val="22"/>
          <w:lang w:eastAsia="en-US"/>
        </w:rPr>
        <w:t xml:space="preserve"> that uses within the landfill buffer should be limited to ‘informal outdoor recreation</w:t>
      </w:r>
      <w:r w:rsidR="00002C42">
        <w:rPr>
          <w:rFonts w:asciiTheme="minorHAnsi" w:hAnsiTheme="minorHAnsi"/>
          <w:sz w:val="22"/>
          <w:lang w:eastAsia="en-US"/>
        </w:rPr>
        <w:t>’</w:t>
      </w:r>
      <w:r w:rsidR="00EC2943">
        <w:rPr>
          <w:rFonts w:asciiTheme="minorHAnsi" w:hAnsiTheme="minorHAnsi"/>
          <w:sz w:val="22"/>
          <w:lang w:eastAsia="en-US"/>
        </w:rPr>
        <w:t>.</w:t>
      </w:r>
      <w:r w:rsidR="00002C42">
        <w:rPr>
          <w:rStyle w:val="FootnoteReference"/>
          <w:rFonts w:asciiTheme="minorHAnsi" w:hAnsiTheme="minorHAnsi"/>
          <w:sz w:val="22"/>
          <w:lang w:eastAsia="en-US"/>
        </w:rPr>
        <w:footnoteReference w:id="59"/>
      </w:r>
      <w:r w:rsidR="00B45E18">
        <w:rPr>
          <w:rFonts w:asciiTheme="minorHAnsi" w:hAnsiTheme="minorHAnsi"/>
          <w:sz w:val="22"/>
          <w:lang w:eastAsia="en-US"/>
        </w:rPr>
        <w:t xml:space="preserve">  </w:t>
      </w:r>
      <w:r w:rsidR="00E42A33">
        <w:rPr>
          <w:rFonts w:asciiTheme="minorHAnsi" w:hAnsiTheme="minorHAnsi"/>
          <w:sz w:val="22"/>
          <w:lang w:eastAsia="en-US"/>
        </w:rPr>
        <w:t xml:space="preserve">The VPA understands </w:t>
      </w:r>
      <w:r w:rsidR="00DE43FE">
        <w:rPr>
          <w:rFonts w:asciiTheme="minorHAnsi" w:hAnsiTheme="minorHAnsi"/>
          <w:sz w:val="22"/>
          <w:lang w:eastAsia="en-US"/>
        </w:rPr>
        <w:t>this</w:t>
      </w:r>
      <w:r w:rsidR="00E42A33">
        <w:rPr>
          <w:rFonts w:asciiTheme="minorHAnsi" w:hAnsiTheme="minorHAnsi"/>
          <w:sz w:val="22"/>
          <w:lang w:eastAsia="en-US"/>
        </w:rPr>
        <w:t xml:space="preserve"> would address </w:t>
      </w:r>
      <w:r w:rsidR="004961A3">
        <w:rPr>
          <w:rFonts w:asciiTheme="minorHAnsi" w:hAnsiTheme="minorHAnsi"/>
          <w:sz w:val="22"/>
          <w:lang w:eastAsia="en-US"/>
        </w:rPr>
        <w:t xml:space="preserve">Mr Ramsay’s concerns in relation to Clause 3.7 </w:t>
      </w:r>
      <w:r w:rsidR="00126FE5">
        <w:rPr>
          <w:rFonts w:asciiTheme="minorHAnsi" w:hAnsiTheme="minorHAnsi"/>
          <w:sz w:val="22"/>
          <w:lang w:eastAsia="en-US"/>
        </w:rPr>
        <w:t>and the level of assessment required to accompany applications to use land or subdivide land for a sensitive use.</w:t>
      </w:r>
      <w:r w:rsidR="00DE43FE">
        <w:rPr>
          <w:rStyle w:val="FootnoteReference"/>
          <w:rFonts w:asciiTheme="minorHAnsi" w:hAnsiTheme="minorHAnsi"/>
          <w:sz w:val="22"/>
          <w:lang w:eastAsia="en-US"/>
        </w:rPr>
        <w:footnoteReference w:id="60"/>
      </w:r>
    </w:p>
    <w:p w:rsidR="00AE4E08" w:rsidRDefault="00AE4E08" w:rsidP="0094193C">
      <w:pPr>
        <w:rPr>
          <w:rFonts w:asciiTheme="minorHAnsi" w:hAnsiTheme="minorHAnsi"/>
          <w:sz w:val="22"/>
          <w:lang w:eastAsia="en-US"/>
        </w:rPr>
      </w:pPr>
      <w:r>
        <w:rPr>
          <w:rFonts w:asciiTheme="minorHAnsi" w:hAnsiTheme="minorHAnsi"/>
          <w:sz w:val="22"/>
          <w:lang w:eastAsia="en-US"/>
        </w:rPr>
        <w:t xml:space="preserve">Clause 2.8 requires a permit for buildings and works within the landfill buffer.  It includes a list of exemptions </w:t>
      </w:r>
      <w:r w:rsidR="00E2514B">
        <w:rPr>
          <w:rFonts w:asciiTheme="minorHAnsi" w:hAnsiTheme="minorHAnsi"/>
          <w:sz w:val="22"/>
          <w:lang w:eastAsia="en-US"/>
        </w:rPr>
        <w:t xml:space="preserve">for ‘non-intrusive works’.  Mr Clarke recommends that the permit requirement apply to </w:t>
      </w:r>
      <w:proofErr w:type="gramStart"/>
      <w:r w:rsidR="00E2514B">
        <w:rPr>
          <w:rFonts w:asciiTheme="minorHAnsi" w:hAnsiTheme="minorHAnsi"/>
          <w:sz w:val="22"/>
          <w:lang w:eastAsia="en-US"/>
        </w:rPr>
        <w:t>a number of</w:t>
      </w:r>
      <w:proofErr w:type="gramEnd"/>
      <w:r w:rsidR="00E2514B">
        <w:rPr>
          <w:rFonts w:asciiTheme="minorHAnsi" w:hAnsiTheme="minorHAnsi"/>
          <w:sz w:val="22"/>
          <w:lang w:eastAsia="en-US"/>
        </w:rPr>
        <w:t xml:space="preserve"> specific types of subsurface infrastructure.  </w:t>
      </w:r>
      <w:r w:rsidR="007A303D">
        <w:rPr>
          <w:rFonts w:asciiTheme="minorHAnsi" w:hAnsiTheme="minorHAnsi"/>
          <w:sz w:val="22"/>
          <w:lang w:eastAsia="en-US"/>
        </w:rPr>
        <w:t>The VPA consi</w:t>
      </w:r>
      <w:r w:rsidR="006232C4">
        <w:rPr>
          <w:rFonts w:asciiTheme="minorHAnsi" w:hAnsiTheme="minorHAnsi"/>
          <w:sz w:val="22"/>
          <w:lang w:eastAsia="en-US"/>
        </w:rPr>
        <w:t>ders Mr Clarke’s recommendation</w:t>
      </w:r>
      <w:r w:rsidR="007A303D">
        <w:rPr>
          <w:rFonts w:asciiTheme="minorHAnsi" w:hAnsiTheme="minorHAnsi"/>
          <w:sz w:val="22"/>
          <w:lang w:eastAsia="en-US"/>
        </w:rPr>
        <w:t xml:space="preserve"> to be consistent with </w:t>
      </w:r>
      <w:r w:rsidR="00B676AA">
        <w:rPr>
          <w:rFonts w:asciiTheme="minorHAnsi" w:hAnsiTheme="minorHAnsi"/>
          <w:sz w:val="22"/>
          <w:lang w:eastAsia="en-US"/>
        </w:rPr>
        <w:t>the intention of Clause 2.8</w:t>
      </w:r>
      <w:r w:rsidR="006232C4">
        <w:rPr>
          <w:rFonts w:asciiTheme="minorHAnsi" w:hAnsiTheme="minorHAnsi"/>
          <w:sz w:val="22"/>
          <w:lang w:eastAsia="en-US"/>
        </w:rPr>
        <w:t>, but supports incorporating this change for clarity.</w:t>
      </w:r>
    </w:p>
    <w:p w:rsidR="009F295F" w:rsidRPr="00730E20" w:rsidRDefault="009F295F" w:rsidP="0094193C">
      <w:pPr>
        <w:rPr>
          <w:rFonts w:asciiTheme="minorHAnsi" w:hAnsiTheme="minorHAnsi"/>
          <w:b/>
          <w:i/>
          <w:sz w:val="22"/>
          <w:lang w:eastAsia="en-US"/>
        </w:rPr>
      </w:pPr>
      <w:r w:rsidRPr="00730E20">
        <w:rPr>
          <w:rFonts w:asciiTheme="minorHAnsi" w:hAnsiTheme="minorHAnsi"/>
          <w:b/>
          <w:i/>
          <w:sz w:val="22"/>
          <w:lang w:eastAsia="en-US"/>
        </w:rPr>
        <w:t>VPA position</w:t>
      </w:r>
    </w:p>
    <w:p w:rsidR="00BA4FDC" w:rsidRDefault="00BA4FDC" w:rsidP="00A4246D">
      <w:pPr>
        <w:rPr>
          <w:rFonts w:asciiTheme="minorHAnsi" w:hAnsiTheme="minorHAnsi"/>
          <w:sz w:val="22"/>
          <w:lang w:eastAsia="en-US"/>
        </w:rPr>
      </w:pPr>
      <w:r>
        <w:rPr>
          <w:rFonts w:asciiTheme="minorHAnsi" w:hAnsiTheme="minorHAnsi"/>
          <w:sz w:val="22"/>
          <w:lang w:eastAsia="en-US"/>
        </w:rPr>
        <w:lastRenderedPageBreak/>
        <w:t>In response to the evidence of Mr Clar</w:t>
      </w:r>
      <w:r w:rsidR="00B92D53">
        <w:rPr>
          <w:rFonts w:asciiTheme="minorHAnsi" w:hAnsiTheme="minorHAnsi"/>
          <w:sz w:val="22"/>
          <w:lang w:eastAsia="en-US"/>
        </w:rPr>
        <w:t>k</w:t>
      </w:r>
      <w:r>
        <w:rPr>
          <w:rFonts w:asciiTheme="minorHAnsi" w:hAnsiTheme="minorHAnsi"/>
          <w:sz w:val="22"/>
          <w:lang w:eastAsia="en-US"/>
        </w:rPr>
        <w:t>e and Mr Ramsay,</w:t>
      </w:r>
      <w:r w:rsidR="00534FD7">
        <w:rPr>
          <w:rFonts w:asciiTheme="minorHAnsi" w:hAnsiTheme="minorHAnsi"/>
          <w:sz w:val="22"/>
          <w:lang w:eastAsia="en-US"/>
        </w:rPr>
        <w:t xml:space="preserve"> the VPA supports the following changes to the post-exhibition version o</w:t>
      </w:r>
      <w:r w:rsidR="00BF12DB">
        <w:rPr>
          <w:rFonts w:asciiTheme="minorHAnsi" w:hAnsiTheme="minorHAnsi"/>
          <w:sz w:val="22"/>
          <w:lang w:eastAsia="en-US"/>
        </w:rPr>
        <w:t>f Schedule 9 to the UGZ in Appendix 5 to the Part A submission</w:t>
      </w:r>
      <w:r w:rsidR="00BF6493">
        <w:rPr>
          <w:rFonts w:asciiTheme="minorHAnsi" w:hAnsiTheme="minorHAnsi"/>
          <w:sz w:val="22"/>
          <w:lang w:eastAsia="en-US"/>
        </w:rPr>
        <w:t>:</w:t>
      </w:r>
      <w:r w:rsidR="00534FD7">
        <w:rPr>
          <w:rFonts w:asciiTheme="minorHAnsi" w:hAnsiTheme="minorHAnsi"/>
          <w:sz w:val="22"/>
          <w:lang w:eastAsia="en-US"/>
        </w:rPr>
        <w:t xml:space="preserve"> </w:t>
      </w:r>
    </w:p>
    <w:p w:rsidR="00A4246D" w:rsidRDefault="00A4246D" w:rsidP="003340E2">
      <w:pPr>
        <w:pStyle w:val="ListParagraph"/>
        <w:numPr>
          <w:ilvl w:val="0"/>
          <w:numId w:val="27"/>
        </w:numPr>
      </w:pPr>
      <w:r>
        <w:t xml:space="preserve">removing land designated as ‘residential’ from within </w:t>
      </w:r>
      <w:r w:rsidR="00A31760">
        <w:t xml:space="preserve">any </w:t>
      </w:r>
      <w:r>
        <w:t>reduced</w:t>
      </w:r>
      <w:r w:rsidR="00730E20">
        <w:t xml:space="preserve"> landfill buffer extent shown on</w:t>
      </w:r>
      <w:r>
        <w:t xml:space="preserve"> </w:t>
      </w:r>
      <w:r w:rsidR="00BF6493">
        <w:t>Map 1 (and on Plan 3 within the Sunbury South PSP);</w:t>
      </w:r>
    </w:p>
    <w:p w:rsidR="002B0F3B" w:rsidRDefault="00A4246D" w:rsidP="003340E2">
      <w:pPr>
        <w:pStyle w:val="ListParagraph"/>
        <w:numPr>
          <w:ilvl w:val="0"/>
          <w:numId w:val="27"/>
        </w:numPr>
      </w:pPr>
      <w:r>
        <w:t>removing the references to the landfill buffer in Clause 2.4, in relation to permit applications to use land for sensitive uses;</w:t>
      </w:r>
    </w:p>
    <w:p w:rsidR="00A4246D" w:rsidRDefault="005B186F" w:rsidP="003340E2">
      <w:pPr>
        <w:pStyle w:val="ListParagraph"/>
        <w:numPr>
          <w:ilvl w:val="0"/>
          <w:numId w:val="27"/>
        </w:numPr>
      </w:pPr>
      <w:r>
        <w:t xml:space="preserve">include within Clause 2.8 a permit requirement for works associated with underground services within the landfill buffer, </w:t>
      </w:r>
      <w:r w:rsidR="000F4BAC">
        <w:t>including stormwater drains, pits, water mains, sewers, power lines and communications cables;</w:t>
      </w:r>
      <w:r w:rsidR="00A4246D">
        <w:t xml:space="preserve"> and</w:t>
      </w:r>
    </w:p>
    <w:p w:rsidR="00F30557" w:rsidRDefault="00A4246D" w:rsidP="00970F1B">
      <w:pPr>
        <w:pStyle w:val="ListParagraph"/>
        <w:numPr>
          <w:ilvl w:val="0"/>
          <w:numId w:val="27"/>
        </w:numPr>
      </w:pPr>
      <w:r>
        <w:t>removing Clause 3.7 entirely, which relates to applications to use land or subdivide land for a sensitive use.</w:t>
      </w:r>
    </w:p>
    <w:p w:rsidR="009D1B42" w:rsidRPr="00F30557" w:rsidRDefault="00E31C65" w:rsidP="00F30557">
      <w:pPr>
        <w:rPr>
          <w:rFonts w:asciiTheme="minorHAnsi" w:hAnsiTheme="minorHAnsi"/>
          <w:sz w:val="22"/>
          <w:lang w:eastAsia="en-US"/>
        </w:rPr>
      </w:pPr>
      <w:r w:rsidRPr="00F30557">
        <w:rPr>
          <w:rFonts w:asciiTheme="minorHAnsi" w:hAnsiTheme="minorHAnsi"/>
          <w:sz w:val="22"/>
          <w:lang w:eastAsia="en-US"/>
        </w:rPr>
        <w:t>Ultimately</w:t>
      </w:r>
      <w:r w:rsidR="00F30557">
        <w:rPr>
          <w:rFonts w:asciiTheme="minorHAnsi" w:hAnsiTheme="minorHAnsi"/>
          <w:sz w:val="22"/>
          <w:lang w:eastAsia="en-US"/>
        </w:rPr>
        <w:t>,</w:t>
      </w:r>
      <w:r w:rsidRPr="00F30557">
        <w:rPr>
          <w:rFonts w:asciiTheme="minorHAnsi" w:hAnsiTheme="minorHAnsi"/>
          <w:sz w:val="22"/>
          <w:lang w:eastAsia="en-US"/>
        </w:rPr>
        <w:t xml:space="preserve"> the Panel has before it detailed evidence on landfill gas </w:t>
      </w:r>
      <w:r w:rsidR="002B6BE4" w:rsidRPr="00F30557">
        <w:rPr>
          <w:rFonts w:asciiTheme="minorHAnsi" w:hAnsiTheme="minorHAnsi"/>
          <w:sz w:val="22"/>
          <w:lang w:eastAsia="en-US"/>
        </w:rPr>
        <w:t xml:space="preserve">to the effect that this element would justify a (generally) 200m buffer and less detailed evidence from Mr Ramsey to the effect that </w:t>
      </w:r>
      <w:r w:rsidR="00FE3A81">
        <w:rPr>
          <w:rFonts w:asciiTheme="minorHAnsi" w:hAnsiTheme="minorHAnsi"/>
          <w:sz w:val="22"/>
          <w:lang w:eastAsia="en-US"/>
        </w:rPr>
        <w:t>the risk of landfill odour</w:t>
      </w:r>
      <w:r w:rsidR="002B6BE4" w:rsidRPr="00F30557">
        <w:rPr>
          <w:rFonts w:asciiTheme="minorHAnsi" w:hAnsiTheme="minorHAnsi"/>
          <w:sz w:val="22"/>
          <w:lang w:eastAsia="en-US"/>
        </w:rPr>
        <w:t xml:space="preserve"> justifies the exhibited buffer.  </w:t>
      </w:r>
      <w:r w:rsidR="00291307" w:rsidRPr="00F30557">
        <w:rPr>
          <w:rFonts w:asciiTheme="minorHAnsi" w:hAnsiTheme="minorHAnsi"/>
          <w:sz w:val="22"/>
          <w:lang w:eastAsia="en-US"/>
        </w:rPr>
        <w:t xml:space="preserve">Naturally this will be tested in evidence by the parties.  </w:t>
      </w:r>
    </w:p>
    <w:p w:rsidR="00291307" w:rsidRPr="00F30557" w:rsidRDefault="00291307" w:rsidP="00F30557">
      <w:pPr>
        <w:rPr>
          <w:rFonts w:asciiTheme="minorHAnsi" w:hAnsiTheme="minorHAnsi"/>
          <w:sz w:val="22"/>
          <w:lang w:eastAsia="en-US"/>
        </w:rPr>
      </w:pPr>
      <w:r w:rsidRPr="00F30557">
        <w:rPr>
          <w:rFonts w:asciiTheme="minorHAnsi" w:hAnsiTheme="minorHAnsi"/>
          <w:sz w:val="22"/>
          <w:lang w:eastAsia="en-US"/>
        </w:rPr>
        <w:t xml:space="preserve">The underlying issue is that </w:t>
      </w:r>
      <w:r w:rsidR="004943B0" w:rsidRPr="00F30557">
        <w:rPr>
          <w:rFonts w:asciiTheme="minorHAnsi" w:hAnsiTheme="minorHAnsi"/>
          <w:sz w:val="22"/>
          <w:lang w:eastAsia="en-US"/>
        </w:rPr>
        <w:t xml:space="preserve">there </w:t>
      </w:r>
      <w:r w:rsidR="00FE3A81">
        <w:rPr>
          <w:rFonts w:asciiTheme="minorHAnsi" w:hAnsiTheme="minorHAnsi"/>
          <w:sz w:val="22"/>
          <w:lang w:eastAsia="en-US"/>
        </w:rPr>
        <w:t>remains</w:t>
      </w:r>
      <w:r w:rsidR="004943B0" w:rsidRPr="00F30557">
        <w:rPr>
          <w:rFonts w:asciiTheme="minorHAnsi" w:hAnsiTheme="minorHAnsi"/>
          <w:sz w:val="22"/>
          <w:lang w:eastAsia="en-US"/>
        </w:rPr>
        <w:t xml:space="preserve"> contention about the proper buffer extent</w:t>
      </w:r>
      <w:r w:rsidR="004E1394">
        <w:rPr>
          <w:rFonts w:asciiTheme="minorHAnsi" w:hAnsiTheme="minorHAnsi"/>
          <w:sz w:val="22"/>
          <w:lang w:eastAsia="en-US"/>
        </w:rPr>
        <w:t>.</w:t>
      </w:r>
      <w:r w:rsidR="004943B0" w:rsidRPr="00F30557">
        <w:rPr>
          <w:rFonts w:asciiTheme="minorHAnsi" w:hAnsiTheme="minorHAnsi"/>
          <w:sz w:val="22"/>
          <w:lang w:eastAsia="en-US"/>
        </w:rPr>
        <w:t xml:space="preserve"> </w:t>
      </w:r>
      <w:r w:rsidR="004E1394">
        <w:rPr>
          <w:rFonts w:asciiTheme="minorHAnsi" w:hAnsiTheme="minorHAnsi"/>
          <w:sz w:val="22"/>
          <w:lang w:eastAsia="en-US"/>
        </w:rPr>
        <w:t xml:space="preserve"> T</w:t>
      </w:r>
      <w:r w:rsidR="004943B0" w:rsidRPr="00F30557">
        <w:rPr>
          <w:rFonts w:asciiTheme="minorHAnsi" w:hAnsiTheme="minorHAnsi"/>
          <w:sz w:val="22"/>
          <w:lang w:eastAsia="en-US"/>
        </w:rPr>
        <w:t>he</w:t>
      </w:r>
      <w:r w:rsidR="004E1394">
        <w:rPr>
          <w:rFonts w:asciiTheme="minorHAnsi" w:hAnsiTheme="minorHAnsi"/>
          <w:sz w:val="22"/>
          <w:lang w:eastAsia="en-US"/>
        </w:rPr>
        <w:t xml:space="preserve"> VPA considers the</w:t>
      </w:r>
      <w:r w:rsidR="004943B0" w:rsidRPr="00F30557">
        <w:rPr>
          <w:rFonts w:asciiTheme="minorHAnsi" w:hAnsiTheme="minorHAnsi"/>
          <w:sz w:val="22"/>
          <w:lang w:eastAsia="en-US"/>
        </w:rPr>
        <w:t xml:space="preserve"> controls </w:t>
      </w:r>
      <w:r w:rsidR="004E1394">
        <w:rPr>
          <w:rFonts w:asciiTheme="minorHAnsi" w:hAnsiTheme="minorHAnsi"/>
          <w:sz w:val="22"/>
          <w:lang w:eastAsia="en-US"/>
        </w:rPr>
        <w:t xml:space="preserve">should </w:t>
      </w:r>
      <w:r w:rsidR="004943B0" w:rsidRPr="00F30557">
        <w:rPr>
          <w:rFonts w:asciiTheme="minorHAnsi" w:hAnsiTheme="minorHAnsi"/>
          <w:sz w:val="22"/>
          <w:lang w:eastAsia="en-US"/>
        </w:rPr>
        <w:t xml:space="preserve">reflect that </w:t>
      </w:r>
      <w:r w:rsidR="004E1394">
        <w:rPr>
          <w:rFonts w:asciiTheme="minorHAnsi" w:hAnsiTheme="minorHAnsi"/>
          <w:sz w:val="22"/>
          <w:lang w:eastAsia="en-US"/>
        </w:rPr>
        <w:t>opportunities exist</w:t>
      </w:r>
      <w:r w:rsidR="004943B0" w:rsidRPr="00F30557">
        <w:rPr>
          <w:rFonts w:asciiTheme="minorHAnsi" w:hAnsiTheme="minorHAnsi"/>
          <w:sz w:val="22"/>
          <w:lang w:eastAsia="en-US"/>
        </w:rPr>
        <w:t xml:space="preserve"> to realise broader urban objectives in the future by inviting </w:t>
      </w:r>
      <w:r w:rsidR="004E1394">
        <w:rPr>
          <w:rFonts w:asciiTheme="minorHAnsi" w:hAnsiTheme="minorHAnsi"/>
          <w:sz w:val="22"/>
          <w:lang w:eastAsia="en-US"/>
        </w:rPr>
        <w:t>applicants</w:t>
      </w:r>
      <w:r w:rsidR="004943B0" w:rsidRPr="00F30557">
        <w:rPr>
          <w:rFonts w:asciiTheme="minorHAnsi" w:hAnsiTheme="minorHAnsi"/>
          <w:sz w:val="22"/>
          <w:lang w:eastAsia="en-US"/>
        </w:rPr>
        <w:t xml:space="preserve"> to </w:t>
      </w:r>
      <w:r w:rsidR="00EA28F7" w:rsidRPr="00F30557">
        <w:rPr>
          <w:rFonts w:asciiTheme="minorHAnsi" w:hAnsiTheme="minorHAnsi"/>
          <w:sz w:val="22"/>
          <w:lang w:eastAsia="en-US"/>
        </w:rPr>
        <w:t>satisfy the relevant authorities about buffer reductions</w:t>
      </w:r>
      <w:r w:rsidR="004E1394">
        <w:rPr>
          <w:rFonts w:asciiTheme="minorHAnsi" w:hAnsiTheme="minorHAnsi"/>
          <w:sz w:val="22"/>
          <w:lang w:eastAsia="en-US"/>
        </w:rPr>
        <w:t>,</w:t>
      </w:r>
      <w:r w:rsidR="00EA28F7" w:rsidRPr="00F30557">
        <w:rPr>
          <w:rFonts w:asciiTheme="minorHAnsi" w:hAnsiTheme="minorHAnsi"/>
          <w:sz w:val="22"/>
          <w:lang w:eastAsia="en-US"/>
        </w:rPr>
        <w:t xml:space="preserve"> without the need for </w:t>
      </w:r>
      <w:r w:rsidR="004E1394">
        <w:rPr>
          <w:rFonts w:asciiTheme="minorHAnsi" w:hAnsiTheme="minorHAnsi"/>
          <w:sz w:val="22"/>
          <w:lang w:eastAsia="en-US"/>
        </w:rPr>
        <w:t>a further amendment to the Scheme</w:t>
      </w:r>
      <w:r w:rsidR="00EA28F7" w:rsidRPr="00F30557">
        <w:rPr>
          <w:rFonts w:asciiTheme="minorHAnsi" w:hAnsiTheme="minorHAnsi"/>
          <w:sz w:val="22"/>
          <w:lang w:eastAsia="en-US"/>
        </w:rPr>
        <w:t xml:space="preserve">.  </w:t>
      </w:r>
      <w:r w:rsidR="004943B0" w:rsidRPr="00F30557">
        <w:rPr>
          <w:rFonts w:asciiTheme="minorHAnsi" w:hAnsiTheme="minorHAnsi"/>
          <w:sz w:val="22"/>
          <w:lang w:eastAsia="en-US"/>
        </w:rPr>
        <w:t xml:space="preserve">  </w:t>
      </w:r>
    </w:p>
    <w:p w:rsidR="00956508" w:rsidRPr="00671B05" w:rsidRDefault="001E1CD1" w:rsidP="009006CB">
      <w:pPr>
        <w:pStyle w:val="Heading2"/>
        <w:rPr>
          <w:rFonts w:asciiTheme="minorHAnsi" w:hAnsiTheme="minorHAnsi"/>
          <w:b/>
        </w:rPr>
      </w:pPr>
      <w:bookmarkStart w:id="15" w:name="_Toc491027652"/>
      <w:r w:rsidRPr="00671B05">
        <w:rPr>
          <w:rFonts w:asciiTheme="minorHAnsi" w:hAnsiTheme="minorHAnsi"/>
          <w:b/>
        </w:rPr>
        <w:t>Composting facility buffer</w:t>
      </w:r>
      <w:bookmarkEnd w:id="15"/>
    </w:p>
    <w:p w:rsidR="00951D7B" w:rsidRDefault="00951D7B" w:rsidP="00951D7B">
      <w:pPr>
        <w:rPr>
          <w:rFonts w:asciiTheme="minorHAnsi" w:hAnsiTheme="minorHAnsi"/>
          <w:i/>
          <w:sz w:val="22"/>
          <w:lang w:eastAsia="en-US"/>
        </w:rPr>
      </w:pPr>
      <w:bookmarkStart w:id="16" w:name="_Toc488335728"/>
      <w:r>
        <w:rPr>
          <w:rFonts w:asciiTheme="minorHAnsi" w:hAnsiTheme="minorHAnsi"/>
          <w:i/>
          <w:sz w:val="22"/>
          <w:lang w:eastAsia="en-US"/>
        </w:rPr>
        <w:t>Sunbury South PSP (C207) – Submission</w:t>
      </w:r>
      <w:r w:rsidR="00E215F9">
        <w:rPr>
          <w:rFonts w:asciiTheme="minorHAnsi" w:hAnsiTheme="minorHAnsi"/>
          <w:i/>
          <w:sz w:val="22"/>
          <w:lang w:eastAsia="en-US"/>
        </w:rPr>
        <w:t>s</w:t>
      </w:r>
      <w:r w:rsidR="00B54540">
        <w:rPr>
          <w:rFonts w:asciiTheme="minorHAnsi" w:hAnsiTheme="minorHAnsi"/>
          <w:i/>
          <w:sz w:val="22"/>
          <w:lang w:eastAsia="en-US"/>
        </w:rPr>
        <w:t xml:space="preserve"> 18 (</w:t>
      </w:r>
      <w:proofErr w:type="spellStart"/>
      <w:r w:rsidR="00B54540">
        <w:rPr>
          <w:rFonts w:asciiTheme="minorHAnsi" w:hAnsiTheme="minorHAnsi"/>
          <w:i/>
          <w:sz w:val="22"/>
          <w:lang w:eastAsia="en-US"/>
        </w:rPr>
        <w:t>Marantali</w:t>
      </w:r>
      <w:proofErr w:type="spellEnd"/>
      <w:r w:rsidR="00B54540">
        <w:rPr>
          <w:rFonts w:asciiTheme="minorHAnsi" w:hAnsiTheme="minorHAnsi"/>
          <w:i/>
          <w:sz w:val="22"/>
          <w:lang w:eastAsia="en-US"/>
        </w:rPr>
        <w:t xml:space="preserve"> Pty Ltd); 33 (Sustainability Victoria);</w:t>
      </w:r>
      <w:r>
        <w:rPr>
          <w:rFonts w:asciiTheme="minorHAnsi" w:hAnsiTheme="minorHAnsi"/>
          <w:i/>
          <w:sz w:val="22"/>
          <w:lang w:eastAsia="en-US"/>
        </w:rPr>
        <w:t xml:space="preserve"> </w:t>
      </w:r>
      <w:r w:rsidR="0057437D">
        <w:rPr>
          <w:rFonts w:asciiTheme="minorHAnsi" w:hAnsiTheme="minorHAnsi"/>
          <w:i/>
          <w:sz w:val="22"/>
          <w:lang w:eastAsia="en-US"/>
        </w:rPr>
        <w:t xml:space="preserve">45 (RCL Group); </w:t>
      </w:r>
      <w:r w:rsidR="00952C3A">
        <w:rPr>
          <w:rFonts w:asciiTheme="minorHAnsi" w:hAnsiTheme="minorHAnsi"/>
          <w:i/>
          <w:sz w:val="22"/>
          <w:lang w:eastAsia="en-US"/>
        </w:rPr>
        <w:t>61 (Hi-Quality Quarry Products Pty Ltd</w:t>
      </w:r>
      <w:r w:rsidR="00693274">
        <w:rPr>
          <w:rFonts w:asciiTheme="minorHAnsi" w:hAnsiTheme="minorHAnsi"/>
          <w:i/>
          <w:sz w:val="22"/>
          <w:lang w:eastAsia="en-US"/>
        </w:rPr>
        <w:t xml:space="preserve"> and </w:t>
      </w:r>
      <w:proofErr w:type="spellStart"/>
      <w:r w:rsidR="00693274">
        <w:rPr>
          <w:rFonts w:asciiTheme="minorHAnsi" w:hAnsiTheme="minorHAnsi"/>
          <w:i/>
          <w:sz w:val="22"/>
          <w:lang w:eastAsia="en-US"/>
        </w:rPr>
        <w:t>Trantaret</w:t>
      </w:r>
      <w:proofErr w:type="spellEnd"/>
      <w:r w:rsidR="00693274">
        <w:rPr>
          <w:rFonts w:asciiTheme="minorHAnsi" w:hAnsiTheme="minorHAnsi"/>
          <w:i/>
          <w:sz w:val="22"/>
          <w:lang w:eastAsia="en-US"/>
        </w:rPr>
        <w:t xml:space="preserve"> Pty Ltd</w:t>
      </w:r>
      <w:r w:rsidR="00952C3A">
        <w:rPr>
          <w:rFonts w:asciiTheme="minorHAnsi" w:hAnsiTheme="minorHAnsi"/>
          <w:i/>
          <w:sz w:val="22"/>
          <w:lang w:eastAsia="en-US"/>
        </w:rPr>
        <w:t xml:space="preserve">); </w:t>
      </w:r>
      <w:r w:rsidR="00F76999">
        <w:rPr>
          <w:rFonts w:asciiTheme="minorHAnsi" w:hAnsiTheme="minorHAnsi"/>
          <w:i/>
          <w:sz w:val="22"/>
          <w:lang w:eastAsia="en-US"/>
        </w:rPr>
        <w:t xml:space="preserve">69 (Metropolitan Waste and Resource Recovery Group); </w:t>
      </w:r>
      <w:r>
        <w:rPr>
          <w:rFonts w:asciiTheme="minorHAnsi" w:hAnsiTheme="minorHAnsi"/>
          <w:i/>
          <w:sz w:val="22"/>
          <w:lang w:eastAsia="en-US"/>
        </w:rPr>
        <w:t>82 (Environment Protection Authority)</w:t>
      </w:r>
      <w:r w:rsidR="006D0A15">
        <w:rPr>
          <w:rFonts w:asciiTheme="minorHAnsi" w:hAnsiTheme="minorHAnsi"/>
          <w:i/>
          <w:sz w:val="22"/>
          <w:lang w:eastAsia="en-US"/>
        </w:rPr>
        <w:t>; 95 (Veolia Environmental Services Pty Ltd)</w:t>
      </w:r>
    </w:p>
    <w:p w:rsidR="00951D7B" w:rsidRDefault="00951D7B" w:rsidP="00951D7B">
      <w:pPr>
        <w:rPr>
          <w:rFonts w:asciiTheme="minorHAnsi" w:hAnsiTheme="minorHAnsi"/>
          <w:i/>
          <w:sz w:val="22"/>
          <w:lang w:eastAsia="en-US"/>
        </w:rPr>
      </w:pPr>
      <w:r>
        <w:rPr>
          <w:rFonts w:asciiTheme="minorHAnsi" w:hAnsiTheme="minorHAnsi"/>
          <w:i/>
          <w:sz w:val="22"/>
          <w:lang w:eastAsia="en-US"/>
        </w:rPr>
        <w:t xml:space="preserve">Lancefield Road PSP (C208) – </w:t>
      </w:r>
      <w:r w:rsidR="00E215F9">
        <w:rPr>
          <w:rFonts w:asciiTheme="minorHAnsi" w:hAnsiTheme="minorHAnsi"/>
          <w:i/>
          <w:sz w:val="22"/>
          <w:lang w:eastAsia="en-US"/>
        </w:rPr>
        <w:t>Submissions 33 (Sustainability Victoria)</w:t>
      </w:r>
      <w:r w:rsidR="008A7A52">
        <w:rPr>
          <w:rFonts w:asciiTheme="minorHAnsi" w:hAnsiTheme="minorHAnsi"/>
          <w:i/>
          <w:sz w:val="22"/>
          <w:lang w:eastAsia="en-US"/>
        </w:rPr>
        <w:t>;</w:t>
      </w:r>
      <w:r w:rsidR="00E215F9">
        <w:rPr>
          <w:rFonts w:asciiTheme="minorHAnsi" w:hAnsiTheme="minorHAnsi"/>
          <w:i/>
          <w:sz w:val="22"/>
          <w:lang w:eastAsia="en-US"/>
        </w:rPr>
        <w:t xml:space="preserve"> </w:t>
      </w:r>
      <w:r>
        <w:rPr>
          <w:rFonts w:asciiTheme="minorHAnsi" w:hAnsiTheme="minorHAnsi"/>
          <w:i/>
          <w:sz w:val="22"/>
          <w:lang w:eastAsia="en-US"/>
        </w:rPr>
        <w:t>Submission 83 (Environment Protection Authority)</w:t>
      </w:r>
    </w:p>
    <w:p w:rsidR="000418F8" w:rsidRDefault="00695E1F" w:rsidP="000418F8">
      <w:pPr>
        <w:rPr>
          <w:rFonts w:asciiTheme="minorHAnsi" w:hAnsiTheme="minorHAnsi"/>
          <w:sz w:val="22"/>
          <w:szCs w:val="22"/>
          <w:lang w:eastAsia="en-US"/>
        </w:rPr>
      </w:pPr>
      <w:r>
        <w:rPr>
          <w:rFonts w:asciiTheme="minorHAnsi" w:hAnsiTheme="minorHAnsi"/>
          <w:sz w:val="22"/>
          <w:szCs w:val="22"/>
          <w:lang w:eastAsia="en-US"/>
        </w:rPr>
        <w:t>Co-located with the landfill</w:t>
      </w:r>
      <w:r w:rsidR="00F41408">
        <w:rPr>
          <w:rFonts w:asciiTheme="minorHAnsi" w:hAnsiTheme="minorHAnsi"/>
          <w:sz w:val="22"/>
          <w:szCs w:val="22"/>
          <w:lang w:eastAsia="en-US"/>
        </w:rPr>
        <w:t xml:space="preserve"> </w:t>
      </w:r>
      <w:r w:rsidR="00A9676A">
        <w:rPr>
          <w:rFonts w:asciiTheme="minorHAnsi" w:hAnsiTheme="minorHAnsi"/>
          <w:sz w:val="22"/>
          <w:szCs w:val="22"/>
          <w:lang w:eastAsia="en-US"/>
        </w:rPr>
        <w:t xml:space="preserve">on land owned by Hi-Quality </w:t>
      </w:r>
      <w:r w:rsidR="00DA7D92">
        <w:rPr>
          <w:rFonts w:asciiTheme="minorHAnsi" w:hAnsiTheme="minorHAnsi"/>
          <w:sz w:val="22"/>
          <w:szCs w:val="22"/>
          <w:lang w:eastAsia="en-US"/>
        </w:rPr>
        <w:t>is a composting facility o</w:t>
      </w:r>
      <w:r w:rsidR="001766D3">
        <w:rPr>
          <w:rFonts w:asciiTheme="minorHAnsi" w:hAnsiTheme="minorHAnsi"/>
          <w:sz w:val="22"/>
          <w:szCs w:val="22"/>
          <w:lang w:eastAsia="en-US"/>
        </w:rPr>
        <w:t>perated by Veolia Environmental Services (Australia) Pty Ltd (</w:t>
      </w:r>
      <w:r w:rsidR="001766D3">
        <w:rPr>
          <w:rFonts w:asciiTheme="minorHAnsi" w:hAnsiTheme="minorHAnsi"/>
          <w:b/>
          <w:sz w:val="22"/>
          <w:szCs w:val="22"/>
          <w:lang w:eastAsia="en-US"/>
        </w:rPr>
        <w:t>Veolia</w:t>
      </w:r>
      <w:r w:rsidR="001766D3">
        <w:rPr>
          <w:rFonts w:asciiTheme="minorHAnsi" w:hAnsiTheme="minorHAnsi"/>
          <w:sz w:val="22"/>
          <w:szCs w:val="22"/>
          <w:lang w:eastAsia="en-US"/>
        </w:rPr>
        <w:t>).</w:t>
      </w:r>
    </w:p>
    <w:p w:rsidR="008916E6" w:rsidRDefault="0005773E" w:rsidP="000418F8">
      <w:pPr>
        <w:rPr>
          <w:rFonts w:asciiTheme="minorHAnsi" w:hAnsiTheme="minorHAnsi"/>
          <w:sz w:val="22"/>
          <w:szCs w:val="22"/>
          <w:lang w:eastAsia="en-US"/>
        </w:rPr>
      </w:pPr>
      <w:r>
        <w:rPr>
          <w:rFonts w:asciiTheme="minorHAnsi" w:hAnsiTheme="minorHAnsi"/>
          <w:sz w:val="22"/>
          <w:szCs w:val="22"/>
          <w:lang w:eastAsia="en-US"/>
        </w:rPr>
        <w:t xml:space="preserve">The composting facility is situated in the south-eastern portion of the site, shown in relation to the landfill </w:t>
      </w:r>
      <w:r w:rsidR="002752E8">
        <w:rPr>
          <w:rFonts w:asciiTheme="minorHAnsi" w:hAnsiTheme="minorHAnsi"/>
          <w:sz w:val="22"/>
          <w:szCs w:val="22"/>
          <w:lang w:eastAsia="en-US"/>
        </w:rPr>
        <w:t>and PSP area in Figure 1 above.</w:t>
      </w:r>
    </w:p>
    <w:p w:rsidR="00960609" w:rsidRDefault="00960609" w:rsidP="000418F8">
      <w:pPr>
        <w:rPr>
          <w:rFonts w:asciiTheme="minorHAnsi" w:hAnsiTheme="minorHAnsi"/>
          <w:sz w:val="22"/>
          <w:szCs w:val="22"/>
          <w:lang w:eastAsia="en-US"/>
        </w:rPr>
      </w:pPr>
      <w:r>
        <w:rPr>
          <w:rFonts w:asciiTheme="minorHAnsi" w:hAnsiTheme="minorHAnsi"/>
          <w:sz w:val="22"/>
          <w:szCs w:val="22"/>
          <w:lang w:eastAsia="en-US"/>
        </w:rPr>
        <w:t xml:space="preserve">The composting facility is subject to EPA Licence No. </w:t>
      </w:r>
      <w:r w:rsidR="007C634D">
        <w:rPr>
          <w:rFonts w:asciiTheme="minorHAnsi" w:hAnsiTheme="minorHAnsi"/>
          <w:sz w:val="22"/>
          <w:szCs w:val="22"/>
          <w:lang w:eastAsia="en-US"/>
        </w:rPr>
        <w:t>101952, which has the following description:</w:t>
      </w:r>
    </w:p>
    <w:p w:rsidR="000418F8" w:rsidRPr="0085192F" w:rsidRDefault="007C634D" w:rsidP="000418F8">
      <w:pPr>
        <w:ind w:left="709"/>
        <w:rPr>
          <w:rFonts w:asciiTheme="minorHAnsi" w:hAnsiTheme="minorHAnsi"/>
          <w:i/>
          <w:sz w:val="22"/>
          <w:szCs w:val="22"/>
          <w:lang w:eastAsia="en-US"/>
        </w:rPr>
      </w:pPr>
      <w:r>
        <w:rPr>
          <w:rFonts w:asciiTheme="minorHAnsi" w:hAnsiTheme="minorHAnsi"/>
          <w:i/>
          <w:sz w:val="22"/>
          <w:szCs w:val="22"/>
          <w:lang w:eastAsia="en-US"/>
        </w:rPr>
        <w:t xml:space="preserve">The licence holder operates an in-vessel aerobic composting facility.  This licence addresses odour discharges and allows for green waste, solid domestic food waste and grease trap effluent to be composted onsite.  The composting capacity of the premises </w:t>
      </w:r>
      <w:r>
        <w:rPr>
          <w:rFonts w:asciiTheme="minorHAnsi" w:hAnsiTheme="minorHAnsi"/>
          <w:i/>
          <w:sz w:val="22"/>
          <w:szCs w:val="22"/>
          <w:lang w:eastAsia="en-US"/>
        </w:rPr>
        <w:lastRenderedPageBreak/>
        <w:t>is 85,000 tonnes per year of waste, including 3,000 tonnes of grease interceptor trap effluent.</w:t>
      </w:r>
    </w:p>
    <w:p w:rsidR="007C634D" w:rsidRDefault="000418F8" w:rsidP="000418F8">
      <w:pPr>
        <w:rPr>
          <w:rFonts w:asciiTheme="minorHAnsi" w:hAnsiTheme="minorHAnsi"/>
          <w:sz w:val="22"/>
          <w:szCs w:val="22"/>
          <w:lang w:eastAsia="en-US"/>
        </w:rPr>
      </w:pPr>
      <w:r>
        <w:rPr>
          <w:rFonts w:asciiTheme="minorHAnsi" w:hAnsiTheme="minorHAnsi"/>
          <w:sz w:val="22"/>
          <w:szCs w:val="22"/>
          <w:lang w:eastAsia="en-US"/>
        </w:rPr>
        <w:t>The</w:t>
      </w:r>
      <w:r w:rsidR="007C634D">
        <w:rPr>
          <w:rFonts w:asciiTheme="minorHAnsi" w:hAnsiTheme="minorHAnsi"/>
          <w:sz w:val="22"/>
          <w:szCs w:val="22"/>
          <w:lang w:eastAsia="en-US"/>
        </w:rPr>
        <w:t xml:space="preserve"> composting facility is identified in the SWRRIP as </w:t>
      </w:r>
      <w:r w:rsidR="0006377E">
        <w:rPr>
          <w:rFonts w:asciiTheme="minorHAnsi" w:hAnsiTheme="minorHAnsi"/>
          <w:sz w:val="22"/>
          <w:szCs w:val="22"/>
          <w:lang w:eastAsia="en-US"/>
        </w:rPr>
        <w:t>an ‘existing hub of state significance’.</w:t>
      </w:r>
      <w:r w:rsidR="00BA433A">
        <w:rPr>
          <w:rStyle w:val="FootnoteReference"/>
          <w:rFonts w:asciiTheme="minorHAnsi" w:hAnsiTheme="minorHAnsi"/>
          <w:sz w:val="22"/>
          <w:szCs w:val="22"/>
          <w:lang w:eastAsia="en-US"/>
        </w:rPr>
        <w:footnoteReference w:id="61"/>
      </w:r>
      <w:r w:rsidR="00BA433A">
        <w:rPr>
          <w:rFonts w:asciiTheme="minorHAnsi" w:hAnsiTheme="minorHAnsi"/>
          <w:sz w:val="22"/>
          <w:szCs w:val="22"/>
          <w:lang w:eastAsia="en-US"/>
        </w:rPr>
        <w:t xml:space="preserve">  The SWRRIP explains ‘why it is important to the state system’ as follows:</w:t>
      </w:r>
    </w:p>
    <w:p w:rsidR="00BA433A" w:rsidRDefault="001034C9" w:rsidP="003340E2">
      <w:pPr>
        <w:pStyle w:val="ListParagraph"/>
        <w:numPr>
          <w:ilvl w:val="0"/>
          <w:numId w:val="22"/>
        </w:numPr>
        <w:rPr>
          <w:i/>
        </w:rPr>
      </w:pPr>
      <w:r>
        <w:rPr>
          <w:i/>
        </w:rPr>
        <w:t xml:space="preserve">This is </w:t>
      </w:r>
      <w:proofErr w:type="gramStart"/>
      <w:r>
        <w:rPr>
          <w:i/>
        </w:rPr>
        <w:t>a major organics</w:t>
      </w:r>
      <w:proofErr w:type="gramEnd"/>
      <w:r>
        <w:rPr>
          <w:i/>
        </w:rPr>
        <w:t xml:space="preserve"> reprocessing hub accepting MSW mixed organics from 11 local governments in the north west area of metropolitan Melbourne.  It is the largest in-vessel composting facility in the state.</w:t>
      </w:r>
    </w:p>
    <w:p w:rsidR="001034C9" w:rsidRPr="001034C9" w:rsidRDefault="001034C9" w:rsidP="003340E2">
      <w:pPr>
        <w:pStyle w:val="ListParagraph"/>
        <w:numPr>
          <w:ilvl w:val="0"/>
          <w:numId w:val="22"/>
        </w:numPr>
        <w:rPr>
          <w:i/>
        </w:rPr>
      </w:pPr>
      <w:r>
        <w:rPr>
          <w:i/>
        </w:rPr>
        <w:t>If this site is to be maintained in the long term as a hub then planning needs to ensure the preservation of adequate buffer distances, that incompatible uses are not established in proximity to the hub and that the activities within the precinct are compatible and conducted in a manner that does not impact on the community</w:t>
      </w:r>
      <w:r w:rsidR="00F049DC">
        <w:rPr>
          <w:i/>
        </w:rPr>
        <w:t>, e</w:t>
      </w:r>
      <w:r>
        <w:rPr>
          <w:i/>
        </w:rPr>
        <w:t>nvironment and public health of surrounding land users.</w:t>
      </w:r>
    </w:p>
    <w:p w:rsidR="000418F8" w:rsidRDefault="00DC107B" w:rsidP="007C634D">
      <w:pPr>
        <w:rPr>
          <w:rFonts w:asciiTheme="minorHAnsi" w:hAnsiTheme="minorHAnsi"/>
          <w:sz w:val="22"/>
          <w:szCs w:val="22"/>
          <w:lang w:eastAsia="en-US"/>
        </w:rPr>
      </w:pPr>
      <w:r>
        <w:rPr>
          <w:rFonts w:asciiTheme="minorHAnsi" w:hAnsiTheme="minorHAnsi"/>
          <w:sz w:val="22"/>
          <w:szCs w:val="22"/>
          <w:lang w:eastAsia="en-US"/>
        </w:rPr>
        <w:t xml:space="preserve">The facility is the only major processor of ‘mixed organics’ in </w:t>
      </w:r>
      <w:r w:rsidR="001B7688">
        <w:rPr>
          <w:rFonts w:asciiTheme="minorHAnsi" w:hAnsiTheme="minorHAnsi"/>
          <w:sz w:val="22"/>
          <w:szCs w:val="22"/>
          <w:lang w:eastAsia="en-US"/>
        </w:rPr>
        <w:t xml:space="preserve">the </w:t>
      </w:r>
      <w:r>
        <w:rPr>
          <w:rFonts w:asciiTheme="minorHAnsi" w:hAnsiTheme="minorHAnsi"/>
          <w:sz w:val="22"/>
          <w:szCs w:val="22"/>
          <w:lang w:eastAsia="en-US"/>
        </w:rPr>
        <w:t>metropolitan region identified in the SWRRIP.</w:t>
      </w:r>
      <w:r>
        <w:rPr>
          <w:rStyle w:val="FootnoteReference"/>
          <w:rFonts w:asciiTheme="minorHAnsi" w:hAnsiTheme="minorHAnsi"/>
          <w:sz w:val="22"/>
          <w:szCs w:val="22"/>
          <w:lang w:eastAsia="en-US"/>
        </w:rPr>
        <w:footnoteReference w:id="62"/>
      </w:r>
    </w:p>
    <w:p w:rsidR="00773703" w:rsidRDefault="00B40032" w:rsidP="007C634D">
      <w:pPr>
        <w:rPr>
          <w:rFonts w:asciiTheme="minorHAnsi" w:hAnsiTheme="minorHAnsi"/>
          <w:sz w:val="22"/>
          <w:szCs w:val="22"/>
          <w:lang w:eastAsia="en-US"/>
        </w:rPr>
      </w:pPr>
      <w:r w:rsidRPr="004529B9">
        <w:rPr>
          <w:rFonts w:asciiTheme="minorHAnsi" w:hAnsiTheme="minorHAnsi"/>
          <w:sz w:val="22"/>
          <w:szCs w:val="22"/>
          <w:lang w:eastAsia="en-US"/>
        </w:rPr>
        <w:t xml:space="preserve">The </w:t>
      </w:r>
      <w:r w:rsidR="00773703" w:rsidRPr="004529B9">
        <w:rPr>
          <w:rFonts w:asciiTheme="minorHAnsi" w:hAnsiTheme="minorHAnsi"/>
          <w:sz w:val="22"/>
          <w:szCs w:val="22"/>
          <w:lang w:eastAsia="en-US"/>
        </w:rPr>
        <w:t xml:space="preserve">Metro Plan </w:t>
      </w:r>
      <w:r w:rsidR="009458C0" w:rsidRPr="004529B9">
        <w:rPr>
          <w:rFonts w:asciiTheme="minorHAnsi" w:hAnsiTheme="minorHAnsi"/>
          <w:sz w:val="22"/>
          <w:szCs w:val="22"/>
          <w:lang w:eastAsia="en-US"/>
        </w:rPr>
        <w:t>also</w:t>
      </w:r>
      <w:r w:rsidR="009458C0">
        <w:rPr>
          <w:rFonts w:asciiTheme="minorHAnsi" w:hAnsiTheme="minorHAnsi"/>
          <w:sz w:val="22"/>
          <w:szCs w:val="22"/>
          <w:lang w:eastAsia="en-US"/>
        </w:rPr>
        <w:t xml:space="preserve"> identifies the facility as </w:t>
      </w:r>
      <w:r w:rsidR="00286B3A">
        <w:rPr>
          <w:rFonts w:asciiTheme="minorHAnsi" w:hAnsiTheme="minorHAnsi"/>
          <w:sz w:val="22"/>
          <w:szCs w:val="22"/>
          <w:lang w:eastAsia="en-US"/>
        </w:rPr>
        <w:t>‘</w:t>
      </w:r>
      <w:r w:rsidR="009458C0">
        <w:rPr>
          <w:rFonts w:asciiTheme="minorHAnsi" w:hAnsiTheme="minorHAnsi"/>
          <w:sz w:val="22"/>
          <w:szCs w:val="22"/>
          <w:lang w:eastAsia="en-US"/>
        </w:rPr>
        <w:t>existing resource recovery and consolidation infrastructure</w:t>
      </w:r>
      <w:r w:rsidR="00286B3A">
        <w:rPr>
          <w:rFonts w:asciiTheme="minorHAnsi" w:hAnsiTheme="minorHAnsi"/>
          <w:sz w:val="22"/>
          <w:szCs w:val="22"/>
          <w:lang w:eastAsia="en-US"/>
        </w:rPr>
        <w:t>’</w:t>
      </w:r>
      <w:r w:rsidR="009458C0">
        <w:rPr>
          <w:rStyle w:val="FootnoteReference"/>
          <w:rFonts w:asciiTheme="minorHAnsi" w:hAnsiTheme="minorHAnsi"/>
          <w:sz w:val="22"/>
          <w:szCs w:val="22"/>
          <w:lang w:eastAsia="en-US"/>
        </w:rPr>
        <w:footnoteReference w:id="63"/>
      </w:r>
      <w:r w:rsidR="00286B3A">
        <w:rPr>
          <w:rFonts w:asciiTheme="minorHAnsi" w:hAnsiTheme="minorHAnsi"/>
          <w:sz w:val="22"/>
          <w:szCs w:val="22"/>
          <w:lang w:eastAsia="en-US"/>
        </w:rPr>
        <w:t xml:space="preserve"> and a ‘Metropolitan Melbourne hub of state importance’</w:t>
      </w:r>
      <w:r w:rsidR="00C63E98">
        <w:rPr>
          <w:rFonts w:asciiTheme="minorHAnsi" w:hAnsiTheme="minorHAnsi"/>
          <w:sz w:val="22"/>
          <w:szCs w:val="22"/>
          <w:lang w:eastAsia="en-US"/>
        </w:rPr>
        <w:t>, described as follows:</w:t>
      </w:r>
      <w:r w:rsidR="00286B3A">
        <w:rPr>
          <w:rStyle w:val="FootnoteReference"/>
          <w:rFonts w:asciiTheme="minorHAnsi" w:hAnsiTheme="minorHAnsi"/>
          <w:sz w:val="22"/>
          <w:szCs w:val="22"/>
          <w:lang w:eastAsia="en-US"/>
        </w:rPr>
        <w:footnoteReference w:id="64"/>
      </w:r>
    </w:p>
    <w:p w:rsidR="004529B9" w:rsidRDefault="004529B9" w:rsidP="004529B9">
      <w:pPr>
        <w:keepNext/>
      </w:pPr>
      <w:r>
        <w:rPr>
          <w:noProof/>
        </w:rPr>
        <w:drawing>
          <wp:inline distT="0" distB="0" distL="0" distR="0" wp14:anchorId="5C36DF7F" wp14:editId="1FDC0564">
            <wp:extent cx="5576570" cy="2600325"/>
            <wp:effectExtent l="0" t="0" r="508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76570" cy="2600325"/>
                    </a:xfrm>
                    <a:prstGeom prst="rect">
                      <a:avLst/>
                    </a:prstGeom>
                  </pic:spPr>
                </pic:pic>
              </a:graphicData>
            </a:graphic>
          </wp:inline>
        </w:drawing>
      </w:r>
    </w:p>
    <w:p w:rsidR="00C63E98" w:rsidRPr="004529B9" w:rsidRDefault="004529B9" w:rsidP="004529B9">
      <w:pPr>
        <w:pStyle w:val="Caption"/>
        <w:keepNext w:val="0"/>
        <w:rPr>
          <w:rFonts w:asciiTheme="minorHAnsi" w:hAnsiTheme="minorHAnsi" w:cstheme="minorHAnsi"/>
          <w:color w:val="auto"/>
        </w:rPr>
      </w:pPr>
      <w:r w:rsidRPr="004529B9">
        <w:rPr>
          <w:rFonts w:asciiTheme="minorHAnsi" w:hAnsiTheme="minorHAnsi" w:cstheme="minorHAnsi"/>
          <w:color w:val="auto"/>
        </w:rPr>
        <w:t xml:space="preserve">Figure </w:t>
      </w:r>
      <w:r w:rsidRPr="004529B9">
        <w:rPr>
          <w:rFonts w:asciiTheme="minorHAnsi" w:hAnsiTheme="minorHAnsi" w:cstheme="minorHAnsi"/>
          <w:color w:val="auto"/>
        </w:rPr>
        <w:fldChar w:fldCharType="begin"/>
      </w:r>
      <w:r w:rsidRPr="004529B9">
        <w:rPr>
          <w:rFonts w:asciiTheme="minorHAnsi" w:hAnsiTheme="minorHAnsi" w:cstheme="minorHAnsi"/>
          <w:color w:val="auto"/>
        </w:rPr>
        <w:instrText xml:space="preserve"> SEQ Figure \* ARABIC </w:instrText>
      </w:r>
      <w:r w:rsidRPr="004529B9">
        <w:rPr>
          <w:rFonts w:asciiTheme="minorHAnsi" w:hAnsiTheme="minorHAnsi" w:cstheme="minorHAnsi"/>
          <w:color w:val="auto"/>
        </w:rPr>
        <w:fldChar w:fldCharType="separate"/>
      </w:r>
      <w:r w:rsidR="00AE1A69">
        <w:rPr>
          <w:rFonts w:asciiTheme="minorHAnsi" w:hAnsiTheme="minorHAnsi" w:cstheme="minorHAnsi"/>
          <w:noProof/>
          <w:color w:val="auto"/>
        </w:rPr>
        <w:t>4</w:t>
      </w:r>
      <w:r w:rsidRPr="004529B9">
        <w:rPr>
          <w:rFonts w:asciiTheme="minorHAnsi" w:hAnsiTheme="minorHAnsi" w:cstheme="minorHAnsi"/>
          <w:color w:val="auto"/>
        </w:rPr>
        <w:fldChar w:fldCharType="end"/>
      </w:r>
      <w:r w:rsidRPr="004529B9">
        <w:rPr>
          <w:rFonts w:asciiTheme="minorHAnsi" w:hAnsiTheme="minorHAnsi" w:cstheme="minorHAnsi"/>
          <w:color w:val="auto"/>
        </w:rPr>
        <w:t>: extract from Table 15 (Metropolitan Melbourne hubs of state importance</w:t>
      </w:r>
      <w:r w:rsidR="00F16AC7">
        <w:rPr>
          <w:rFonts w:asciiTheme="minorHAnsi" w:hAnsiTheme="minorHAnsi" w:cstheme="minorHAnsi"/>
          <w:color w:val="auto"/>
        </w:rPr>
        <w:t>)</w:t>
      </w:r>
      <w:r w:rsidRPr="004529B9">
        <w:rPr>
          <w:rFonts w:asciiTheme="minorHAnsi" w:hAnsiTheme="minorHAnsi" w:cstheme="minorHAnsi"/>
          <w:color w:val="auto"/>
        </w:rPr>
        <w:t xml:space="preserve"> from page 72 of</w:t>
      </w:r>
      <w:r w:rsidR="00CA095C">
        <w:rPr>
          <w:rFonts w:asciiTheme="minorHAnsi" w:hAnsiTheme="minorHAnsi" w:cstheme="minorHAnsi"/>
          <w:color w:val="auto"/>
        </w:rPr>
        <w:t xml:space="preserve"> the Metro</w:t>
      </w:r>
      <w:r w:rsidRPr="004529B9">
        <w:rPr>
          <w:rFonts w:asciiTheme="minorHAnsi" w:hAnsiTheme="minorHAnsi" w:cstheme="minorHAnsi"/>
          <w:color w:val="auto"/>
        </w:rPr>
        <w:t xml:space="preserve"> Plan</w:t>
      </w:r>
    </w:p>
    <w:p w:rsidR="000418F8" w:rsidRDefault="000418F8" w:rsidP="000418F8">
      <w:pPr>
        <w:rPr>
          <w:rFonts w:asciiTheme="minorHAnsi" w:hAnsiTheme="minorHAnsi"/>
          <w:sz w:val="22"/>
          <w:szCs w:val="22"/>
          <w:lang w:eastAsia="en-US"/>
        </w:rPr>
      </w:pPr>
      <w:r>
        <w:rPr>
          <w:rFonts w:asciiTheme="minorHAnsi" w:hAnsiTheme="minorHAnsi"/>
          <w:sz w:val="22"/>
          <w:szCs w:val="22"/>
          <w:lang w:eastAsia="en-US"/>
        </w:rPr>
        <w:lastRenderedPageBreak/>
        <w:t xml:space="preserve">Plan 3 (Future Urban Structure) in the </w:t>
      </w:r>
      <w:r w:rsidR="00024286">
        <w:rPr>
          <w:rFonts w:asciiTheme="minorHAnsi" w:hAnsiTheme="minorHAnsi"/>
          <w:sz w:val="22"/>
          <w:szCs w:val="22"/>
          <w:lang w:eastAsia="en-US"/>
        </w:rPr>
        <w:t xml:space="preserve">Sunbury South </w:t>
      </w:r>
      <w:r>
        <w:rPr>
          <w:rFonts w:asciiTheme="minorHAnsi" w:hAnsiTheme="minorHAnsi"/>
          <w:sz w:val="22"/>
          <w:szCs w:val="22"/>
          <w:lang w:eastAsia="en-US"/>
        </w:rPr>
        <w:t xml:space="preserve">PSP </w:t>
      </w:r>
      <w:r w:rsidR="00645042">
        <w:rPr>
          <w:rFonts w:asciiTheme="minorHAnsi" w:hAnsiTheme="minorHAnsi"/>
          <w:sz w:val="22"/>
          <w:szCs w:val="22"/>
          <w:lang w:eastAsia="en-US"/>
        </w:rPr>
        <w:t>includes</w:t>
      </w:r>
      <w:r w:rsidR="00653420">
        <w:rPr>
          <w:rFonts w:asciiTheme="minorHAnsi" w:hAnsiTheme="minorHAnsi"/>
          <w:sz w:val="22"/>
          <w:szCs w:val="22"/>
          <w:lang w:eastAsia="en-US"/>
        </w:rPr>
        <w:t xml:space="preserve"> a ‘composting facility odour buffer (tbc)’</w:t>
      </w:r>
      <w:r>
        <w:rPr>
          <w:rFonts w:asciiTheme="minorHAnsi" w:hAnsiTheme="minorHAnsi"/>
          <w:sz w:val="22"/>
          <w:szCs w:val="22"/>
          <w:lang w:eastAsia="en-US"/>
        </w:rPr>
        <w:t xml:space="preserve">.  </w:t>
      </w:r>
      <w:r w:rsidR="001C34AD">
        <w:rPr>
          <w:rFonts w:asciiTheme="minorHAnsi" w:hAnsiTheme="minorHAnsi"/>
          <w:sz w:val="22"/>
          <w:szCs w:val="22"/>
          <w:lang w:eastAsia="en-US"/>
        </w:rPr>
        <w:t xml:space="preserve">The extent of the buffer </w:t>
      </w:r>
      <w:r w:rsidR="00494E1F">
        <w:rPr>
          <w:rFonts w:asciiTheme="minorHAnsi" w:hAnsiTheme="minorHAnsi"/>
          <w:sz w:val="22"/>
          <w:szCs w:val="22"/>
          <w:lang w:eastAsia="en-US"/>
        </w:rPr>
        <w:t>shown on Plan 3 is 1,300 metres.</w:t>
      </w:r>
      <w:r>
        <w:rPr>
          <w:rFonts w:asciiTheme="minorHAnsi" w:hAnsiTheme="minorHAnsi"/>
          <w:sz w:val="22"/>
          <w:szCs w:val="22"/>
          <w:lang w:eastAsia="en-US"/>
        </w:rPr>
        <w:t xml:space="preserve">  Plan 3 shows a range of uses within the </w:t>
      </w:r>
      <w:r w:rsidR="007172B7">
        <w:rPr>
          <w:rFonts w:asciiTheme="minorHAnsi" w:hAnsiTheme="minorHAnsi"/>
          <w:sz w:val="22"/>
          <w:szCs w:val="22"/>
          <w:lang w:eastAsia="en-US"/>
        </w:rPr>
        <w:t xml:space="preserve">composting facility </w:t>
      </w:r>
      <w:r>
        <w:rPr>
          <w:rFonts w:asciiTheme="minorHAnsi" w:hAnsiTheme="minorHAnsi"/>
          <w:sz w:val="22"/>
          <w:szCs w:val="22"/>
          <w:lang w:eastAsia="en-US"/>
        </w:rPr>
        <w:t>buffer.</w:t>
      </w:r>
    </w:p>
    <w:p w:rsidR="000418F8" w:rsidRDefault="000418F8" w:rsidP="000418F8">
      <w:pPr>
        <w:rPr>
          <w:rFonts w:asciiTheme="minorHAnsi" w:hAnsiTheme="minorHAnsi"/>
          <w:sz w:val="22"/>
          <w:szCs w:val="22"/>
          <w:lang w:eastAsia="en-US"/>
        </w:rPr>
      </w:pPr>
      <w:r>
        <w:rPr>
          <w:rFonts w:asciiTheme="minorHAnsi" w:hAnsiTheme="minorHAnsi"/>
          <w:sz w:val="22"/>
          <w:szCs w:val="22"/>
          <w:lang w:eastAsia="en-US"/>
        </w:rPr>
        <w:t xml:space="preserve">Schedule 9 to the UGZ includes provisions that relate to the </w:t>
      </w:r>
      <w:r w:rsidR="002F31B0">
        <w:rPr>
          <w:rFonts w:asciiTheme="minorHAnsi" w:hAnsiTheme="minorHAnsi"/>
          <w:sz w:val="22"/>
          <w:szCs w:val="22"/>
          <w:lang w:eastAsia="en-US"/>
        </w:rPr>
        <w:t>composting facility</w:t>
      </w:r>
      <w:r>
        <w:rPr>
          <w:rFonts w:asciiTheme="minorHAnsi" w:hAnsiTheme="minorHAnsi"/>
          <w:sz w:val="22"/>
          <w:szCs w:val="22"/>
          <w:lang w:eastAsia="en-US"/>
        </w:rPr>
        <w:t xml:space="preserve"> buffer at:</w:t>
      </w:r>
    </w:p>
    <w:p w:rsidR="000418F8" w:rsidRDefault="000418F8" w:rsidP="003340E2">
      <w:pPr>
        <w:pStyle w:val="ListParagraph"/>
        <w:numPr>
          <w:ilvl w:val="0"/>
          <w:numId w:val="15"/>
        </w:numPr>
      </w:pPr>
      <w:r>
        <w:t>Clause 2.4 (Specific provisions – Use of land);</w:t>
      </w:r>
      <w:r w:rsidR="00A3363F">
        <w:t xml:space="preserve"> and</w:t>
      </w:r>
    </w:p>
    <w:p w:rsidR="00A3363F" w:rsidRDefault="000418F8" w:rsidP="003340E2">
      <w:pPr>
        <w:pStyle w:val="ListParagraph"/>
        <w:numPr>
          <w:ilvl w:val="0"/>
          <w:numId w:val="15"/>
        </w:numPr>
      </w:pPr>
      <w:r>
        <w:t xml:space="preserve">Clause </w:t>
      </w:r>
      <w:r w:rsidR="009C7C1A">
        <w:t xml:space="preserve">3.9 (Applications </w:t>
      </w:r>
      <w:r w:rsidR="00A3363F">
        <w:t>within the Composting Facility Odour Buffer).</w:t>
      </w:r>
      <w:r w:rsidR="00A3363F" w:rsidRPr="00A43826">
        <w:t xml:space="preserve"> </w:t>
      </w:r>
    </w:p>
    <w:p w:rsidR="000418F8" w:rsidRPr="00A3363F" w:rsidRDefault="000418F8" w:rsidP="00A3363F">
      <w:pPr>
        <w:rPr>
          <w:rFonts w:asciiTheme="minorHAnsi" w:hAnsiTheme="minorHAnsi"/>
          <w:sz w:val="22"/>
          <w:szCs w:val="22"/>
          <w:lang w:eastAsia="en-US"/>
        </w:rPr>
      </w:pPr>
      <w:r w:rsidRPr="00A3363F">
        <w:rPr>
          <w:rFonts w:asciiTheme="minorHAnsi" w:hAnsiTheme="minorHAnsi"/>
          <w:sz w:val="22"/>
          <w:szCs w:val="22"/>
          <w:lang w:eastAsia="en-US"/>
        </w:rPr>
        <w:t>The submissions identified above raise issues in relation to:</w:t>
      </w:r>
    </w:p>
    <w:p w:rsidR="000418F8" w:rsidRDefault="000418F8" w:rsidP="003340E2">
      <w:pPr>
        <w:pStyle w:val="ListParagraph"/>
        <w:numPr>
          <w:ilvl w:val="0"/>
          <w:numId w:val="18"/>
        </w:numPr>
      </w:pPr>
      <w:r>
        <w:t xml:space="preserve">the appropriate extent of the </w:t>
      </w:r>
      <w:r w:rsidR="00904758">
        <w:t>composting facility</w:t>
      </w:r>
      <w:r>
        <w:t xml:space="preserve"> buffer; and</w:t>
      </w:r>
    </w:p>
    <w:p w:rsidR="000418F8" w:rsidRPr="00286212" w:rsidRDefault="000418F8" w:rsidP="003340E2">
      <w:pPr>
        <w:pStyle w:val="ListParagraph"/>
        <w:numPr>
          <w:ilvl w:val="0"/>
          <w:numId w:val="18"/>
        </w:numPr>
      </w:pPr>
      <w:r>
        <w:t xml:space="preserve">the planning controls proposed in Schedule 9 to apply within the </w:t>
      </w:r>
      <w:r w:rsidR="00904758">
        <w:t>composting facility</w:t>
      </w:r>
      <w:r>
        <w:t xml:space="preserve"> buffer.</w:t>
      </w:r>
    </w:p>
    <w:p w:rsidR="000418F8" w:rsidRPr="00EB7C59" w:rsidRDefault="000418F8" w:rsidP="000418F8">
      <w:pPr>
        <w:rPr>
          <w:rFonts w:asciiTheme="minorHAnsi" w:hAnsiTheme="minorHAnsi"/>
          <w:sz w:val="22"/>
          <w:szCs w:val="22"/>
          <w:lang w:eastAsia="en-US"/>
        </w:rPr>
      </w:pPr>
      <w:r w:rsidRPr="00EB7C59">
        <w:rPr>
          <w:rFonts w:asciiTheme="minorHAnsi" w:hAnsiTheme="minorHAnsi"/>
          <w:sz w:val="22"/>
          <w:szCs w:val="22"/>
          <w:lang w:eastAsia="en-US"/>
        </w:rPr>
        <w:t xml:space="preserve">In responding to these submissions, the VPA relies on the expert </w:t>
      </w:r>
      <w:r w:rsidR="00904758" w:rsidRPr="00EB7C59">
        <w:rPr>
          <w:rFonts w:asciiTheme="minorHAnsi" w:hAnsiTheme="minorHAnsi"/>
          <w:sz w:val="22"/>
          <w:szCs w:val="22"/>
          <w:lang w:eastAsia="en-US"/>
        </w:rPr>
        <w:t>evidence of Mr Ramsay.</w:t>
      </w:r>
    </w:p>
    <w:p w:rsidR="006255B5" w:rsidRPr="002F6055" w:rsidRDefault="006255B5" w:rsidP="006255B5">
      <w:pPr>
        <w:rPr>
          <w:rFonts w:asciiTheme="minorHAnsi" w:hAnsiTheme="minorHAnsi"/>
          <w:sz w:val="22"/>
          <w:szCs w:val="22"/>
          <w:lang w:eastAsia="en-US"/>
        </w:rPr>
      </w:pPr>
      <w:r w:rsidRPr="00EB7C59">
        <w:rPr>
          <w:rFonts w:asciiTheme="minorHAnsi" w:hAnsiTheme="minorHAnsi"/>
          <w:sz w:val="22"/>
          <w:szCs w:val="22"/>
          <w:lang w:eastAsia="en-US"/>
        </w:rPr>
        <w:t xml:space="preserve">Mr Ramsay’s evidence considers the exhibition version of the Schedule 9 to the UGZ.  The updated </w:t>
      </w:r>
      <w:r w:rsidRPr="002F6055">
        <w:rPr>
          <w:rFonts w:asciiTheme="minorHAnsi" w:hAnsiTheme="minorHAnsi"/>
          <w:sz w:val="22"/>
          <w:szCs w:val="22"/>
          <w:lang w:eastAsia="en-US"/>
        </w:rPr>
        <w:t xml:space="preserve">planning scheme ordinance at Appendix 5 to the VPA’s Part A submission includes </w:t>
      </w:r>
      <w:proofErr w:type="gramStart"/>
      <w:r w:rsidRPr="002F6055">
        <w:rPr>
          <w:rFonts w:asciiTheme="minorHAnsi" w:hAnsiTheme="minorHAnsi"/>
          <w:sz w:val="22"/>
          <w:szCs w:val="22"/>
          <w:lang w:eastAsia="en-US"/>
        </w:rPr>
        <w:t>a number of</w:t>
      </w:r>
      <w:proofErr w:type="gramEnd"/>
      <w:r w:rsidRPr="002F6055">
        <w:rPr>
          <w:rFonts w:asciiTheme="minorHAnsi" w:hAnsiTheme="minorHAnsi"/>
          <w:sz w:val="22"/>
          <w:szCs w:val="22"/>
          <w:lang w:eastAsia="en-US"/>
        </w:rPr>
        <w:t xml:space="preserve"> proposed changes to the relevant provisions.   </w:t>
      </w:r>
    </w:p>
    <w:p w:rsidR="00BB232E" w:rsidRDefault="00BB232E" w:rsidP="000418F8">
      <w:pPr>
        <w:rPr>
          <w:rFonts w:asciiTheme="minorHAnsi" w:hAnsiTheme="minorHAnsi"/>
          <w:sz w:val="22"/>
          <w:szCs w:val="22"/>
          <w:lang w:eastAsia="en-US"/>
        </w:rPr>
      </w:pPr>
      <w:r>
        <w:rPr>
          <w:rFonts w:asciiTheme="minorHAnsi" w:hAnsiTheme="minorHAnsi"/>
          <w:sz w:val="22"/>
          <w:szCs w:val="22"/>
          <w:lang w:eastAsia="en-US"/>
        </w:rPr>
        <w:t xml:space="preserve">One other expert witness report in relation to odour has been circulated to the Panel and parties, by Michael </w:t>
      </w:r>
      <w:proofErr w:type="spellStart"/>
      <w:r>
        <w:rPr>
          <w:rFonts w:asciiTheme="minorHAnsi" w:hAnsiTheme="minorHAnsi"/>
          <w:sz w:val="22"/>
          <w:szCs w:val="22"/>
          <w:lang w:eastAsia="en-US"/>
        </w:rPr>
        <w:t>Assal</w:t>
      </w:r>
      <w:proofErr w:type="spellEnd"/>
      <w:r>
        <w:rPr>
          <w:rFonts w:asciiTheme="minorHAnsi" w:hAnsiTheme="minorHAnsi"/>
          <w:sz w:val="22"/>
          <w:szCs w:val="22"/>
          <w:lang w:eastAsia="en-US"/>
        </w:rPr>
        <w:t xml:space="preserve"> of The Odour Unit on behalf of Veolia.</w:t>
      </w:r>
    </w:p>
    <w:p w:rsidR="00BB232E" w:rsidRDefault="001A3986" w:rsidP="000418F8">
      <w:pPr>
        <w:rPr>
          <w:rFonts w:asciiTheme="minorHAnsi" w:hAnsiTheme="minorHAnsi"/>
          <w:sz w:val="22"/>
          <w:szCs w:val="22"/>
          <w:lang w:eastAsia="en-US"/>
        </w:rPr>
      </w:pPr>
      <w:r>
        <w:rPr>
          <w:rFonts w:asciiTheme="minorHAnsi" w:hAnsiTheme="minorHAnsi"/>
          <w:sz w:val="22"/>
          <w:szCs w:val="22"/>
          <w:lang w:eastAsia="en-US"/>
        </w:rPr>
        <w:t xml:space="preserve">The Panel </w:t>
      </w:r>
      <w:r w:rsidR="00AD2E21">
        <w:rPr>
          <w:rFonts w:asciiTheme="minorHAnsi" w:hAnsiTheme="minorHAnsi"/>
          <w:sz w:val="22"/>
          <w:szCs w:val="22"/>
          <w:lang w:eastAsia="en-US"/>
        </w:rPr>
        <w:t>further advised on 18 August 2017</w:t>
      </w:r>
      <w:r w:rsidR="00B42115">
        <w:rPr>
          <w:rFonts w:asciiTheme="minorHAnsi" w:hAnsiTheme="minorHAnsi"/>
          <w:sz w:val="22"/>
          <w:szCs w:val="22"/>
          <w:lang w:eastAsia="en-US"/>
        </w:rPr>
        <w:t xml:space="preserve"> that a </w:t>
      </w:r>
      <w:r w:rsidR="00AD2E21">
        <w:rPr>
          <w:rFonts w:asciiTheme="minorHAnsi" w:hAnsiTheme="minorHAnsi"/>
          <w:sz w:val="22"/>
          <w:szCs w:val="22"/>
          <w:lang w:eastAsia="en-US"/>
        </w:rPr>
        <w:t xml:space="preserve">report by Tim Pollock of GHD on behalf of Hi-Quality can be given the status of </w:t>
      </w:r>
      <w:r w:rsidR="00D73B0B">
        <w:rPr>
          <w:rFonts w:asciiTheme="minorHAnsi" w:hAnsiTheme="minorHAnsi"/>
          <w:sz w:val="22"/>
          <w:szCs w:val="22"/>
          <w:lang w:eastAsia="en-US"/>
        </w:rPr>
        <w:t>e</w:t>
      </w:r>
      <w:r w:rsidR="00960DC4">
        <w:rPr>
          <w:rFonts w:asciiTheme="minorHAnsi" w:hAnsiTheme="minorHAnsi"/>
          <w:sz w:val="22"/>
          <w:szCs w:val="22"/>
          <w:lang w:eastAsia="en-US"/>
        </w:rPr>
        <w:t>xpert evidence.</w:t>
      </w:r>
      <w:r w:rsidR="00960DC4">
        <w:rPr>
          <w:rStyle w:val="FootnoteReference"/>
          <w:rFonts w:asciiTheme="minorHAnsi" w:hAnsiTheme="minorHAnsi"/>
          <w:sz w:val="22"/>
          <w:szCs w:val="22"/>
          <w:lang w:eastAsia="en-US"/>
        </w:rPr>
        <w:footnoteReference w:id="65"/>
      </w:r>
      <w:r w:rsidR="00960DC4">
        <w:rPr>
          <w:rFonts w:asciiTheme="minorHAnsi" w:hAnsiTheme="minorHAnsi"/>
          <w:sz w:val="22"/>
          <w:szCs w:val="22"/>
          <w:lang w:eastAsia="en-US"/>
        </w:rPr>
        <w:t xml:space="preserve"> </w:t>
      </w:r>
    </w:p>
    <w:p w:rsidR="005D3AB6" w:rsidRDefault="00587D41" w:rsidP="000418F8">
      <w:pPr>
        <w:rPr>
          <w:rFonts w:asciiTheme="minorHAnsi" w:hAnsiTheme="minorHAnsi"/>
          <w:sz w:val="22"/>
          <w:szCs w:val="22"/>
          <w:lang w:eastAsia="en-US"/>
        </w:rPr>
      </w:pPr>
      <w:r>
        <w:rPr>
          <w:rFonts w:asciiTheme="minorHAnsi" w:hAnsiTheme="minorHAnsi"/>
          <w:sz w:val="22"/>
          <w:szCs w:val="22"/>
          <w:lang w:eastAsia="en-US"/>
        </w:rPr>
        <w:t xml:space="preserve">Mr Ramsay, Mr </w:t>
      </w:r>
      <w:proofErr w:type="spellStart"/>
      <w:r>
        <w:rPr>
          <w:rFonts w:asciiTheme="minorHAnsi" w:hAnsiTheme="minorHAnsi"/>
          <w:sz w:val="22"/>
          <w:szCs w:val="22"/>
          <w:lang w:eastAsia="en-US"/>
        </w:rPr>
        <w:t>Assal</w:t>
      </w:r>
      <w:proofErr w:type="spellEnd"/>
      <w:r>
        <w:rPr>
          <w:rFonts w:asciiTheme="minorHAnsi" w:hAnsiTheme="minorHAnsi"/>
          <w:sz w:val="22"/>
          <w:szCs w:val="22"/>
          <w:lang w:eastAsia="en-US"/>
        </w:rPr>
        <w:t xml:space="preserve">, Mr Pollock and </w:t>
      </w:r>
      <w:r w:rsidR="0079106A">
        <w:rPr>
          <w:rFonts w:asciiTheme="minorHAnsi" w:hAnsiTheme="minorHAnsi"/>
          <w:sz w:val="22"/>
          <w:szCs w:val="22"/>
          <w:lang w:eastAsia="en-US"/>
        </w:rPr>
        <w:t>a representative of the EPA with technical expertise in odour are conducting a conclave</w:t>
      </w:r>
      <w:r w:rsidR="00693FAE">
        <w:rPr>
          <w:rFonts w:asciiTheme="minorHAnsi" w:hAnsiTheme="minorHAnsi"/>
          <w:sz w:val="22"/>
          <w:szCs w:val="22"/>
          <w:lang w:eastAsia="en-US"/>
        </w:rPr>
        <w:t xml:space="preserve"> on 21 </w:t>
      </w:r>
      <w:r w:rsidR="008D3CD6">
        <w:rPr>
          <w:rFonts w:asciiTheme="minorHAnsi" w:hAnsiTheme="minorHAnsi"/>
          <w:sz w:val="22"/>
          <w:szCs w:val="22"/>
          <w:lang w:eastAsia="en-US"/>
        </w:rPr>
        <w:t xml:space="preserve">August 2017.  A statement from that conclave </w:t>
      </w:r>
      <w:r w:rsidR="007F555E">
        <w:rPr>
          <w:rFonts w:asciiTheme="minorHAnsi" w:hAnsiTheme="minorHAnsi"/>
          <w:sz w:val="22"/>
          <w:szCs w:val="22"/>
          <w:lang w:eastAsia="en-US"/>
        </w:rPr>
        <w:t xml:space="preserve">highlighting </w:t>
      </w:r>
      <w:r w:rsidR="007E17F5">
        <w:rPr>
          <w:rFonts w:asciiTheme="minorHAnsi" w:hAnsiTheme="minorHAnsi"/>
          <w:sz w:val="22"/>
          <w:szCs w:val="22"/>
          <w:lang w:eastAsia="en-US"/>
        </w:rPr>
        <w:t>points of agr</w:t>
      </w:r>
      <w:r w:rsidR="009048C8">
        <w:rPr>
          <w:rFonts w:asciiTheme="minorHAnsi" w:hAnsiTheme="minorHAnsi"/>
          <w:sz w:val="22"/>
          <w:szCs w:val="22"/>
          <w:lang w:eastAsia="en-US"/>
        </w:rPr>
        <w:t>eement</w:t>
      </w:r>
      <w:r w:rsidR="007F555E">
        <w:rPr>
          <w:rFonts w:asciiTheme="minorHAnsi" w:hAnsiTheme="minorHAnsi"/>
          <w:sz w:val="22"/>
          <w:szCs w:val="22"/>
          <w:lang w:eastAsia="en-US"/>
        </w:rPr>
        <w:t xml:space="preserve"> and disagreement between the experts</w:t>
      </w:r>
      <w:r w:rsidR="008D3CD6">
        <w:rPr>
          <w:rFonts w:asciiTheme="minorHAnsi" w:hAnsiTheme="minorHAnsi"/>
          <w:sz w:val="22"/>
          <w:szCs w:val="22"/>
          <w:lang w:eastAsia="en-US"/>
        </w:rPr>
        <w:t xml:space="preserve"> will then be circulated.</w:t>
      </w:r>
    </w:p>
    <w:p w:rsidR="000418F8" w:rsidRPr="00315E22" w:rsidRDefault="000418F8" w:rsidP="000418F8">
      <w:pPr>
        <w:pStyle w:val="Heading3"/>
        <w:rPr>
          <w:rFonts w:asciiTheme="minorHAnsi" w:hAnsiTheme="minorHAnsi"/>
          <w:b/>
        </w:rPr>
      </w:pPr>
      <w:r>
        <w:rPr>
          <w:rFonts w:asciiTheme="minorHAnsi" w:hAnsiTheme="minorHAnsi"/>
          <w:b/>
        </w:rPr>
        <w:t>Issue 1: extent of buffer</w:t>
      </w:r>
    </w:p>
    <w:p w:rsidR="000418F8" w:rsidRPr="0003001E" w:rsidRDefault="000418F8" w:rsidP="000418F8">
      <w:pPr>
        <w:rPr>
          <w:rFonts w:asciiTheme="minorHAnsi" w:hAnsiTheme="minorHAnsi"/>
          <w:b/>
          <w:i/>
          <w:sz w:val="22"/>
          <w:lang w:eastAsia="en-US"/>
        </w:rPr>
      </w:pPr>
      <w:r w:rsidRPr="0003001E">
        <w:rPr>
          <w:rFonts w:asciiTheme="minorHAnsi" w:hAnsiTheme="minorHAnsi"/>
          <w:b/>
          <w:i/>
          <w:sz w:val="22"/>
          <w:lang w:eastAsia="en-US"/>
        </w:rPr>
        <w:t xml:space="preserve">Submissions in response to exhibition </w:t>
      </w:r>
    </w:p>
    <w:p w:rsidR="00BB14A2" w:rsidRDefault="00242BFB" w:rsidP="00747289">
      <w:pPr>
        <w:rPr>
          <w:rFonts w:asciiTheme="minorHAnsi" w:hAnsiTheme="minorHAnsi"/>
          <w:sz w:val="22"/>
          <w:lang w:eastAsia="en-US"/>
        </w:rPr>
      </w:pPr>
      <w:r>
        <w:rPr>
          <w:rFonts w:asciiTheme="minorHAnsi" w:hAnsiTheme="minorHAnsi"/>
          <w:sz w:val="22"/>
          <w:lang w:eastAsia="en-US"/>
        </w:rPr>
        <w:t>Veolia did not make a submission in response to exhibition of Amendment C207, but subsequently requested to be heard by the Panel with ref</w:t>
      </w:r>
      <w:r w:rsidR="00C90997">
        <w:rPr>
          <w:rFonts w:asciiTheme="minorHAnsi" w:hAnsiTheme="minorHAnsi"/>
          <w:sz w:val="22"/>
          <w:lang w:eastAsia="en-US"/>
        </w:rPr>
        <w:t xml:space="preserve">erence to a draft </w:t>
      </w:r>
      <w:r w:rsidR="00A813FA">
        <w:rPr>
          <w:rFonts w:asciiTheme="minorHAnsi" w:hAnsiTheme="minorHAnsi"/>
          <w:sz w:val="22"/>
          <w:lang w:eastAsia="en-US"/>
        </w:rPr>
        <w:t>version of the GHD report.</w:t>
      </w:r>
      <w:r w:rsidR="00AD0DBF">
        <w:rPr>
          <w:rFonts w:asciiTheme="minorHAnsi" w:hAnsiTheme="minorHAnsi"/>
          <w:sz w:val="22"/>
          <w:lang w:eastAsia="en-US"/>
        </w:rPr>
        <w:t xml:space="preserve">  The final version of that report was circulated to the Panel and parties on 4 August 2017.</w:t>
      </w:r>
      <w:r w:rsidR="006E2E5F">
        <w:rPr>
          <w:rFonts w:asciiTheme="minorHAnsi" w:hAnsiTheme="minorHAnsi"/>
          <w:sz w:val="22"/>
          <w:lang w:eastAsia="en-US"/>
        </w:rPr>
        <w:t xml:space="preserve"> </w:t>
      </w:r>
      <w:r w:rsidR="00747289">
        <w:rPr>
          <w:rFonts w:asciiTheme="minorHAnsi" w:hAnsiTheme="minorHAnsi"/>
          <w:sz w:val="22"/>
          <w:lang w:eastAsia="en-US"/>
        </w:rPr>
        <w:t xml:space="preserve"> </w:t>
      </w:r>
      <w:r w:rsidR="006E2E5F">
        <w:rPr>
          <w:rFonts w:asciiTheme="minorHAnsi" w:hAnsiTheme="minorHAnsi"/>
          <w:sz w:val="22"/>
          <w:lang w:eastAsia="en-US"/>
        </w:rPr>
        <w:t xml:space="preserve">Veolia’s submission </w:t>
      </w:r>
      <w:r w:rsidR="009B0401">
        <w:rPr>
          <w:rFonts w:asciiTheme="minorHAnsi" w:hAnsiTheme="minorHAnsi"/>
          <w:sz w:val="22"/>
          <w:lang w:eastAsia="en-US"/>
        </w:rPr>
        <w:t>expressed</w:t>
      </w:r>
      <w:r w:rsidR="006E2E5F">
        <w:rPr>
          <w:rFonts w:asciiTheme="minorHAnsi" w:hAnsiTheme="minorHAnsi"/>
          <w:sz w:val="22"/>
          <w:lang w:eastAsia="en-US"/>
        </w:rPr>
        <w:t xml:space="preserve"> its preliminary concerns with the draft GHD report.</w:t>
      </w:r>
      <w:r w:rsidR="00021137">
        <w:rPr>
          <w:rFonts w:asciiTheme="minorHAnsi" w:hAnsiTheme="minorHAnsi"/>
          <w:sz w:val="22"/>
          <w:lang w:eastAsia="en-US"/>
        </w:rPr>
        <w:t xml:space="preserve">  </w:t>
      </w:r>
    </w:p>
    <w:p w:rsidR="00A2390C" w:rsidRDefault="00982EB2" w:rsidP="000418F8">
      <w:pPr>
        <w:rPr>
          <w:rFonts w:asciiTheme="minorHAnsi" w:hAnsiTheme="minorHAnsi"/>
          <w:sz w:val="22"/>
          <w:lang w:eastAsia="en-US"/>
        </w:rPr>
      </w:pPr>
      <w:r>
        <w:rPr>
          <w:rFonts w:asciiTheme="minorHAnsi" w:hAnsiTheme="minorHAnsi"/>
          <w:sz w:val="22"/>
          <w:lang w:eastAsia="en-US"/>
        </w:rPr>
        <w:t>The Veolia submission note</w:t>
      </w:r>
      <w:r w:rsidR="009B0401">
        <w:rPr>
          <w:rFonts w:asciiTheme="minorHAnsi" w:hAnsiTheme="minorHAnsi"/>
          <w:sz w:val="22"/>
          <w:lang w:eastAsia="en-US"/>
        </w:rPr>
        <w:t>d</w:t>
      </w:r>
      <w:r>
        <w:rPr>
          <w:rFonts w:asciiTheme="minorHAnsi" w:hAnsiTheme="minorHAnsi"/>
          <w:sz w:val="22"/>
          <w:lang w:eastAsia="en-US"/>
        </w:rPr>
        <w:t xml:space="preserve"> </w:t>
      </w:r>
      <w:r w:rsidR="00DC6EEF">
        <w:rPr>
          <w:rFonts w:asciiTheme="minorHAnsi" w:hAnsiTheme="minorHAnsi"/>
          <w:sz w:val="22"/>
          <w:lang w:eastAsia="en-US"/>
        </w:rPr>
        <w:t xml:space="preserve">the </w:t>
      </w:r>
      <w:proofErr w:type="gramStart"/>
      <w:r w:rsidR="00DC6EEF">
        <w:rPr>
          <w:rFonts w:asciiTheme="minorHAnsi" w:hAnsiTheme="minorHAnsi"/>
          <w:sz w:val="22"/>
          <w:lang w:eastAsia="en-US"/>
        </w:rPr>
        <w:t>1,300 metre</w:t>
      </w:r>
      <w:proofErr w:type="gramEnd"/>
      <w:r w:rsidR="00DC6EEF">
        <w:rPr>
          <w:rFonts w:asciiTheme="minorHAnsi" w:hAnsiTheme="minorHAnsi"/>
          <w:sz w:val="22"/>
          <w:lang w:eastAsia="en-US"/>
        </w:rPr>
        <w:t xml:space="preserve"> buffer reflects the </w:t>
      </w:r>
      <w:r w:rsidR="00484405">
        <w:rPr>
          <w:rFonts w:asciiTheme="minorHAnsi" w:hAnsiTheme="minorHAnsi"/>
          <w:sz w:val="22"/>
          <w:lang w:eastAsia="en-US"/>
        </w:rPr>
        <w:t>recommended</w:t>
      </w:r>
      <w:r w:rsidR="00AB3F4C">
        <w:rPr>
          <w:rFonts w:asciiTheme="minorHAnsi" w:hAnsiTheme="minorHAnsi"/>
          <w:sz w:val="22"/>
          <w:lang w:eastAsia="en-US"/>
        </w:rPr>
        <w:t xml:space="preserve"> separation</w:t>
      </w:r>
      <w:r w:rsidR="00484405">
        <w:rPr>
          <w:rFonts w:asciiTheme="minorHAnsi" w:hAnsiTheme="minorHAnsi"/>
          <w:sz w:val="22"/>
          <w:lang w:eastAsia="en-US"/>
        </w:rPr>
        <w:t xml:space="preserve"> distance in the EPA guideline </w:t>
      </w:r>
      <w:r w:rsidR="00D44E26">
        <w:rPr>
          <w:rFonts w:asciiTheme="minorHAnsi" w:hAnsiTheme="minorHAnsi"/>
          <w:i/>
          <w:sz w:val="22"/>
          <w:lang w:eastAsia="en-US"/>
        </w:rPr>
        <w:t>Designing, Constructing and Operating Composting Facilities</w:t>
      </w:r>
      <w:r w:rsidR="007B5409">
        <w:rPr>
          <w:rStyle w:val="FootnoteReference"/>
          <w:rFonts w:asciiTheme="minorHAnsi" w:hAnsiTheme="minorHAnsi"/>
          <w:i/>
          <w:sz w:val="22"/>
          <w:lang w:eastAsia="en-US"/>
        </w:rPr>
        <w:footnoteReference w:id="66"/>
      </w:r>
      <w:r w:rsidR="00484405">
        <w:rPr>
          <w:rFonts w:asciiTheme="minorHAnsi" w:hAnsiTheme="minorHAnsi"/>
          <w:i/>
          <w:sz w:val="22"/>
          <w:lang w:eastAsia="en-US"/>
        </w:rPr>
        <w:t xml:space="preserve"> </w:t>
      </w:r>
      <w:r w:rsidR="00484405">
        <w:rPr>
          <w:rFonts w:asciiTheme="minorHAnsi" w:hAnsiTheme="minorHAnsi"/>
          <w:sz w:val="22"/>
          <w:lang w:eastAsia="en-US"/>
        </w:rPr>
        <w:lastRenderedPageBreak/>
        <w:t>(</w:t>
      </w:r>
      <w:r w:rsidR="00484405">
        <w:rPr>
          <w:rFonts w:asciiTheme="minorHAnsi" w:hAnsiTheme="minorHAnsi"/>
          <w:b/>
          <w:sz w:val="22"/>
          <w:lang w:eastAsia="en-US"/>
        </w:rPr>
        <w:t>Composting Guideline</w:t>
      </w:r>
      <w:r w:rsidR="00D44E26">
        <w:rPr>
          <w:rFonts w:asciiTheme="minorHAnsi" w:hAnsiTheme="minorHAnsi"/>
          <w:sz w:val="22"/>
          <w:lang w:eastAsia="en-US"/>
        </w:rPr>
        <w:t xml:space="preserve">) </w:t>
      </w:r>
      <w:r w:rsidR="00A2390C">
        <w:rPr>
          <w:rFonts w:asciiTheme="minorHAnsi" w:hAnsiTheme="minorHAnsi"/>
          <w:sz w:val="22"/>
          <w:lang w:eastAsia="en-US"/>
        </w:rPr>
        <w:t xml:space="preserve">and </w:t>
      </w:r>
      <w:r w:rsidR="0029295F">
        <w:rPr>
          <w:rFonts w:asciiTheme="minorHAnsi" w:hAnsiTheme="minorHAnsi"/>
          <w:sz w:val="22"/>
          <w:lang w:eastAsia="en-US"/>
        </w:rPr>
        <w:t xml:space="preserve">opposed the submission by Hi-Quality that this be </w:t>
      </w:r>
      <w:r w:rsidR="00A2390C">
        <w:rPr>
          <w:rFonts w:asciiTheme="minorHAnsi" w:hAnsiTheme="minorHAnsi"/>
          <w:sz w:val="22"/>
          <w:lang w:eastAsia="en-US"/>
        </w:rPr>
        <w:t>reduced to 600 metres.</w:t>
      </w:r>
    </w:p>
    <w:p w:rsidR="00ED5EBB" w:rsidRDefault="00201229" w:rsidP="000418F8">
      <w:pPr>
        <w:rPr>
          <w:rFonts w:asciiTheme="minorHAnsi" w:hAnsiTheme="minorHAnsi"/>
          <w:sz w:val="22"/>
          <w:lang w:eastAsia="en-US"/>
        </w:rPr>
      </w:pPr>
      <w:r>
        <w:rPr>
          <w:rFonts w:asciiTheme="minorHAnsi" w:hAnsiTheme="minorHAnsi"/>
          <w:sz w:val="22"/>
          <w:lang w:eastAsia="en-US"/>
        </w:rPr>
        <w:t>The EPA licence under which Veolia operates includes a condition that reads</w:t>
      </w:r>
      <w:r w:rsidR="000E58B7">
        <w:rPr>
          <w:rFonts w:asciiTheme="minorHAnsi" w:hAnsiTheme="minorHAnsi"/>
          <w:sz w:val="22"/>
          <w:lang w:eastAsia="en-US"/>
        </w:rPr>
        <w:t xml:space="preserve"> ‘offensive odours must not be discharge</w:t>
      </w:r>
      <w:r>
        <w:rPr>
          <w:rFonts w:asciiTheme="minorHAnsi" w:hAnsiTheme="minorHAnsi"/>
          <w:sz w:val="22"/>
          <w:lang w:eastAsia="en-US"/>
        </w:rPr>
        <w:t>d</w:t>
      </w:r>
      <w:r w:rsidR="000E58B7">
        <w:rPr>
          <w:rFonts w:asciiTheme="minorHAnsi" w:hAnsiTheme="minorHAnsi"/>
          <w:sz w:val="22"/>
          <w:lang w:eastAsia="en-US"/>
        </w:rPr>
        <w:t xml:space="preserve"> beyond the boundaries of the premises’.</w:t>
      </w:r>
      <w:r w:rsidR="000E58B7">
        <w:rPr>
          <w:rStyle w:val="FootnoteReference"/>
          <w:rFonts w:asciiTheme="minorHAnsi" w:hAnsiTheme="minorHAnsi"/>
          <w:sz w:val="22"/>
          <w:lang w:eastAsia="en-US"/>
        </w:rPr>
        <w:footnoteReference w:id="67"/>
      </w:r>
    </w:p>
    <w:p w:rsidR="006E2E5F" w:rsidRDefault="005D57A4" w:rsidP="000418F8">
      <w:pPr>
        <w:rPr>
          <w:rFonts w:asciiTheme="minorHAnsi" w:hAnsiTheme="minorHAnsi"/>
          <w:sz w:val="22"/>
          <w:lang w:eastAsia="en-US"/>
        </w:rPr>
      </w:pPr>
      <w:r>
        <w:rPr>
          <w:rFonts w:asciiTheme="minorHAnsi" w:hAnsiTheme="minorHAnsi"/>
          <w:sz w:val="22"/>
          <w:lang w:eastAsia="en-US"/>
        </w:rPr>
        <w:t>Hi-Quality submitted that ‘the composting facility odour buffer should be reduced to 600 metres, and the walkable catchment boundary should be adjusted accordingly.  600 metres is an appropriate buffer having regard to works proposed by Veolia to manage odour.’</w:t>
      </w:r>
      <w:r w:rsidR="00264994">
        <w:rPr>
          <w:rFonts w:asciiTheme="minorHAnsi" w:hAnsiTheme="minorHAnsi"/>
          <w:sz w:val="22"/>
          <w:lang w:eastAsia="en-US"/>
        </w:rPr>
        <w:t xml:space="preserve"> </w:t>
      </w:r>
    </w:p>
    <w:p w:rsidR="00522E86" w:rsidRDefault="00070CE1" w:rsidP="000418F8">
      <w:pPr>
        <w:rPr>
          <w:rFonts w:asciiTheme="minorHAnsi" w:hAnsiTheme="minorHAnsi"/>
          <w:sz w:val="22"/>
          <w:lang w:eastAsia="en-US"/>
        </w:rPr>
      </w:pPr>
      <w:r>
        <w:rPr>
          <w:rFonts w:asciiTheme="minorHAnsi" w:hAnsiTheme="minorHAnsi"/>
          <w:sz w:val="22"/>
          <w:lang w:eastAsia="en-US"/>
        </w:rPr>
        <w:t>The RCL Grou</w:t>
      </w:r>
      <w:r w:rsidR="007A52E0">
        <w:rPr>
          <w:rFonts w:asciiTheme="minorHAnsi" w:hAnsiTheme="minorHAnsi"/>
          <w:sz w:val="22"/>
          <w:lang w:eastAsia="en-US"/>
        </w:rPr>
        <w:t>p, owner</w:t>
      </w:r>
      <w:r>
        <w:rPr>
          <w:rFonts w:asciiTheme="minorHAnsi" w:hAnsiTheme="minorHAnsi"/>
          <w:sz w:val="22"/>
          <w:lang w:eastAsia="en-US"/>
        </w:rPr>
        <w:t xml:space="preserve"> of 605 Sunbury Road,</w:t>
      </w:r>
      <w:r>
        <w:rPr>
          <w:rStyle w:val="FootnoteReference"/>
          <w:rFonts w:asciiTheme="minorHAnsi" w:hAnsiTheme="minorHAnsi"/>
          <w:sz w:val="22"/>
          <w:lang w:eastAsia="en-US"/>
        </w:rPr>
        <w:footnoteReference w:id="68"/>
      </w:r>
      <w:r w:rsidR="00E127FC">
        <w:rPr>
          <w:rFonts w:asciiTheme="minorHAnsi" w:hAnsiTheme="minorHAnsi"/>
          <w:sz w:val="22"/>
          <w:lang w:eastAsia="en-US"/>
        </w:rPr>
        <w:t xml:space="preserve"> to the south-west of the composting facility, submitted that a </w:t>
      </w:r>
      <w:proofErr w:type="gramStart"/>
      <w:r w:rsidR="00E127FC">
        <w:rPr>
          <w:rFonts w:asciiTheme="minorHAnsi" w:hAnsiTheme="minorHAnsi"/>
          <w:sz w:val="22"/>
          <w:lang w:eastAsia="en-US"/>
        </w:rPr>
        <w:t>1,300 metre</w:t>
      </w:r>
      <w:proofErr w:type="gramEnd"/>
      <w:r w:rsidR="00E127FC">
        <w:rPr>
          <w:rFonts w:asciiTheme="minorHAnsi" w:hAnsiTheme="minorHAnsi"/>
          <w:sz w:val="22"/>
          <w:lang w:eastAsia="en-US"/>
        </w:rPr>
        <w:t xml:space="preserve"> buffer was ‘excessive and creates an unnecessary and inappropriate burden to development’.  </w:t>
      </w:r>
      <w:r w:rsidR="00A62F96">
        <w:rPr>
          <w:rFonts w:asciiTheme="minorHAnsi" w:hAnsiTheme="minorHAnsi"/>
          <w:sz w:val="22"/>
          <w:lang w:eastAsia="en-US"/>
        </w:rPr>
        <w:t xml:space="preserve">The RCL Group submission </w:t>
      </w:r>
      <w:r w:rsidR="00522E86">
        <w:rPr>
          <w:rFonts w:asciiTheme="minorHAnsi" w:hAnsiTheme="minorHAnsi"/>
          <w:sz w:val="22"/>
          <w:lang w:eastAsia="en-US"/>
        </w:rPr>
        <w:t>referred</w:t>
      </w:r>
      <w:r w:rsidR="00A62F96">
        <w:rPr>
          <w:rFonts w:asciiTheme="minorHAnsi" w:hAnsiTheme="minorHAnsi"/>
          <w:sz w:val="22"/>
          <w:lang w:eastAsia="en-US"/>
        </w:rPr>
        <w:t xml:space="preserve"> to the planning officer’s report to Hume City Council in relation to the planning permit application for the facility</w:t>
      </w:r>
      <w:r w:rsidR="00522E86">
        <w:rPr>
          <w:rFonts w:asciiTheme="minorHAnsi" w:hAnsiTheme="minorHAnsi"/>
          <w:sz w:val="22"/>
          <w:lang w:eastAsia="en-US"/>
        </w:rPr>
        <w:t xml:space="preserve"> and included an extract from that report replicating a previous GHD odour assessment, which RCL Group submitted supported a reduced buffer.</w:t>
      </w:r>
    </w:p>
    <w:p w:rsidR="00845F5F" w:rsidRDefault="007A52E0" w:rsidP="000418F8">
      <w:pPr>
        <w:rPr>
          <w:rFonts w:asciiTheme="minorHAnsi" w:hAnsiTheme="minorHAnsi"/>
          <w:sz w:val="22"/>
          <w:lang w:eastAsia="en-US"/>
        </w:rPr>
      </w:pPr>
      <w:r>
        <w:rPr>
          <w:rFonts w:asciiTheme="minorHAnsi" w:hAnsiTheme="minorHAnsi"/>
          <w:sz w:val="22"/>
          <w:lang w:eastAsia="en-US"/>
        </w:rPr>
        <w:t xml:space="preserve">The submission by </w:t>
      </w:r>
      <w:proofErr w:type="spellStart"/>
      <w:r>
        <w:rPr>
          <w:rFonts w:asciiTheme="minorHAnsi" w:hAnsiTheme="minorHAnsi"/>
          <w:sz w:val="22"/>
          <w:lang w:eastAsia="en-US"/>
        </w:rPr>
        <w:t>Marantali</w:t>
      </w:r>
      <w:proofErr w:type="spellEnd"/>
      <w:r>
        <w:rPr>
          <w:rFonts w:asciiTheme="minorHAnsi" w:hAnsiTheme="minorHAnsi"/>
          <w:sz w:val="22"/>
          <w:lang w:eastAsia="en-US"/>
        </w:rPr>
        <w:t xml:space="preserve"> Pty Ltd, owner of 607 Sunbury Road,</w:t>
      </w:r>
      <w:r>
        <w:rPr>
          <w:rStyle w:val="FootnoteReference"/>
          <w:rFonts w:asciiTheme="minorHAnsi" w:hAnsiTheme="minorHAnsi"/>
          <w:sz w:val="22"/>
          <w:lang w:eastAsia="en-US"/>
        </w:rPr>
        <w:footnoteReference w:id="69"/>
      </w:r>
      <w:r>
        <w:rPr>
          <w:rFonts w:asciiTheme="minorHAnsi" w:hAnsiTheme="minorHAnsi"/>
          <w:sz w:val="22"/>
          <w:lang w:eastAsia="en-US"/>
        </w:rPr>
        <w:t xml:space="preserve"> also to the south-west of the composting facility, did not refer to the extent of the buffer, but focused on the controls that apply within the buffer.</w:t>
      </w:r>
    </w:p>
    <w:p w:rsidR="00BB14A2" w:rsidRDefault="001E0004" w:rsidP="000418F8">
      <w:pPr>
        <w:rPr>
          <w:rFonts w:asciiTheme="minorHAnsi" w:hAnsiTheme="minorHAnsi"/>
          <w:sz w:val="22"/>
          <w:lang w:eastAsia="en-US"/>
        </w:rPr>
      </w:pPr>
      <w:r>
        <w:rPr>
          <w:rFonts w:asciiTheme="minorHAnsi" w:hAnsiTheme="minorHAnsi"/>
          <w:sz w:val="22"/>
          <w:lang w:eastAsia="en-US"/>
        </w:rPr>
        <w:t xml:space="preserve">The EPA submission acknowledged </w:t>
      </w:r>
      <w:r w:rsidR="00884CB4">
        <w:rPr>
          <w:rFonts w:asciiTheme="minorHAnsi" w:hAnsiTheme="minorHAnsi"/>
          <w:sz w:val="22"/>
          <w:lang w:eastAsia="en-US"/>
        </w:rPr>
        <w:t xml:space="preserve">the </w:t>
      </w:r>
      <w:proofErr w:type="gramStart"/>
      <w:r w:rsidR="00884CB4">
        <w:rPr>
          <w:rFonts w:asciiTheme="minorHAnsi" w:hAnsiTheme="minorHAnsi"/>
          <w:sz w:val="22"/>
          <w:lang w:eastAsia="en-US"/>
        </w:rPr>
        <w:t>1,300 metre</w:t>
      </w:r>
      <w:proofErr w:type="gramEnd"/>
      <w:r w:rsidR="00884CB4">
        <w:rPr>
          <w:rFonts w:asciiTheme="minorHAnsi" w:hAnsiTheme="minorHAnsi"/>
          <w:sz w:val="22"/>
          <w:lang w:eastAsia="en-US"/>
        </w:rPr>
        <w:t xml:space="preserve"> buffer reflects</w:t>
      </w:r>
      <w:r>
        <w:rPr>
          <w:rFonts w:asciiTheme="minorHAnsi" w:hAnsiTheme="minorHAnsi"/>
          <w:sz w:val="22"/>
          <w:lang w:eastAsia="en-US"/>
        </w:rPr>
        <w:t xml:space="preserve"> the recommended</w:t>
      </w:r>
      <w:r w:rsidR="00FE607B">
        <w:rPr>
          <w:rFonts w:asciiTheme="minorHAnsi" w:hAnsiTheme="minorHAnsi"/>
          <w:sz w:val="22"/>
          <w:lang w:eastAsia="en-US"/>
        </w:rPr>
        <w:t xml:space="preserve"> separation distance in the </w:t>
      </w:r>
      <w:r>
        <w:rPr>
          <w:rFonts w:asciiTheme="minorHAnsi" w:hAnsiTheme="minorHAnsi"/>
          <w:sz w:val="22"/>
          <w:lang w:eastAsia="en-US"/>
        </w:rPr>
        <w:t>Composting Guideline</w:t>
      </w:r>
      <w:r w:rsidR="00884CB4">
        <w:rPr>
          <w:rFonts w:asciiTheme="minorHAnsi" w:hAnsiTheme="minorHAnsi"/>
          <w:sz w:val="22"/>
          <w:lang w:eastAsia="en-US"/>
        </w:rPr>
        <w:t xml:space="preserve">, but </w:t>
      </w:r>
      <w:r w:rsidR="00E511F7">
        <w:rPr>
          <w:rFonts w:asciiTheme="minorHAnsi" w:hAnsiTheme="minorHAnsi"/>
          <w:sz w:val="22"/>
          <w:lang w:eastAsia="en-US"/>
        </w:rPr>
        <w:t>stated</w:t>
      </w:r>
      <w:r w:rsidR="00884CB4">
        <w:rPr>
          <w:rFonts w:asciiTheme="minorHAnsi" w:hAnsiTheme="minorHAnsi"/>
          <w:sz w:val="22"/>
          <w:lang w:eastAsia="en-US"/>
        </w:rPr>
        <w:t xml:space="preserve"> that ‘this recommendation is a guideline and consideration needs to be given to potential impacts beyond this buffer due to siting and localised environmental conditions’.  </w:t>
      </w:r>
      <w:r w:rsidR="00EB0F16">
        <w:rPr>
          <w:rFonts w:asciiTheme="minorHAnsi" w:hAnsiTheme="minorHAnsi"/>
          <w:sz w:val="22"/>
          <w:lang w:eastAsia="en-US"/>
        </w:rPr>
        <w:t>The EPA further submitted that it ‘is not uncommon for such operations to have off site odour impacts up to 3km from the activity boundaries, exceeding the recommended separation distances’.</w:t>
      </w:r>
      <w:r w:rsidR="00B90824">
        <w:rPr>
          <w:rFonts w:asciiTheme="minorHAnsi" w:hAnsiTheme="minorHAnsi"/>
          <w:sz w:val="22"/>
          <w:lang w:eastAsia="en-US"/>
        </w:rPr>
        <w:t xml:space="preserve">  The EPA recommended </w:t>
      </w:r>
      <w:r w:rsidR="00D43F81">
        <w:rPr>
          <w:rFonts w:asciiTheme="minorHAnsi" w:hAnsiTheme="minorHAnsi"/>
          <w:sz w:val="22"/>
          <w:lang w:eastAsia="en-US"/>
        </w:rPr>
        <w:t xml:space="preserve">that an odour assessment be undertaken for the facility, including odour surveillance and desktop modelling, to determine the extent of the buffer. </w:t>
      </w:r>
    </w:p>
    <w:p w:rsidR="00E07F9F" w:rsidRDefault="00B037E1" w:rsidP="000418F8">
      <w:pPr>
        <w:rPr>
          <w:rFonts w:asciiTheme="minorHAnsi" w:hAnsiTheme="minorHAnsi"/>
          <w:sz w:val="22"/>
          <w:lang w:eastAsia="en-US"/>
        </w:rPr>
      </w:pPr>
      <w:r>
        <w:rPr>
          <w:rFonts w:asciiTheme="minorHAnsi" w:hAnsiTheme="minorHAnsi"/>
          <w:sz w:val="22"/>
          <w:lang w:eastAsia="en-US"/>
        </w:rPr>
        <w:t xml:space="preserve">The </w:t>
      </w:r>
      <w:r w:rsidR="00972624">
        <w:rPr>
          <w:rFonts w:asciiTheme="minorHAnsi" w:hAnsiTheme="minorHAnsi"/>
          <w:sz w:val="22"/>
          <w:lang w:eastAsia="en-US"/>
        </w:rPr>
        <w:t>MWR</w:t>
      </w:r>
      <w:r w:rsidR="00E07F9F">
        <w:rPr>
          <w:rFonts w:asciiTheme="minorHAnsi" w:hAnsiTheme="minorHAnsi"/>
          <w:sz w:val="22"/>
          <w:lang w:eastAsia="en-US"/>
        </w:rPr>
        <w:t>RG</w:t>
      </w:r>
      <w:r>
        <w:rPr>
          <w:rFonts w:asciiTheme="minorHAnsi" w:hAnsiTheme="minorHAnsi"/>
          <w:sz w:val="22"/>
          <w:lang w:eastAsia="en-US"/>
        </w:rPr>
        <w:t xml:space="preserve"> submission noted that the extent of the buffer ‘a</w:t>
      </w:r>
      <w:r w:rsidR="00A85943">
        <w:rPr>
          <w:rFonts w:asciiTheme="minorHAnsi" w:hAnsiTheme="minorHAnsi"/>
          <w:sz w:val="22"/>
          <w:lang w:eastAsia="en-US"/>
        </w:rPr>
        <w:t xml:space="preserve">pplies to existing operations and does not </w:t>
      </w:r>
      <w:proofErr w:type="gramStart"/>
      <w:r w:rsidR="00A85943">
        <w:rPr>
          <w:rFonts w:asciiTheme="minorHAnsi" w:hAnsiTheme="minorHAnsi"/>
          <w:sz w:val="22"/>
          <w:lang w:eastAsia="en-US"/>
        </w:rPr>
        <w:t>take into account</w:t>
      </w:r>
      <w:proofErr w:type="gramEnd"/>
      <w:r w:rsidR="00A85943">
        <w:rPr>
          <w:rFonts w:asciiTheme="minorHAnsi" w:hAnsiTheme="minorHAnsi"/>
          <w:sz w:val="22"/>
          <w:lang w:eastAsia="en-US"/>
        </w:rPr>
        <w:t xml:space="preserve"> potential future capacity’</w:t>
      </w:r>
      <w:r w:rsidR="00972624">
        <w:rPr>
          <w:rFonts w:asciiTheme="minorHAnsi" w:hAnsiTheme="minorHAnsi"/>
          <w:sz w:val="22"/>
          <w:lang w:eastAsia="en-US"/>
        </w:rPr>
        <w:t xml:space="preserve">, but did not otherwise comment on the </w:t>
      </w:r>
      <w:r w:rsidR="006F45F7">
        <w:rPr>
          <w:rFonts w:asciiTheme="minorHAnsi" w:hAnsiTheme="minorHAnsi"/>
          <w:sz w:val="22"/>
          <w:lang w:eastAsia="en-US"/>
        </w:rPr>
        <w:t>distance.</w:t>
      </w:r>
    </w:p>
    <w:p w:rsidR="00CE7E50" w:rsidRPr="000F4D02" w:rsidRDefault="00AD757B" w:rsidP="00CE7E50">
      <w:pPr>
        <w:rPr>
          <w:rFonts w:asciiTheme="minorHAnsi" w:hAnsiTheme="minorHAnsi"/>
          <w:sz w:val="22"/>
          <w:lang w:eastAsia="en-US"/>
        </w:rPr>
      </w:pPr>
      <w:r>
        <w:rPr>
          <w:rFonts w:asciiTheme="minorHAnsi" w:hAnsiTheme="minorHAnsi"/>
          <w:sz w:val="22"/>
          <w:lang w:eastAsia="en-US"/>
        </w:rPr>
        <w:t xml:space="preserve">SV submitted that an amended composting facility buffer should be ‘determined in consultation with the EPA’, </w:t>
      </w:r>
      <w:r w:rsidR="00F80EFA">
        <w:rPr>
          <w:rFonts w:asciiTheme="minorHAnsi" w:hAnsiTheme="minorHAnsi"/>
          <w:sz w:val="22"/>
          <w:lang w:eastAsia="en-US"/>
        </w:rPr>
        <w:t xml:space="preserve">but did not </w:t>
      </w:r>
      <w:r w:rsidR="00C5006F">
        <w:rPr>
          <w:rFonts w:asciiTheme="minorHAnsi" w:hAnsiTheme="minorHAnsi"/>
          <w:sz w:val="22"/>
          <w:lang w:eastAsia="en-US"/>
        </w:rPr>
        <w:t xml:space="preserve">otherwise comment on </w:t>
      </w:r>
      <w:r w:rsidR="00C13260">
        <w:rPr>
          <w:rFonts w:asciiTheme="minorHAnsi" w:hAnsiTheme="minorHAnsi"/>
          <w:sz w:val="22"/>
          <w:lang w:eastAsia="en-US"/>
        </w:rPr>
        <w:t>its extent.</w:t>
      </w:r>
    </w:p>
    <w:p w:rsidR="000418F8" w:rsidRPr="0003001E" w:rsidRDefault="000418F8" w:rsidP="000418F8">
      <w:pPr>
        <w:rPr>
          <w:rFonts w:asciiTheme="minorHAnsi" w:hAnsiTheme="minorHAnsi"/>
          <w:b/>
          <w:i/>
          <w:sz w:val="22"/>
          <w:lang w:eastAsia="en-US"/>
        </w:rPr>
      </w:pPr>
      <w:r w:rsidRPr="0003001E">
        <w:rPr>
          <w:rFonts w:asciiTheme="minorHAnsi" w:hAnsiTheme="minorHAnsi"/>
          <w:b/>
          <w:i/>
          <w:sz w:val="22"/>
          <w:lang w:eastAsia="en-US"/>
        </w:rPr>
        <w:t>VPA submissions and response to evidence</w:t>
      </w:r>
    </w:p>
    <w:p w:rsidR="00457410" w:rsidRDefault="00CF60F9" w:rsidP="00457410">
      <w:pPr>
        <w:rPr>
          <w:rFonts w:asciiTheme="minorHAnsi" w:hAnsiTheme="minorHAnsi"/>
          <w:sz w:val="22"/>
          <w:lang w:eastAsia="en-US"/>
        </w:rPr>
      </w:pPr>
      <w:r>
        <w:rPr>
          <w:rFonts w:asciiTheme="minorHAnsi" w:hAnsiTheme="minorHAnsi"/>
          <w:sz w:val="22"/>
          <w:lang w:eastAsia="en-US"/>
        </w:rPr>
        <w:lastRenderedPageBreak/>
        <w:t>As noted above in relation to the landfill buffer, s</w:t>
      </w:r>
      <w:r w:rsidR="00457410">
        <w:rPr>
          <w:rFonts w:asciiTheme="minorHAnsi" w:hAnsiTheme="minorHAnsi"/>
          <w:sz w:val="22"/>
          <w:lang w:eastAsia="en-US"/>
        </w:rPr>
        <w:t xml:space="preserve">ection 12(2)(b) of </w:t>
      </w:r>
      <w:r>
        <w:rPr>
          <w:rFonts w:asciiTheme="minorHAnsi" w:hAnsiTheme="minorHAnsi"/>
          <w:sz w:val="22"/>
          <w:lang w:eastAsia="en-US"/>
        </w:rPr>
        <w:t>the P&amp;E Act</w:t>
      </w:r>
      <w:r w:rsidR="00457410">
        <w:rPr>
          <w:rFonts w:asciiTheme="minorHAnsi" w:hAnsiTheme="minorHAnsi"/>
          <w:i/>
          <w:sz w:val="22"/>
          <w:lang w:eastAsia="en-US"/>
        </w:rPr>
        <w:t xml:space="preserve"> </w:t>
      </w:r>
      <w:r w:rsidR="00457410">
        <w:rPr>
          <w:rFonts w:asciiTheme="minorHAnsi" w:hAnsiTheme="minorHAnsi"/>
          <w:sz w:val="22"/>
          <w:lang w:eastAsia="en-US"/>
        </w:rPr>
        <w:t xml:space="preserve">requires a planning authority in preparing a planning scheme amendment to </w:t>
      </w:r>
      <w:proofErr w:type="gramStart"/>
      <w:r w:rsidR="00457410">
        <w:rPr>
          <w:rFonts w:asciiTheme="minorHAnsi" w:hAnsiTheme="minorHAnsi"/>
          <w:sz w:val="22"/>
          <w:lang w:eastAsia="en-US"/>
        </w:rPr>
        <w:t>take into account</w:t>
      </w:r>
      <w:proofErr w:type="gramEnd"/>
      <w:r w:rsidR="00457410">
        <w:rPr>
          <w:rFonts w:asciiTheme="minorHAnsi" w:hAnsiTheme="minorHAnsi"/>
          <w:sz w:val="22"/>
          <w:lang w:eastAsia="en-US"/>
        </w:rPr>
        <w:t xml:space="preserve"> any significant effects which it considers the environment might have on any use or development envisaged in the amendment. </w:t>
      </w:r>
    </w:p>
    <w:p w:rsidR="00457410" w:rsidRDefault="00457410" w:rsidP="00457410">
      <w:pPr>
        <w:rPr>
          <w:rFonts w:asciiTheme="minorHAnsi" w:hAnsiTheme="minorHAnsi"/>
          <w:sz w:val="22"/>
          <w:lang w:eastAsia="en-US"/>
        </w:rPr>
      </w:pPr>
      <w:r>
        <w:rPr>
          <w:rFonts w:asciiTheme="minorHAnsi" w:hAnsiTheme="minorHAnsi"/>
          <w:sz w:val="22"/>
          <w:lang w:eastAsia="en-US"/>
        </w:rPr>
        <w:t xml:space="preserve">The VPA recognises that </w:t>
      </w:r>
      <w:r w:rsidR="009D46EA">
        <w:rPr>
          <w:rFonts w:asciiTheme="minorHAnsi" w:hAnsiTheme="minorHAnsi"/>
          <w:sz w:val="22"/>
          <w:lang w:eastAsia="en-US"/>
        </w:rPr>
        <w:t>composting facilities</w:t>
      </w:r>
      <w:r w:rsidR="00210666">
        <w:rPr>
          <w:rFonts w:asciiTheme="minorHAnsi" w:hAnsiTheme="minorHAnsi"/>
          <w:sz w:val="22"/>
          <w:lang w:eastAsia="en-US"/>
        </w:rPr>
        <w:t xml:space="preserve"> have the potential to </w:t>
      </w:r>
      <w:r w:rsidR="00240E77">
        <w:rPr>
          <w:rFonts w:asciiTheme="minorHAnsi" w:hAnsiTheme="minorHAnsi"/>
          <w:sz w:val="22"/>
          <w:lang w:eastAsia="en-US"/>
        </w:rPr>
        <w:t>affect</w:t>
      </w:r>
      <w:r w:rsidR="00210666">
        <w:rPr>
          <w:rFonts w:asciiTheme="minorHAnsi" w:hAnsiTheme="minorHAnsi"/>
          <w:sz w:val="22"/>
          <w:lang w:eastAsia="en-US"/>
        </w:rPr>
        <w:t xml:space="preserve"> human health, amenity and the environment, particularly by </w:t>
      </w:r>
      <w:r w:rsidR="006F7532">
        <w:rPr>
          <w:rFonts w:asciiTheme="minorHAnsi" w:hAnsiTheme="minorHAnsi"/>
          <w:sz w:val="22"/>
          <w:lang w:eastAsia="en-US"/>
        </w:rPr>
        <w:t xml:space="preserve">the generation of odour.  </w:t>
      </w:r>
      <w:r w:rsidR="00B92F3C">
        <w:rPr>
          <w:rFonts w:asciiTheme="minorHAnsi" w:hAnsiTheme="minorHAnsi"/>
          <w:sz w:val="22"/>
          <w:lang w:eastAsia="en-US"/>
        </w:rPr>
        <w:t xml:space="preserve">The VPA considers that Amendment C207, subject to </w:t>
      </w:r>
      <w:proofErr w:type="gramStart"/>
      <w:r w:rsidR="00B92F3C">
        <w:rPr>
          <w:rFonts w:asciiTheme="minorHAnsi" w:hAnsiTheme="minorHAnsi"/>
          <w:sz w:val="22"/>
          <w:lang w:eastAsia="en-US"/>
        </w:rPr>
        <w:t>a number of</w:t>
      </w:r>
      <w:proofErr w:type="gramEnd"/>
      <w:r w:rsidR="00B92F3C">
        <w:rPr>
          <w:rFonts w:asciiTheme="minorHAnsi" w:hAnsiTheme="minorHAnsi"/>
          <w:sz w:val="22"/>
          <w:lang w:eastAsia="en-US"/>
        </w:rPr>
        <w:t xml:space="preserve"> post-exhibition changes summarised below, appropriately takes into account and address those effects.</w:t>
      </w:r>
    </w:p>
    <w:p w:rsidR="00457410" w:rsidRDefault="00B07B3E" w:rsidP="00457410">
      <w:pPr>
        <w:rPr>
          <w:rFonts w:asciiTheme="minorHAnsi" w:hAnsiTheme="minorHAnsi"/>
          <w:sz w:val="22"/>
          <w:lang w:eastAsia="en-US"/>
        </w:rPr>
      </w:pPr>
      <w:r>
        <w:rPr>
          <w:rFonts w:asciiTheme="minorHAnsi" w:hAnsiTheme="minorHAnsi"/>
          <w:sz w:val="22"/>
          <w:lang w:eastAsia="en-US"/>
        </w:rPr>
        <w:t xml:space="preserve">As is also noted above, </w:t>
      </w:r>
      <w:r w:rsidR="00457410">
        <w:rPr>
          <w:rFonts w:asciiTheme="minorHAnsi" w:hAnsiTheme="minorHAnsi"/>
          <w:sz w:val="22"/>
          <w:lang w:eastAsia="en-US"/>
        </w:rPr>
        <w:t>Clause 19.03-5 in the Scheme (Waste and resource recovery) includes the following strategy:</w:t>
      </w:r>
    </w:p>
    <w:p w:rsidR="00457410" w:rsidRPr="006645F5" w:rsidRDefault="00457410" w:rsidP="00457410">
      <w:pPr>
        <w:ind w:left="709"/>
        <w:rPr>
          <w:rFonts w:asciiTheme="minorHAnsi" w:hAnsiTheme="minorHAnsi"/>
          <w:i/>
          <w:sz w:val="22"/>
          <w:lang w:eastAsia="en-US"/>
        </w:rPr>
      </w:pPr>
      <w:r>
        <w:rPr>
          <w:rFonts w:asciiTheme="minorHAnsi" w:hAnsiTheme="minorHAnsi"/>
          <w:i/>
          <w:sz w:val="22"/>
          <w:lang w:eastAsia="en-US"/>
        </w:rPr>
        <w:t>Protect waste and resource recovery infrastructure against encroachment from incompatible land uses by ensuring buffer areas are defined, protected and maintained.</w:t>
      </w:r>
    </w:p>
    <w:p w:rsidR="00457410" w:rsidRDefault="00457410" w:rsidP="00457410">
      <w:pPr>
        <w:rPr>
          <w:rFonts w:asciiTheme="minorHAnsi" w:hAnsiTheme="minorHAnsi"/>
          <w:sz w:val="22"/>
          <w:lang w:eastAsia="en-US"/>
        </w:rPr>
      </w:pPr>
      <w:r>
        <w:rPr>
          <w:rFonts w:asciiTheme="minorHAnsi" w:hAnsiTheme="minorHAnsi"/>
          <w:sz w:val="22"/>
          <w:lang w:eastAsia="en-US"/>
        </w:rPr>
        <w:t xml:space="preserve">Clause 19.03-5 </w:t>
      </w:r>
      <w:r w:rsidRPr="00BB79AE">
        <w:rPr>
          <w:rFonts w:asciiTheme="minorHAnsi" w:hAnsiTheme="minorHAnsi"/>
          <w:sz w:val="22"/>
          <w:lang w:eastAsia="en-US"/>
        </w:rPr>
        <w:t xml:space="preserve">includes the SWRRIP, the Metro Plan and the </w:t>
      </w:r>
      <w:r w:rsidR="00BB79AE" w:rsidRPr="00BB79AE">
        <w:rPr>
          <w:rFonts w:asciiTheme="minorHAnsi" w:hAnsiTheme="minorHAnsi"/>
          <w:sz w:val="22"/>
          <w:lang w:eastAsia="en-US"/>
        </w:rPr>
        <w:t>Composting Guideline</w:t>
      </w:r>
      <w:r w:rsidRPr="00BB79AE">
        <w:rPr>
          <w:rFonts w:asciiTheme="minorHAnsi" w:hAnsiTheme="minorHAnsi"/>
          <w:sz w:val="22"/>
          <w:lang w:eastAsia="en-US"/>
        </w:rPr>
        <w:t xml:space="preserve"> as policy guidelines.</w:t>
      </w:r>
    </w:p>
    <w:p w:rsidR="00457410" w:rsidRPr="00491CFE" w:rsidRDefault="00457410" w:rsidP="00457410">
      <w:pPr>
        <w:rPr>
          <w:rFonts w:asciiTheme="minorHAnsi" w:hAnsiTheme="minorHAnsi"/>
          <w:sz w:val="22"/>
          <w:lang w:eastAsia="en-US"/>
        </w:rPr>
      </w:pPr>
      <w:r w:rsidRPr="00491CFE">
        <w:rPr>
          <w:rFonts w:asciiTheme="minorHAnsi" w:hAnsiTheme="minorHAnsi"/>
          <w:sz w:val="22"/>
          <w:lang w:eastAsia="en-US"/>
        </w:rPr>
        <w:t xml:space="preserve">The extent of the </w:t>
      </w:r>
      <w:r w:rsidR="003C00B5">
        <w:rPr>
          <w:rFonts w:asciiTheme="minorHAnsi" w:hAnsiTheme="minorHAnsi"/>
          <w:sz w:val="22"/>
          <w:lang w:eastAsia="en-US"/>
        </w:rPr>
        <w:t>composting facility</w:t>
      </w:r>
      <w:r w:rsidRPr="00491CFE">
        <w:rPr>
          <w:rFonts w:asciiTheme="minorHAnsi" w:hAnsiTheme="minorHAnsi"/>
          <w:sz w:val="22"/>
          <w:lang w:eastAsia="en-US"/>
        </w:rPr>
        <w:t xml:space="preserve"> buffer, as depicted in the Sunbury South PSP and Schedule 9 to the UGZ, is based on the </w:t>
      </w:r>
      <w:r w:rsidR="001B15F4">
        <w:rPr>
          <w:rFonts w:asciiTheme="minorHAnsi" w:hAnsiTheme="minorHAnsi"/>
          <w:sz w:val="22"/>
          <w:lang w:eastAsia="en-US"/>
        </w:rPr>
        <w:t xml:space="preserve">Composting Guideline and the </w:t>
      </w:r>
      <w:r w:rsidR="00FE607B">
        <w:rPr>
          <w:rFonts w:asciiTheme="minorHAnsi" w:hAnsiTheme="minorHAnsi"/>
          <w:sz w:val="22"/>
          <w:lang w:eastAsia="en-US"/>
        </w:rPr>
        <w:t>Separation Distance Guideline</w:t>
      </w:r>
      <w:r w:rsidR="001B15F4">
        <w:rPr>
          <w:rFonts w:asciiTheme="minorHAnsi" w:hAnsiTheme="minorHAnsi"/>
          <w:sz w:val="22"/>
          <w:lang w:eastAsia="en-US"/>
        </w:rPr>
        <w:t>.</w:t>
      </w:r>
    </w:p>
    <w:p w:rsidR="00B64454" w:rsidRDefault="00891011" w:rsidP="00457410">
      <w:pPr>
        <w:rPr>
          <w:rFonts w:asciiTheme="minorHAnsi" w:hAnsiTheme="minorHAnsi"/>
          <w:sz w:val="22"/>
          <w:lang w:eastAsia="en-US"/>
        </w:rPr>
      </w:pPr>
      <w:r>
        <w:rPr>
          <w:rFonts w:asciiTheme="minorHAnsi" w:hAnsiTheme="minorHAnsi"/>
          <w:sz w:val="22"/>
          <w:lang w:eastAsia="en-US"/>
        </w:rPr>
        <w:t xml:space="preserve">The Separation Distance Guideline sets out the EPA’s recommended separation distances for </w:t>
      </w:r>
      <w:r w:rsidR="00ED1C55">
        <w:rPr>
          <w:rFonts w:asciiTheme="minorHAnsi" w:hAnsiTheme="minorHAnsi"/>
          <w:sz w:val="22"/>
          <w:lang w:eastAsia="en-US"/>
        </w:rPr>
        <w:t>‘off-site residual odour and dust emissions from industries’.</w:t>
      </w:r>
      <w:r w:rsidR="00ED1C55">
        <w:rPr>
          <w:rStyle w:val="FootnoteReference"/>
          <w:rFonts w:asciiTheme="minorHAnsi" w:hAnsiTheme="minorHAnsi"/>
          <w:sz w:val="22"/>
          <w:lang w:eastAsia="en-US"/>
        </w:rPr>
        <w:footnoteReference w:id="70"/>
      </w:r>
      <w:r w:rsidR="00F71BB6">
        <w:rPr>
          <w:rFonts w:asciiTheme="minorHAnsi" w:hAnsiTheme="minorHAnsi"/>
          <w:sz w:val="22"/>
          <w:lang w:eastAsia="en-US"/>
        </w:rPr>
        <w:t xml:space="preserve">  These are </w:t>
      </w:r>
      <w:r w:rsidR="00096D61">
        <w:rPr>
          <w:rFonts w:asciiTheme="minorHAnsi" w:hAnsiTheme="minorHAnsi"/>
          <w:sz w:val="22"/>
          <w:lang w:eastAsia="en-US"/>
        </w:rPr>
        <w:t>listed in Table 1 by industry category.  Table 1 includes ‘green waste composting facility’.</w:t>
      </w:r>
      <w:r w:rsidR="00096D61">
        <w:rPr>
          <w:rStyle w:val="FootnoteReference"/>
          <w:rFonts w:asciiTheme="minorHAnsi" w:hAnsiTheme="minorHAnsi"/>
          <w:sz w:val="22"/>
          <w:lang w:eastAsia="en-US"/>
        </w:rPr>
        <w:footnoteReference w:id="71"/>
      </w:r>
      <w:r w:rsidR="00B64454">
        <w:rPr>
          <w:rFonts w:asciiTheme="minorHAnsi" w:hAnsiTheme="minorHAnsi"/>
          <w:sz w:val="22"/>
          <w:lang w:eastAsia="en-US"/>
        </w:rPr>
        <w:t xml:space="preserve">  It refers to the draft version of the Composting Guideline</w:t>
      </w:r>
      <w:r w:rsidR="00C23D0C">
        <w:rPr>
          <w:rFonts w:asciiTheme="minorHAnsi" w:hAnsiTheme="minorHAnsi"/>
          <w:sz w:val="22"/>
          <w:lang w:eastAsia="en-US"/>
        </w:rPr>
        <w:t>, as this had not been published in final form at the time.</w:t>
      </w:r>
      <w:r w:rsidR="001E3F41">
        <w:rPr>
          <w:rFonts w:asciiTheme="minorHAnsi" w:hAnsiTheme="minorHAnsi"/>
          <w:sz w:val="22"/>
          <w:lang w:eastAsia="en-US"/>
        </w:rPr>
        <w:t xml:space="preserve">  Mr Ramsay has confirmed that the relevant separation distances have not changed between the draft and final versions.</w:t>
      </w:r>
      <w:r w:rsidR="001E3F41">
        <w:rPr>
          <w:rStyle w:val="FootnoteReference"/>
          <w:rFonts w:asciiTheme="minorHAnsi" w:hAnsiTheme="minorHAnsi"/>
          <w:sz w:val="22"/>
          <w:lang w:eastAsia="en-US"/>
        </w:rPr>
        <w:footnoteReference w:id="72"/>
      </w:r>
      <w:r w:rsidR="00B64454">
        <w:rPr>
          <w:rFonts w:asciiTheme="minorHAnsi" w:hAnsiTheme="minorHAnsi"/>
          <w:sz w:val="22"/>
          <w:lang w:eastAsia="en-US"/>
        </w:rPr>
        <w:t xml:space="preserve"> </w:t>
      </w:r>
    </w:p>
    <w:p w:rsidR="0090559E" w:rsidRDefault="008F0A18" w:rsidP="00457410">
      <w:pPr>
        <w:rPr>
          <w:rFonts w:asciiTheme="minorHAnsi" w:hAnsiTheme="minorHAnsi"/>
          <w:sz w:val="22"/>
          <w:lang w:eastAsia="en-US"/>
        </w:rPr>
      </w:pPr>
      <w:r>
        <w:rPr>
          <w:rFonts w:asciiTheme="minorHAnsi" w:hAnsiTheme="minorHAnsi"/>
          <w:sz w:val="22"/>
          <w:lang w:eastAsia="en-US"/>
        </w:rPr>
        <w:t xml:space="preserve">Section 4.1 of the Composting Guideline </w:t>
      </w:r>
      <w:r w:rsidR="0089213E">
        <w:rPr>
          <w:rFonts w:asciiTheme="minorHAnsi" w:hAnsiTheme="minorHAnsi"/>
          <w:sz w:val="22"/>
          <w:lang w:eastAsia="en-US"/>
        </w:rPr>
        <w:t xml:space="preserve">describes </w:t>
      </w:r>
      <w:r w:rsidR="00DF24D3">
        <w:rPr>
          <w:rFonts w:asciiTheme="minorHAnsi" w:hAnsiTheme="minorHAnsi"/>
          <w:sz w:val="22"/>
          <w:lang w:eastAsia="en-US"/>
        </w:rPr>
        <w:t xml:space="preserve">how to calculate separation distances between </w:t>
      </w:r>
      <w:r w:rsidR="00233725">
        <w:rPr>
          <w:rFonts w:asciiTheme="minorHAnsi" w:hAnsiTheme="minorHAnsi"/>
          <w:sz w:val="22"/>
          <w:lang w:eastAsia="en-US"/>
        </w:rPr>
        <w:t>composting facilities and sensitive land uses.</w:t>
      </w:r>
      <w:r w:rsidR="00232316">
        <w:rPr>
          <w:rFonts w:asciiTheme="minorHAnsi" w:hAnsiTheme="minorHAnsi"/>
          <w:sz w:val="22"/>
          <w:lang w:eastAsia="en-US"/>
        </w:rPr>
        <w:t xml:space="preserve">  Section 4.2 includes ‘examples of separation distances’, based on feedstocks, process design and site capacity.</w:t>
      </w:r>
      <w:r w:rsidR="008A1D01">
        <w:rPr>
          <w:rFonts w:asciiTheme="minorHAnsi" w:hAnsiTheme="minorHAnsi"/>
          <w:sz w:val="22"/>
          <w:lang w:eastAsia="en-US"/>
        </w:rPr>
        <w:t xml:space="preserve">  </w:t>
      </w:r>
      <w:r w:rsidR="0090559E">
        <w:rPr>
          <w:rFonts w:asciiTheme="minorHAnsi" w:hAnsiTheme="minorHAnsi"/>
          <w:sz w:val="22"/>
          <w:lang w:eastAsia="en-US"/>
        </w:rPr>
        <w:t>Having regard to the EPA licence for the Veolia facility, it meets the description of ‘reference facility 1’</w:t>
      </w:r>
      <w:r w:rsidR="00C773D6">
        <w:rPr>
          <w:rFonts w:asciiTheme="minorHAnsi" w:hAnsiTheme="minorHAnsi"/>
          <w:sz w:val="22"/>
          <w:lang w:eastAsia="en-US"/>
        </w:rPr>
        <w:t>, to which T</w:t>
      </w:r>
      <w:r w:rsidR="0090559E">
        <w:rPr>
          <w:rFonts w:asciiTheme="minorHAnsi" w:hAnsiTheme="minorHAnsi"/>
          <w:sz w:val="22"/>
          <w:lang w:eastAsia="en-US"/>
        </w:rPr>
        <w:t>able 2 in section 4.2 applies.  This is extracted below:</w:t>
      </w:r>
    </w:p>
    <w:p w:rsidR="00C773D6" w:rsidRDefault="00C773D6" w:rsidP="00C773D6">
      <w:pPr>
        <w:keepNext/>
      </w:pPr>
      <w:r>
        <w:rPr>
          <w:noProof/>
        </w:rPr>
        <w:lastRenderedPageBreak/>
        <w:drawing>
          <wp:inline distT="0" distB="0" distL="0" distR="0" wp14:anchorId="0F991DF9" wp14:editId="4C1149EF">
            <wp:extent cx="5576570" cy="179959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76570" cy="1799590"/>
                    </a:xfrm>
                    <a:prstGeom prst="rect">
                      <a:avLst/>
                    </a:prstGeom>
                  </pic:spPr>
                </pic:pic>
              </a:graphicData>
            </a:graphic>
          </wp:inline>
        </w:drawing>
      </w:r>
    </w:p>
    <w:p w:rsidR="00C773D6" w:rsidRDefault="00C773D6" w:rsidP="00C773D6">
      <w:pPr>
        <w:pStyle w:val="Caption"/>
      </w:pPr>
      <w:r w:rsidRPr="00C773D6">
        <w:rPr>
          <w:rFonts w:asciiTheme="minorHAnsi" w:hAnsiTheme="minorHAnsi" w:cstheme="minorHAnsi"/>
          <w:color w:val="auto"/>
        </w:rPr>
        <w:t xml:space="preserve">Figure </w:t>
      </w:r>
      <w:r w:rsidRPr="00C773D6">
        <w:rPr>
          <w:rFonts w:asciiTheme="minorHAnsi" w:hAnsiTheme="minorHAnsi" w:cstheme="minorHAnsi"/>
          <w:color w:val="auto"/>
        </w:rPr>
        <w:fldChar w:fldCharType="begin"/>
      </w:r>
      <w:r w:rsidRPr="00C773D6">
        <w:rPr>
          <w:rFonts w:asciiTheme="minorHAnsi" w:hAnsiTheme="minorHAnsi" w:cstheme="minorHAnsi"/>
          <w:color w:val="auto"/>
        </w:rPr>
        <w:instrText xml:space="preserve"> SEQ Figure \* ARABIC </w:instrText>
      </w:r>
      <w:r w:rsidRPr="00C773D6">
        <w:rPr>
          <w:rFonts w:asciiTheme="minorHAnsi" w:hAnsiTheme="minorHAnsi" w:cstheme="minorHAnsi"/>
          <w:color w:val="auto"/>
        </w:rPr>
        <w:fldChar w:fldCharType="separate"/>
      </w:r>
      <w:r w:rsidR="00AE1A69">
        <w:rPr>
          <w:rFonts w:asciiTheme="minorHAnsi" w:hAnsiTheme="minorHAnsi" w:cstheme="minorHAnsi"/>
          <w:noProof/>
          <w:color w:val="auto"/>
        </w:rPr>
        <w:t>5</w:t>
      </w:r>
      <w:r w:rsidRPr="00C773D6">
        <w:rPr>
          <w:rFonts w:asciiTheme="minorHAnsi" w:hAnsiTheme="minorHAnsi" w:cstheme="minorHAnsi"/>
          <w:color w:val="auto"/>
        </w:rPr>
        <w:fldChar w:fldCharType="end"/>
      </w:r>
      <w:r w:rsidRPr="00C773D6">
        <w:rPr>
          <w:rFonts w:asciiTheme="minorHAnsi" w:hAnsiTheme="minorHAnsi" w:cstheme="minorHAnsi"/>
          <w:color w:val="auto"/>
        </w:rPr>
        <w:t xml:space="preserve">: </w:t>
      </w:r>
      <w:r w:rsidRPr="004529B9">
        <w:rPr>
          <w:rFonts w:asciiTheme="minorHAnsi" w:hAnsiTheme="minorHAnsi" w:cstheme="minorHAnsi"/>
          <w:color w:val="auto"/>
        </w:rPr>
        <w:t>extract from</w:t>
      </w:r>
      <w:r>
        <w:rPr>
          <w:rFonts w:asciiTheme="minorHAnsi" w:hAnsiTheme="minorHAnsi" w:cstheme="minorHAnsi"/>
          <w:color w:val="auto"/>
        </w:rPr>
        <w:t xml:space="preserve"> Table 2 (reference facility 1) from</w:t>
      </w:r>
      <w:r w:rsidRPr="004529B9">
        <w:rPr>
          <w:rFonts w:asciiTheme="minorHAnsi" w:hAnsiTheme="minorHAnsi" w:cstheme="minorHAnsi"/>
          <w:color w:val="auto"/>
        </w:rPr>
        <w:t xml:space="preserve"> page </w:t>
      </w:r>
      <w:r>
        <w:rPr>
          <w:rFonts w:asciiTheme="minorHAnsi" w:hAnsiTheme="minorHAnsi" w:cstheme="minorHAnsi"/>
          <w:color w:val="auto"/>
        </w:rPr>
        <w:t xml:space="preserve">9 of the Composting Guideline </w:t>
      </w:r>
    </w:p>
    <w:p w:rsidR="00FE607B" w:rsidRDefault="008A1D01" w:rsidP="00457410">
      <w:pPr>
        <w:rPr>
          <w:rFonts w:asciiTheme="minorHAnsi" w:hAnsiTheme="minorHAnsi"/>
          <w:sz w:val="22"/>
          <w:lang w:eastAsia="en-US"/>
        </w:rPr>
      </w:pPr>
      <w:r>
        <w:rPr>
          <w:rFonts w:asciiTheme="minorHAnsi" w:hAnsiTheme="minorHAnsi"/>
          <w:sz w:val="22"/>
          <w:lang w:eastAsia="en-US"/>
        </w:rPr>
        <w:t xml:space="preserve"> </w:t>
      </w:r>
      <w:r w:rsidR="00797C52">
        <w:rPr>
          <w:rFonts w:asciiTheme="minorHAnsi" w:hAnsiTheme="minorHAnsi"/>
          <w:sz w:val="22"/>
          <w:lang w:eastAsia="en-US"/>
        </w:rPr>
        <w:t xml:space="preserve">The </w:t>
      </w:r>
      <w:r w:rsidR="00A90570">
        <w:rPr>
          <w:rFonts w:asciiTheme="minorHAnsi" w:hAnsiTheme="minorHAnsi"/>
          <w:sz w:val="22"/>
          <w:lang w:eastAsia="en-US"/>
        </w:rPr>
        <w:t>Veolia facility is licensed to accept 85,000 t</w:t>
      </w:r>
      <w:r w:rsidR="00E854EF">
        <w:rPr>
          <w:rFonts w:asciiTheme="minorHAnsi" w:hAnsiTheme="minorHAnsi"/>
          <w:sz w:val="22"/>
          <w:lang w:eastAsia="en-US"/>
        </w:rPr>
        <w:t xml:space="preserve">onnes per annum of waste.  The </w:t>
      </w:r>
      <w:proofErr w:type="gramStart"/>
      <w:r w:rsidR="00E854EF">
        <w:rPr>
          <w:rFonts w:asciiTheme="minorHAnsi" w:hAnsiTheme="minorHAnsi"/>
          <w:sz w:val="22"/>
          <w:lang w:eastAsia="en-US"/>
        </w:rPr>
        <w:t>1,300 metre</w:t>
      </w:r>
      <w:proofErr w:type="gramEnd"/>
      <w:r w:rsidR="00E854EF">
        <w:rPr>
          <w:rFonts w:asciiTheme="minorHAnsi" w:hAnsiTheme="minorHAnsi"/>
          <w:sz w:val="22"/>
          <w:lang w:eastAsia="en-US"/>
        </w:rPr>
        <w:t xml:space="preserve"> separation distance</w:t>
      </w:r>
      <w:r w:rsidR="00CA06AE">
        <w:rPr>
          <w:rFonts w:asciiTheme="minorHAnsi" w:hAnsiTheme="minorHAnsi"/>
          <w:sz w:val="22"/>
          <w:lang w:eastAsia="en-US"/>
        </w:rPr>
        <w:t xml:space="preserve"> in the PSP</w:t>
      </w:r>
      <w:r w:rsidR="00E854EF">
        <w:rPr>
          <w:rFonts w:asciiTheme="minorHAnsi" w:hAnsiTheme="minorHAnsi"/>
          <w:sz w:val="22"/>
          <w:lang w:eastAsia="en-US"/>
        </w:rPr>
        <w:t xml:space="preserve"> has </w:t>
      </w:r>
      <w:r w:rsidR="006E42A4">
        <w:rPr>
          <w:rFonts w:asciiTheme="minorHAnsi" w:hAnsiTheme="minorHAnsi"/>
          <w:sz w:val="22"/>
          <w:lang w:eastAsia="en-US"/>
        </w:rPr>
        <w:t xml:space="preserve">been determined by reference to </w:t>
      </w:r>
      <w:r w:rsidR="000822FA">
        <w:rPr>
          <w:rFonts w:asciiTheme="minorHAnsi" w:hAnsiTheme="minorHAnsi"/>
          <w:sz w:val="22"/>
          <w:lang w:eastAsia="en-US"/>
        </w:rPr>
        <w:t>the separation distance examp</w:t>
      </w:r>
      <w:r w:rsidR="006E42A4">
        <w:rPr>
          <w:rFonts w:asciiTheme="minorHAnsi" w:hAnsiTheme="minorHAnsi"/>
          <w:sz w:val="22"/>
          <w:lang w:eastAsia="en-US"/>
        </w:rPr>
        <w:t>les provided for a plant accepting 75,000 tonnes and a plant accepting 90,000.</w:t>
      </w:r>
    </w:p>
    <w:p w:rsidR="00E824C6" w:rsidRDefault="00E824C6" w:rsidP="00457410">
      <w:pPr>
        <w:rPr>
          <w:rFonts w:asciiTheme="minorHAnsi" w:hAnsiTheme="minorHAnsi"/>
          <w:sz w:val="22"/>
          <w:lang w:eastAsia="en-US"/>
        </w:rPr>
      </w:pPr>
      <w:r>
        <w:rPr>
          <w:rFonts w:asciiTheme="minorHAnsi" w:hAnsiTheme="minorHAnsi"/>
          <w:sz w:val="22"/>
          <w:lang w:eastAsia="en-US"/>
        </w:rPr>
        <w:t xml:space="preserve">The </w:t>
      </w:r>
      <w:proofErr w:type="gramStart"/>
      <w:r>
        <w:rPr>
          <w:rFonts w:asciiTheme="minorHAnsi" w:hAnsiTheme="minorHAnsi"/>
          <w:sz w:val="22"/>
          <w:lang w:eastAsia="en-US"/>
        </w:rPr>
        <w:t>1,300 metre</w:t>
      </w:r>
      <w:proofErr w:type="gramEnd"/>
      <w:r>
        <w:rPr>
          <w:rFonts w:asciiTheme="minorHAnsi" w:hAnsiTheme="minorHAnsi"/>
          <w:sz w:val="22"/>
          <w:lang w:eastAsia="en-US"/>
        </w:rPr>
        <w:t xml:space="preserve"> separation distance is supported by the </w:t>
      </w:r>
      <w:r w:rsidR="00A32171">
        <w:rPr>
          <w:rFonts w:asciiTheme="minorHAnsi" w:hAnsiTheme="minorHAnsi"/>
          <w:sz w:val="22"/>
          <w:lang w:eastAsia="en-US"/>
        </w:rPr>
        <w:t xml:space="preserve">expert </w:t>
      </w:r>
      <w:r>
        <w:rPr>
          <w:rFonts w:asciiTheme="minorHAnsi" w:hAnsiTheme="minorHAnsi"/>
          <w:sz w:val="22"/>
          <w:lang w:eastAsia="en-US"/>
        </w:rPr>
        <w:t xml:space="preserve">evidence of both Mr Ramsay and Mr </w:t>
      </w:r>
      <w:proofErr w:type="spellStart"/>
      <w:r>
        <w:rPr>
          <w:rFonts w:asciiTheme="minorHAnsi" w:hAnsiTheme="minorHAnsi"/>
          <w:sz w:val="22"/>
          <w:lang w:eastAsia="en-US"/>
        </w:rPr>
        <w:t>Assal</w:t>
      </w:r>
      <w:proofErr w:type="spellEnd"/>
      <w:r>
        <w:rPr>
          <w:rFonts w:asciiTheme="minorHAnsi" w:hAnsiTheme="minorHAnsi"/>
          <w:sz w:val="22"/>
          <w:lang w:eastAsia="en-US"/>
        </w:rPr>
        <w:t>.</w:t>
      </w:r>
      <w:r>
        <w:rPr>
          <w:rStyle w:val="FootnoteReference"/>
          <w:rFonts w:asciiTheme="minorHAnsi" w:hAnsiTheme="minorHAnsi"/>
          <w:sz w:val="22"/>
          <w:lang w:eastAsia="en-US"/>
        </w:rPr>
        <w:footnoteReference w:id="73"/>
      </w:r>
    </w:p>
    <w:p w:rsidR="003C5833" w:rsidRDefault="00C67055" w:rsidP="00457410">
      <w:pPr>
        <w:rPr>
          <w:rFonts w:asciiTheme="minorHAnsi" w:hAnsiTheme="minorHAnsi"/>
          <w:sz w:val="22"/>
          <w:lang w:eastAsia="en-US"/>
        </w:rPr>
      </w:pPr>
      <w:r>
        <w:rPr>
          <w:rFonts w:asciiTheme="minorHAnsi" w:hAnsiTheme="minorHAnsi"/>
          <w:sz w:val="22"/>
          <w:lang w:eastAsia="en-US"/>
        </w:rPr>
        <w:t>The GHD</w:t>
      </w:r>
      <w:r w:rsidR="001E135F">
        <w:rPr>
          <w:rFonts w:asciiTheme="minorHAnsi" w:hAnsiTheme="minorHAnsi"/>
          <w:sz w:val="22"/>
          <w:lang w:eastAsia="en-US"/>
        </w:rPr>
        <w:t xml:space="preserve"> report accepts </w:t>
      </w:r>
      <w:r w:rsidR="00817970">
        <w:rPr>
          <w:rFonts w:asciiTheme="minorHAnsi" w:hAnsiTheme="minorHAnsi"/>
          <w:sz w:val="22"/>
          <w:lang w:eastAsia="en-US"/>
        </w:rPr>
        <w:t>1,300 metre</w:t>
      </w:r>
      <w:r w:rsidR="00AA45E0">
        <w:rPr>
          <w:rFonts w:asciiTheme="minorHAnsi" w:hAnsiTheme="minorHAnsi"/>
          <w:sz w:val="22"/>
          <w:lang w:eastAsia="en-US"/>
        </w:rPr>
        <w:t>s</w:t>
      </w:r>
      <w:r w:rsidR="00817970">
        <w:rPr>
          <w:rFonts w:asciiTheme="minorHAnsi" w:hAnsiTheme="minorHAnsi"/>
          <w:sz w:val="22"/>
          <w:lang w:eastAsia="en-US"/>
        </w:rPr>
        <w:t xml:space="preserve"> as </w:t>
      </w:r>
      <w:r w:rsidR="006F3684">
        <w:rPr>
          <w:rFonts w:asciiTheme="minorHAnsi" w:hAnsiTheme="minorHAnsi"/>
          <w:sz w:val="22"/>
          <w:lang w:eastAsia="en-US"/>
        </w:rPr>
        <w:t>the</w:t>
      </w:r>
      <w:r w:rsidR="00817970">
        <w:rPr>
          <w:rFonts w:asciiTheme="minorHAnsi" w:hAnsiTheme="minorHAnsi"/>
          <w:sz w:val="22"/>
          <w:lang w:eastAsia="en-US"/>
        </w:rPr>
        <w:t xml:space="preserve"> ‘default’ </w:t>
      </w:r>
      <w:r w:rsidR="006F3684">
        <w:rPr>
          <w:rFonts w:asciiTheme="minorHAnsi" w:hAnsiTheme="minorHAnsi"/>
          <w:sz w:val="22"/>
          <w:lang w:eastAsia="en-US"/>
        </w:rPr>
        <w:t>buffer</w:t>
      </w:r>
      <w:r w:rsidR="00817970">
        <w:rPr>
          <w:rFonts w:asciiTheme="minorHAnsi" w:hAnsiTheme="minorHAnsi"/>
          <w:sz w:val="22"/>
          <w:lang w:eastAsia="en-US"/>
        </w:rPr>
        <w:t xml:space="preserve"> for </w:t>
      </w:r>
      <w:r w:rsidR="006F3684">
        <w:rPr>
          <w:rFonts w:asciiTheme="minorHAnsi" w:hAnsiTheme="minorHAnsi"/>
          <w:sz w:val="22"/>
          <w:lang w:eastAsia="en-US"/>
        </w:rPr>
        <w:t>its</w:t>
      </w:r>
      <w:r w:rsidR="00817970">
        <w:rPr>
          <w:rFonts w:asciiTheme="minorHAnsi" w:hAnsiTheme="minorHAnsi"/>
          <w:sz w:val="22"/>
          <w:lang w:eastAsia="en-US"/>
        </w:rPr>
        <w:t xml:space="preserve"> site-specific assessment of the facility.</w:t>
      </w:r>
      <w:r w:rsidR="0038788D">
        <w:rPr>
          <w:rStyle w:val="FootnoteReference"/>
          <w:rFonts w:asciiTheme="minorHAnsi" w:hAnsiTheme="minorHAnsi"/>
          <w:sz w:val="22"/>
          <w:lang w:eastAsia="en-US"/>
        </w:rPr>
        <w:footnoteReference w:id="74"/>
      </w:r>
      <w:r w:rsidR="00153E37">
        <w:rPr>
          <w:rFonts w:asciiTheme="minorHAnsi" w:hAnsiTheme="minorHAnsi"/>
          <w:sz w:val="22"/>
          <w:lang w:eastAsia="en-US"/>
        </w:rPr>
        <w:t xml:space="preserve">  The assessment includes</w:t>
      </w:r>
      <w:r w:rsidR="003C5833">
        <w:rPr>
          <w:rFonts w:asciiTheme="minorHAnsi" w:hAnsiTheme="minorHAnsi"/>
          <w:sz w:val="22"/>
          <w:lang w:eastAsia="en-US"/>
        </w:rPr>
        <w:t xml:space="preserve"> odour modelling of two scenarios:</w:t>
      </w:r>
    </w:p>
    <w:p w:rsidR="003C5833" w:rsidRDefault="003F1083" w:rsidP="003340E2">
      <w:pPr>
        <w:pStyle w:val="ListParagraph"/>
        <w:numPr>
          <w:ilvl w:val="0"/>
          <w:numId w:val="31"/>
        </w:numPr>
      </w:pPr>
      <w:r>
        <w:t>the current facility based on recent observations and measurements; and</w:t>
      </w:r>
    </w:p>
    <w:p w:rsidR="003F1083" w:rsidRDefault="00500D5D" w:rsidP="003340E2">
      <w:pPr>
        <w:pStyle w:val="ListParagraph"/>
        <w:numPr>
          <w:ilvl w:val="0"/>
          <w:numId w:val="31"/>
        </w:numPr>
      </w:pPr>
      <w:r>
        <w:t>if the raw green waste receival pad at the facility were enclosed, with the captured emissions treated through a biofilter.</w:t>
      </w:r>
      <w:r>
        <w:rPr>
          <w:rStyle w:val="FootnoteReference"/>
        </w:rPr>
        <w:footnoteReference w:id="75"/>
      </w:r>
      <w:r w:rsidR="00106801">
        <w:t xml:space="preserve">  </w:t>
      </w:r>
    </w:p>
    <w:p w:rsidR="00106801" w:rsidRPr="003C5833" w:rsidRDefault="00106801" w:rsidP="00106801">
      <w:r w:rsidRPr="00106801">
        <w:rPr>
          <w:rFonts w:asciiTheme="minorHAnsi" w:hAnsiTheme="minorHAnsi"/>
          <w:sz w:val="22"/>
          <w:lang w:eastAsia="en-US"/>
        </w:rPr>
        <w:t xml:space="preserve">The GHD report concludes </w:t>
      </w:r>
      <w:proofErr w:type="gramStart"/>
      <w:r w:rsidRPr="00106801">
        <w:rPr>
          <w:rFonts w:asciiTheme="minorHAnsi" w:hAnsiTheme="minorHAnsi"/>
          <w:sz w:val="22"/>
          <w:lang w:eastAsia="en-US"/>
        </w:rPr>
        <w:t>on the basis of</w:t>
      </w:r>
      <w:proofErr w:type="gramEnd"/>
      <w:r w:rsidRPr="00106801">
        <w:rPr>
          <w:rFonts w:asciiTheme="minorHAnsi" w:hAnsiTheme="minorHAnsi"/>
          <w:sz w:val="22"/>
          <w:lang w:eastAsia="en-US"/>
        </w:rPr>
        <w:t xml:space="preserve"> </w:t>
      </w:r>
      <w:r w:rsidR="003A1553">
        <w:rPr>
          <w:rFonts w:asciiTheme="minorHAnsi" w:hAnsiTheme="minorHAnsi"/>
          <w:sz w:val="22"/>
          <w:lang w:eastAsia="en-US"/>
        </w:rPr>
        <w:t xml:space="preserve">its modelling that </w:t>
      </w:r>
      <w:r w:rsidR="00111520">
        <w:rPr>
          <w:rFonts w:asciiTheme="minorHAnsi" w:hAnsiTheme="minorHAnsi"/>
          <w:sz w:val="22"/>
          <w:lang w:eastAsia="en-US"/>
        </w:rPr>
        <w:t>the first scenario requires a buffer larger than 1,300 metres</w:t>
      </w:r>
      <w:r w:rsidR="008F2E02">
        <w:rPr>
          <w:rFonts w:asciiTheme="minorHAnsi" w:hAnsiTheme="minorHAnsi"/>
          <w:sz w:val="22"/>
          <w:lang w:eastAsia="en-US"/>
        </w:rPr>
        <w:t>, and the second scenario results in a significantly reduced buffer of approximately 600 metres.</w:t>
      </w:r>
      <w:r w:rsidR="008F2E02">
        <w:rPr>
          <w:rStyle w:val="FootnoteReference"/>
          <w:rFonts w:asciiTheme="minorHAnsi" w:hAnsiTheme="minorHAnsi"/>
          <w:sz w:val="22"/>
          <w:lang w:eastAsia="en-US"/>
        </w:rPr>
        <w:footnoteReference w:id="76"/>
      </w:r>
    </w:p>
    <w:p w:rsidR="009016D9" w:rsidRDefault="005F3EB4" w:rsidP="00457410">
      <w:pPr>
        <w:rPr>
          <w:rFonts w:asciiTheme="minorHAnsi" w:hAnsiTheme="minorHAnsi"/>
          <w:sz w:val="22"/>
          <w:lang w:eastAsia="en-US"/>
        </w:rPr>
      </w:pPr>
      <w:r w:rsidRPr="005F3EB4">
        <w:rPr>
          <w:rFonts w:asciiTheme="minorHAnsi" w:hAnsiTheme="minorHAnsi"/>
          <w:sz w:val="22"/>
          <w:lang w:eastAsia="en-US"/>
        </w:rPr>
        <w:t xml:space="preserve">Mr </w:t>
      </w:r>
      <w:r>
        <w:rPr>
          <w:rFonts w:asciiTheme="minorHAnsi" w:hAnsiTheme="minorHAnsi"/>
          <w:sz w:val="22"/>
          <w:lang w:eastAsia="en-US"/>
        </w:rPr>
        <w:t xml:space="preserve">Ramsay and Mr </w:t>
      </w:r>
      <w:proofErr w:type="spellStart"/>
      <w:r>
        <w:rPr>
          <w:rFonts w:asciiTheme="minorHAnsi" w:hAnsiTheme="minorHAnsi"/>
          <w:sz w:val="22"/>
          <w:lang w:eastAsia="en-US"/>
        </w:rPr>
        <w:t>Assal’s</w:t>
      </w:r>
      <w:proofErr w:type="spellEnd"/>
      <w:r>
        <w:rPr>
          <w:rFonts w:asciiTheme="minorHAnsi" w:hAnsiTheme="minorHAnsi"/>
          <w:sz w:val="22"/>
          <w:lang w:eastAsia="en-US"/>
        </w:rPr>
        <w:t xml:space="preserve"> expert reports include peer reviews of the GHD report.</w:t>
      </w:r>
      <w:r w:rsidR="00862F1E">
        <w:rPr>
          <w:rFonts w:asciiTheme="minorHAnsi" w:hAnsiTheme="minorHAnsi"/>
          <w:sz w:val="22"/>
          <w:lang w:eastAsia="en-US"/>
        </w:rPr>
        <w:t xml:space="preserve">  Both</w:t>
      </w:r>
      <w:r w:rsidR="009016D9">
        <w:rPr>
          <w:rFonts w:asciiTheme="minorHAnsi" w:hAnsiTheme="minorHAnsi"/>
          <w:sz w:val="22"/>
          <w:lang w:eastAsia="en-US"/>
        </w:rPr>
        <w:t xml:space="preserve"> raise concerns with</w:t>
      </w:r>
      <w:r w:rsidR="005E4C93">
        <w:rPr>
          <w:rFonts w:asciiTheme="minorHAnsi" w:hAnsiTheme="minorHAnsi"/>
          <w:sz w:val="22"/>
          <w:lang w:eastAsia="en-US"/>
        </w:rPr>
        <w:t xml:space="preserve"> the</w:t>
      </w:r>
      <w:r w:rsidR="009016D9">
        <w:rPr>
          <w:rFonts w:asciiTheme="minorHAnsi" w:hAnsiTheme="minorHAnsi"/>
          <w:sz w:val="22"/>
          <w:lang w:eastAsia="en-US"/>
        </w:rPr>
        <w:t xml:space="preserve"> </w:t>
      </w:r>
      <w:r w:rsidR="00B02B71">
        <w:rPr>
          <w:rFonts w:asciiTheme="minorHAnsi" w:hAnsiTheme="minorHAnsi"/>
          <w:sz w:val="22"/>
          <w:lang w:eastAsia="en-US"/>
        </w:rPr>
        <w:t>data, methodology, assumptions and findings</w:t>
      </w:r>
      <w:r w:rsidR="009016D9">
        <w:rPr>
          <w:rFonts w:asciiTheme="minorHAnsi" w:hAnsiTheme="minorHAnsi"/>
          <w:sz w:val="22"/>
          <w:lang w:eastAsia="en-US"/>
        </w:rPr>
        <w:t xml:space="preserve"> in the GHD report and conclude that the report does not provide an appropriate basis on which to justify a site-specific variation to the </w:t>
      </w:r>
      <w:proofErr w:type="gramStart"/>
      <w:r w:rsidR="009016D9">
        <w:rPr>
          <w:rFonts w:asciiTheme="minorHAnsi" w:hAnsiTheme="minorHAnsi"/>
          <w:sz w:val="22"/>
          <w:lang w:eastAsia="en-US"/>
        </w:rPr>
        <w:t>1,300 metre</w:t>
      </w:r>
      <w:proofErr w:type="gramEnd"/>
      <w:r w:rsidR="009016D9">
        <w:rPr>
          <w:rFonts w:asciiTheme="minorHAnsi" w:hAnsiTheme="minorHAnsi"/>
          <w:sz w:val="22"/>
          <w:lang w:eastAsia="en-US"/>
        </w:rPr>
        <w:t xml:space="preserve"> buffer.</w:t>
      </w:r>
      <w:r w:rsidR="009016D9">
        <w:rPr>
          <w:rStyle w:val="FootnoteReference"/>
          <w:rFonts w:asciiTheme="minorHAnsi" w:hAnsiTheme="minorHAnsi"/>
          <w:sz w:val="22"/>
          <w:lang w:eastAsia="en-US"/>
        </w:rPr>
        <w:footnoteReference w:id="77"/>
      </w:r>
    </w:p>
    <w:p w:rsidR="003C5833" w:rsidRDefault="009B1A90" w:rsidP="00457410">
      <w:pPr>
        <w:rPr>
          <w:rFonts w:asciiTheme="minorHAnsi" w:hAnsiTheme="minorHAnsi"/>
          <w:sz w:val="22"/>
          <w:lang w:eastAsia="en-US"/>
        </w:rPr>
      </w:pPr>
      <w:r>
        <w:rPr>
          <w:rFonts w:asciiTheme="minorHAnsi" w:hAnsiTheme="minorHAnsi"/>
          <w:sz w:val="22"/>
          <w:lang w:eastAsia="en-US"/>
        </w:rPr>
        <w:lastRenderedPageBreak/>
        <w:t>Mr Ramsay</w:t>
      </w:r>
      <w:r w:rsidR="00484813">
        <w:rPr>
          <w:rFonts w:asciiTheme="minorHAnsi" w:hAnsiTheme="minorHAnsi"/>
          <w:sz w:val="22"/>
          <w:lang w:eastAsia="en-US"/>
        </w:rPr>
        <w:t xml:space="preserve"> accepts</w:t>
      </w:r>
      <w:r w:rsidR="002258F7">
        <w:rPr>
          <w:rFonts w:asciiTheme="minorHAnsi" w:hAnsiTheme="minorHAnsi"/>
          <w:sz w:val="22"/>
          <w:lang w:eastAsia="en-US"/>
        </w:rPr>
        <w:t xml:space="preserve"> it may be inferred from the GHD report that ‘if the receival area is fully enclosed and fugitive emissions are minimised then impacts on sensitive receptors would be reduced’.</w:t>
      </w:r>
      <w:r w:rsidR="002258F7">
        <w:rPr>
          <w:rStyle w:val="FootnoteReference"/>
          <w:rFonts w:asciiTheme="minorHAnsi" w:hAnsiTheme="minorHAnsi"/>
          <w:sz w:val="22"/>
          <w:lang w:eastAsia="en-US"/>
        </w:rPr>
        <w:footnoteReference w:id="78"/>
      </w:r>
      <w:r w:rsidR="00F708E4">
        <w:rPr>
          <w:rFonts w:asciiTheme="minorHAnsi" w:hAnsiTheme="minorHAnsi"/>
          <w:sz w:val="22"/>
          <w:lang w:eastAsia="en-US"/>
        </w:rPr>
        <w:t xml:space="preserve">  He concludes that:</w:t>
      </w:r>
      <w:r w:rsidR="00360ABA">
        <w:rPr>
          <w:rStyle w:val="FootnoteReference"/>
          <w:rFonts w:asciiTheme="minorHAnsi" w:hAnsiTheme="minorHAnsi"/>
          <w:sz w:val="22"/>
          <w:lang w:eastAsia="en-US"/>
        </w:rPr>
        <w:footnoteReference w:id="79"/>
      </w:r>
    </w:p>
    <w:p w:rsidR="00F708E4" w:rsidRPr="00F708E4" w:rsidRDefault="00F708E4" w:rsidP="00F708E4">
      <w:pPr>
        <w:ind w:left="709"/>
        <w:rPr>
          <w:rFonts w:asciiTheme="minorHAnsi" w:hAnsiTheme="minorHAnsi"/>
          <w:i/>
          <w:sz w:val="22"/>
          <w:lang w:eastAsia="en-US"/>
        </w:rPr>
      </w:pPr>
      <w:r>
        <w:rPr>
          <w:rFonts w:asciiTheme="minorHAnsi" w:hAnsiTheme="minorHAnsi"/>
          <w:i/>
          <w:sz w:val="22"/>
          <w:lang w:eastAsia="en-US"/>
        </w:rPr>
        <w:t>In the future, should the receival area of the Veolia facility be totally enclosed there would be a basis to consider a reduction in the separation distance based on the criteria for a variation to recommended separation distances in [the Separation Distance Guideline].</w:t>
      </w:r>
    </w:p>
    <w:p w:rsidR="009B1A90" w:rsidRPr="0030317B" w:rsidRDefault="009B1A90" w:rsidP="00457410">
      <w:pPr>
        <w:rPr>
          <w:rFonts w:asciiTheme="minorHAnsi" w:hAnsiTheme="minorHAnsi"/>
          <w:sz w:val="22"/>
          <w:lang w:eastAsia="en-US"/>
        </w:rPr>
      </w:pPr>
      <w:r>
        <w:rPr>
          <w:rFonts w:asciiTheme="minorHAnsi" w:hAnsiTheme="minorHAnsi"/>
          <w:sz w:val="22"/>
          <w:lang w:eastAsia="en-US"/>
        </w:rPr>
        <w:t xml:space="preserve">Mr </w:t>
      </w:r>
      <w:proofErr w:type="spellStart"/>
      <w:r>
        <w:rPr>
          <w:rFonts w:asciiTheme="minorHAnsi" w:hAnsiTheme="minorHAnsi"/>
          <w:sz w:val="22"/>
          <w:lang w:eastAsia="en-US"/>
        </w:rPr>
        <w:t>Assal</w:t>
      </w:r>
      <w:proofErr w:type="spellEnd"/>
      <w:r>
        <w:rPr>
          <w:rFonts w:asciiTheme="minorHAnsi" w:hAnsiTheme="minorHAnsi"/>
          <w:sz w:val="22"/>
          <w:lang w:eastAsia="en-US"/>
        </w:rPr>
        <w:t xml:space="preserve"> observes that, to his knowledge, </w:t>
      </w:r>
      <w:r w:rsidR="005E601F">
        <w:rPr>
          <w:rFonts w:asciiTheme="minorHAnsi" w:hAnsiTheme="minorHAnsi"/>
          <w:sz w:val="22"/>
          <w:lang w:eastAsia="en-US"/>
        </w:rPr>
        <w:t xml:space="preserve">no cost/benefit </w:t>
      </w:r>
      <w:r w:rsidR="00FC1E6C">
        <w:rPr>
          <w:rFonts w:asciiTheme="minorHAnsi" w:hAnsiTheme="minorHAnsi"/>
          <w:sz w:val="22"/>
          <w:lang w:eastAsia="en-US"/>
        </w:rPr>
        <w:t>analysis</w:t>
      </w:r>
      <w:r w:rsidR="005E601F">
        <w:rPr>
          <w:rFonts w:asciiTheme="minorHAnsi" w:hAnsiTheme="minorHAnsi"/>
          <w:sz w:val="22"/>
          <w:lang w:eastAsia="en-US"/>
        </w:rPr>
        <w:t xml:space="preserve"> of enclosing the receival </w:t>
      </w:r>
      <w:r w:rsidR="00FC1E6C">
        <w:rPr>
          <w:rFonts w:asciiTheme="minorHAnsi" w:hAnsiTheme="minorHAnsi"/>
          <w:sz w:val="22"/>
          <w:lang w:eastAsia="en-US"/>
        </w:rPr>
        <w:t>area</w:t>
      </w:r>
      <w:r w:rsidR="005E601F">
        <w:rPr>
          <w:rFonts w:asciiTheme="minorHAnsi" w:hAnsiTheme="minorHAnsi"/>
          <w:sz w:val="22"/>
          <w:lang w:eastAsia="en-US"/>
        </w:rPr>
        <w:t xml:space="preserve"> has been undertaken ‘to evaluate its technical viability and benefit with respect to the odour outcomes, </w:t>
      </w:r>
      <w:r w:rsidR="005E601F" w:rsidRPr="0030317B">
        <w:rPr>
          <w:rFonts w:asciiTheme="minorHAnsi" w:hAnsiTheme="minorHAnsi"/>
          <w:sz w:val="22"/>
          <w:lang w:eastAsia="en-US"/>
        </w:rPr>
        <w:t>and considers that ‘this may not necessarily be the most effective use of resources’.</w:t>
      </w:r>
      <w:r w:rsidR="00C94D51" w:rsidRPr="0030317B">
        <w:rPr>
          <w:rStyle w:val="FootnoteReference"/>
          <w:rFonts w:asciiTheme="minorHAnsi" w:hAnsiTheme="minorHAnsi"/>
          <w:sz w:val="22"/>
          <w:lang w:eastAsia="en-US"/>
        </w:rPr>
        <w:footnoteReference w:id="80"/>
      </w:r>
      <w:r w:rsidRPr="0030317B">
        <w:rPr>
          <w:rFonts w:asciiTheme="minorHAnsi" w:hAnsiTheme="minorHAnsi"/>
          <w:sz w:val="22"/>
          <w:lang w:eastAsia="en-US"/>
        </w:rPr>
        <w:t xml:space="preserve"> </w:t>
      </w:r>
    </w:p>
    <w:p w:rsidR="0003001E" w:rsidRPr="0030317B" w:rsidRDefault="0003001E" w:rsidP="0003001E">
      <w:pPr>
        <w:rPr>
          <w:rFonts w:asciiTheme="minorHAnsi" w:hAnsiTheme="minorHAnsi"/>
          <w:b/>
          <w:i/>
          <w:sz w:val="22"/>
          <w:lang w:eastAsia="en-US"/>
        </w:rPr>
      </w:pPr>
      <w:r w:rsidRPr="0030317B">
        <w:rPr>
          <w:rFonts w:asciiTheme="minorHAnsi" w:hAnsiTheme="minorHAnsi"/>
          <w:b/>
          <w:i/>
          <w:sz w:val="22"/>
          <w:lang w:eastAsia="en-US"/>
        </w:rPr>
        <w:t>VPA position</w:t>
      </w:r>
    </w:p>
    <w:p w:rsidR="0003001E" w:rsidRDefault="0030317B" w:rsidP="0003001E">
      <w:pPr>
        <w:rPr>
          <w:rFonts w:asciiTheme="minorHAnsi" w:hAnsiTheme="minorHAnsi"/>
          <w:sz w:val="22"/>
          <w:lang w:eastAsia="en-US"/>
        </w:rPr>
      </w:pPr>
      <w:r>
        <w:rPr>
          <w:rFonts w:asciiTheme="minorHAnsi" w:hAnsiTheme="minorHAnsi"/>
          <w:sz w:val="22"/>
          <w:lang w:eastAsia="en-US"/>
        </w:rPr>
        <w:t xml:space="preserve">The VPA considers the expert evidence to support the </w:t>
      </w:r>
      <w:proofErr w:type="gramStart"/>
      <w:r w:rsidR="003F6654">
        <w:rPr>
          <w:rFonts w:asciiTheme="minorHAnsi" w:hAnsiTheme="minorHAnsi"/>
          <w:sz w:val="22"/>
          <w:lang w:eastAsia="en-US"/>
        </w:rPr>
        <w:t>1,300 metre</w:t>
      </w:r>
      <w:proofErr w:type="gramEnd"/>
      <w:r w:rsidR="003F6654">
        <w:rPr>
          <w:rFonts w:asciiTheme="minorHAnsi" w:hAnsiTheme="minorHAnsi"/>
          <w:sz w:val="22"/>
          <w:lang w:eastAsia="en-US"/>
        </w:rPr>
        <w:t xml:space="preserve"> </w:t>
      </w:r>
      <w:r w:rsidR="00E560AE">
        <w:rPr>
          <w:rFonts w:asciiTheme="minorHAnsi" w:hAnsiTheme="minorHAnsi"/>
          <w:sz w:val="22"/>
          <w:lang w:eastAsia="en-US"/>
        </w:rPr>
        <w:t>separation distance</w:t>
      </w:r>
      <w:r w:rsidR="003F6654">
        <w:rPr>
          <w:rFonts w:asciiTheme="minorHAnsi" w:hAnsiTheme="minorHAnsi"/>
          <w:sz w:val="22"/>
          <w:lang w:eastAsia="en-US"/>
        </w:rPr>
        <w:t xml:space="preserve"> in the Sunbury South PSP and Schedule 9 to the UGZ.</w:t>
      </w:r>
    </w:p>
    <w:p w:rsidR="00EE4B83" w:rsidRDefault="00EE4B83" w:rsidP="0003001E">
      <w:pPr>
        <w:rPr>
          <w:rFonts w:asciiTheme="minorHAnsi" w:hAnsiTheme="minorHAnsi"/>
          <w:sz w:val="22"/>
          <w:lang w:eastAsia="en-US"/>
        </w:rPr>
      </w:pPr>
      <w:r>
        <w:rPr>
          <w:rFonts w:asciiTheme="minorHAnsi" w:hAnsiTheme="minorHAnsi"/>
          <w:sz w:val="22"/>
          <w:lang w:eastAsia="en-US"/>
        </w:rPr>
        <w:t xml:space="preserve">The VPA </w:t>
      </w:r>
      <w:r w:rsidR="00E560AE">
        <w:rPr>
          <w:rFonts w:asciiTheme="minorHAnsi" w:hAnsiTheme="minorHAnsi"/>
          <w:sz w:val="22"/>
          <w:lang w:eastAsia="en-US"/>
        </w:rPr>
        <w:t xml:space="preserve">does not support </w:t>
      </w:r>
      <w:r w:rsidR="00BC7C26">
        <w:rPr>
          <w:rFonts w:asciiTheme="minorHAnsi" w:hAnsiTheme="minorHAnsi"/>
          <w:sz w:val="22"/>
          <w:lang w:eastAsia="en-US"/>
        </w:rPr>
        <w:t>the submissions</w:t>
      </w:r>
      <w:r w:rsidR="00E560AE">
        <w:rPr>
          <w:rFonts w:asciiTheme="minorHAnsi" w:hAnsiTheme="minorHAnsi"/>
          <w:sz w:val="22"/>
          <w:lang w:eastAsia="en-US"/>
        </w:rPr>
        <w:t xml:space="preserve"> seeking reduction in the separation distance.  </w:t>
      </w:r>
    </w:p>
    <w:p w:rsidR="00E560AE" w:rsidRDefault="00E560AE" w:rsidP="0003001E">
      <w:pPr>
        <w:rPr>
          <w:rFonts w:asciiTheme="minorHAnsi" w:hAnsiTheme="minorHAnsi"/>
          <w:sz w:val="22"/>
          <w:lang w:eastAsia="en-US"/>
        </w:rPr>
      </w:pPr>
      <w:r>
        <w:rPr>
          <w:rFonts w:asciiTheme="minorHAnsi" w:hAnsiTheme="minorHAnsi"/>
          <w:sz w:val="22"/>
          <w:lang w:eastAsia="en-US"/>
        </w:rPr>
        <w:t>The VPA</w:t>
      </w:r>
      <w:r w:rsidR="007108BD">
        <w:rPr>
          <w:rFonts w:asciiTheme="minorHAnsi" w:hAnsiTheme="minorHAnsi"/>
          <w:sz w:val="22"/>
          <w:lang w:eastAsia="en-US"/>
        </w:rPr>
        <w:t xml:space="preserve"> </w:t>
      </w:r>
      <w:r w:rsidR="00BC7C26">
        <w:rPr>
          <w:rFonts w:asciiTheme="minorHAnsi" w:hAnsiTheme="minorHAnsi"/>
          <w:sz w:val="22"/>
          <w:lang w:eastAsia="en-US"/>
        </w:rPr>
        <w:t xml:space="preserve">understands, </w:t>
      </w:r>
      <w:proofErr w:type="gramStart"/>
      <w:r w:rsidR="00BC7C26">
        <w:rPr>
          <w:rFonts w:asciiTheme="minorHAnsi" w:hAnsiTheme="minorHAnsi"/>
          <w:sz w:val="22"/>
          <w:lang w:eastAsia="en-US"/>
        </w:rPr>
        <w:t>on the basis of</w:t>
      </w:r>
      <w:proofErr w:type="gramEnd"/>
      <w:r w:rsidR="00BC7C26">
        <w:rPr>
          <w:rFonts w:asciiTheme="minorHAnsi" w:hAnsiTheme="minorHAnsi"/>
          <w:sz w:val="22"/>
          <w:lang w:eastAsia="en-US"/>
        </w:rPr>
        <w:t xml:space="preserve"> the evidence, that</w:t>
      </w:r>
      <w:r w:rsidR="007108BD">
        <w:rPr>
          <w:rFonts w:asciiTheme="minorHAnsi" w:hAnsiTheme="minorHAnsi"/>
          <w:sz w:val="22"/>
          <w:lang w:eastAsia="en-US"/>
        </w:rPr>
        <w:t xml:space="preserve"> </w:t>
      </w:r>
      <w:r w:rsidR="00D33294">
        <w:rPr>
          <w:rFonts w:asciiTheme="minorHAnsi" w:hAnsiTheme="minorHAnsi"/>
          <w:sz w:val="22"/>
          <w:lang w:eastAsia="en-US"/>
        </w:rPr>
        <w:t>technical me</w:t>
      </w:r>
      <w:r w:rsidR="00010837">
        <w:rPr>
          <w:rFonts w:asciiTheme="minorHAnsi" w:hAnsiTheme="minorHAnsi"/>
          <w:sz w:val="22"/>
          <w:lang w:eastAsia="en-US"/>
        </w:rPr>
        <w:t>thods</w:t>
      </w:r>
      <w:r w:rsidR="00BC7C26">
        <w:rPr>
          <w:rFonts w:asciiTheme="minorHAnsi" w:hAnsiTheme="minorHAnsi"/>
          <w:sz w:val="22"/>
          <w:lang w:eastAsia="en-US"/>
        </w:rPr>
        <w:t xml:space="preserve"> are</w:t>
      </w:r>
      <w:r w:rsidR="00010837">
        <w:rPr>
          <w:rFonts w:asciiTheme="minorHAnsi" w:hAnsiTheme="minorHAnsi"/>
          <w:sz w:val="22"/>
          <w:lang w:eastAsia="en-US"/>
        </w:rPr>
        <w:t xml:space="preserve"> </w:t>
      </w:r>
      <w:r w:rsidR="00BC7C26">
        <w:rPr>
          <w:rFonts w:asciiTheme="minorHAnsi" w:hAnsiTheme="minorHAnsi"/>
          <w:sz w:val="22"/>
          <w:lang w:eastAsia="en-US"/>
        </w:rPr>
        <w:t xml:space="preserve">currently available </w:t>
      </w:r>
      <w:r w:rsidR="00010837">
        <w:rPr>
          <w:rFonts w:asciiTheme="minorHAnsi" w:hAnsiTheme="minorHAnsi"/>
          <w:sz w:val="22"/>
          <w:lang w:eastAsia="en-US"/>
        </w:rPr>
        <w:t>to substantially reduce the existing buffer</w:t>
      </w:r>
      <w:r w:rsidR="00BC7C26">
        <w:rPr>
          <w:rFonts w:asciiTheme="minorHAnsi" w:hAnsiTheme="minorHAnsi"/>
          <w:sz w:val="22"/>
          <w:lang w:eastAsia="en-US"/>
        </w:rPr>
        <w:t>,</w:t>
      </w:r>
      <w:r w:rsidR="00010837">
        <w:rPr>
          <w:rFonts w:asciiTheme="minorHAnsi" w:hAnsiTheme="minorHAnsi"/>
          <w:sz w:val="22"/>
          <w:lang w:eastAsia="en-US"/>
        </w:rPr>
        <w:t xml:space="preserve"> including the option of </w:t>
      </w:r>
      <w:r w:rsidR="001317A2">
        <w:rPr>
          <w:rFonts w:asciiTheme="minorHAnsi" w:hAnsiTheme="minorHAnsi"/>
          <w:sz w:val="22"/>
          <w:lang w:eastAsia="en-US"/>
        </w:rPr>
        <w:t xml:space="preserve">enclosure.  </w:t>
      </w:r>
      <w:r w:rsidR="00BC7C26">
        <w:rPr>
          <w:rFonts w:asciiTheme="minorHAnsi" w:hAnsiTheme="minorHAnsi"/>
          <w:sz w:val="22"/>
          <w:lang w:eastAsia="en-US"/>
        </w:rPr>
        <w:t>For that reason, the EPA considers that</w:t>
      </w:r>
      <w:r w:rsidR="001317A2">
        <w:rPr>
          <w:rFonts w:asciiTheme="minorHAnsi" w:hAnsiTheme="minorHAnsi"/>
          <w:sz w:val="22"/>
          <w:lang w:eastAsia="en-US"/>
        </w:rPr>
        <w:t xml:space="preserve"> </w:t>
      </w:r>
      <w:r w:rsidR="00BC7C26">
        <w:rPr>
          <w:rFonts w:asciiTheme="minorHAnsi" w:hAnsiTheme="minorHAnsi"/>
          <w:sz w:val="22"/>
          <w:lang w:eastAsia="en-US"/>
        </w:rPr>
        <w:t>while the buffer should not currently be reduced,</w:t>
      </w:r>
      <w:r w:rsidR="001317A2">
        <w:rPr>
          <w:rFonts w:asciiTheme="minorHAnsi" w:hAnsiTheme="minorHAnsi"/>
          <w:sz w:val="22"/>
          <w:lang w:eastAsia="en-US"/>
        </w:rPr>
        <w:t xml:space="preserve"> the PSP </w:t>
      </w:r>
      <w:r w:rsidR="00BC7C26">
        <w:rPr>
          <w:rFonts w:asciiTheme="minorHAnsi" w:hAnsiTheme="minorHAnsi"/>
          <w:sz w:val="22"/>
          <w:lang w:eastAsia="en-US"/>
        </w:rPr>
        <w:t xml:space="preserve">should </w:t>
      </w:r>
      <w:r w:rsidR="001317A2">
        <w:rPr>
          <w:rFonts w:asciiTheme="minorHAnsi" w:hAnsiTheme="minorHAnsi"/>
          <w:sz w:val="22"/>
          <w:lang w:eastAsia="en-US"/>
        </w:rPr>
        <w:t xml:space="preserve">respond in a manner that adequately addresses </w:t>
      </w:r>
      <w:r w:rsidR="00AC7B73">
        <w:rPr>
          <w:rFonts w:asciiTheme="minorHAnsi" w:hAnsiTheme="minorHAnsi"/>
          <w:sz w:val="22"/>
          <w:lang w:eastAsia="en-US"/>
        </w:rPr>
        <w:t>th</w:t>
      </w:r>
      <w:r w:rsidR="00BC7C26">
        <w:rPr>
          <w:rFonts w:asciiTheme="minorHAnsi" w:hAnsiTheme="minorHAnsi"/>
          <w:sz w:val="22"/>
          <w:lang w:eastAsia="en-US"/>
        </w:rPr>
        <w:t>e</w:t>
      </w:r>
      <w:r w:rsidR="00AC7B73">
        <w:rPr>
          <w:rFonts w:asciiTheme="minorHAnsi" w:hAnsiTheme="minorHAnsi"/>
          <w:sz w:val="22"/>
          <w:lang w:eastAsia="en-US"/>
        </w:rPr>
        <w:t xml:space="preserve"> potential for change.</w:t>
      </w:r>
      <w:r w:rsidR="00E27BEB">
        <w:rPr>
          <w:rStyle w:val="FootnoteReference"/>
          <w:rFonts w:asciiTheme="minorHAnsi" w:hAnsiTheme="minorHAnsi"/>
          <w:sz w:val="22"/>
          <w:lang w:eastAsia="en-US"/>
        </w:rPr>
        <w:footnoteReference w:id="81"/>
      </w:r>
      <w:r w:rsidR="00AC7B73">
        <w:rPr>
          <w:rFonts w:asciiTheme="minorHAnsi" w:hAnsiTheme="minorHAnsi"/>
          <w:sz w:val="22"/>
          <w:lang w:eastAsia="en-US"/>
        </w:rPr>
        <w:t xml:space="preserve">  </w:t>
      </w:r>
    </w:p>
    <w:p w:rsidR="000418F8" w:rsidRPr="00315E22" w:rsidRDefault="000418F8" w:rsidP="000418F8">
      <w:pPr>
        <w:pStyle w:val="Heading3"/>
        <w:rPr>
          <w:rFonts w:asciiTheme="minorHAnsi" w:hAnsiTheme="minorHAnsi"/>
          <w:b/>
        </w:rPr>
      </w:pPr>
      <w:r>
        <w:rPr>
          <w:rFonts w:asciiTheme="minorHAnsi" w:hAnsiTheme="minorHAnsi"/>
          <w:b/>
        </w:rPr>
        <w:t xml:space="preserve">Issue 2: planning controls </w:t>
      </w:r>
    </w:p>
    <w:p w:rsidR="000418F8" w:rsidRPr="0003001E" w:rsidRDefault="000418F8" w:rsidP="000418F8">
      <w:pPr>
        <w:rPr>
          <w:rFonts w:asciiTheme="minorHAnsi" w:hAnsiTheme="minorHAnsi"/>
          <w:b/>
          <w:i/>
          <w:sz w:val="22"/>
          <w:lang w:eastAsia="en-US"/>
        </w:rPr>
      </w:pPr>
      <w:r w:rsidRPr="0003001E">
        <w:rPr>
          <w:rFonts w:asciiTheme="minorHAnsi" w:hAnsiTheme="minorHAnsi"/>
          <w:b/>
          <w:i/>
          <w:sz w:val="22"/>
          <w:lang w:eastAsia="en-US"/>
        </w:rPr>
        <w:t xml:space="preserve">Submissions in response to exhibition </w:t>
      </w:r>
    </w:p>
    <w:p w:rsidR="000418F8" w:rsidRDefault="000220AF" w:rsidP="000220AF">
      <w:pPr>
        <w:rPr>
          <w:rFonts w:asciiTheme="minorHAnsi" w:hAnsiTheme="minorHAnsi"/>
          <w:sz w:val="22"/>
          <w:lang w:eastAsia="en-US"/>
        </w:rPr>
      </w:pPr>
      <w:r>
        <w:rPr>
          <w:rFonts w:asciiTheme="minorHAnsi" w:hAnsiTheme="minorHAnsi"/>
          <w:sz w:val="22"/>
          <w:lang w:eastAsia="en-US"/>
        </w:rPr>
        <w:t>The Veolia</w:t>
      </w:r>
      <w:r w:rsidR="00F60A88">
        <w:rPr>
          <w:rFonts w:asciiTheme="minorHAnsi" w:hAnsiTheme="minorHAnsi"/>
          <w:sz w:val="22"/>
          <w:lang w:eastAsia="en-US"/>
        </w:rPr>
        <w:t>,</w:t>
      </w:r>
      <w:r>
        <w:rPr>
          <w:rFonts w:asciiTheme="minorHAnsi" w:hAnsiTheme="minorHAnsi"/>
          <w:sz w:val="22"/>
          <w:lang w:eastAsia="en-US"/>
        </w:rPr>
        <w:t xml:space="preserve"> Hi-Quality </w:t>
      </w:r>
      <w:r w:rsidR="00F60A88">
        <w:rPr>
          <w:rFonts w:asciiTheme="minorHAnsi" w:hAnsiTheme="minorHAnsi"/>
          <w:sz w:val="22"/>
          <w:lang w:eastAsia="en-US"/>
        </w:rPr>
        <w:t xml:space="preserve">and RCL Group </w:t>
      </w:r>
      <w:r>
        <w:rPr>
          <w:rFonts w:asciiTheme="minorHAnsi" w:hAnsiTheme="minorHAnsi"/>
          <w:sz w:val="22"/>
          <w:lang w:eastAsia="en-US"/>
        </w:rPr>
        <w:t>submissions did not address</w:t>
      </w:r>
      <w:r w:rsidR="000418F8">
        <w:rPr>
          <w:rFonts w:asciiTheme="minorHAnsi" w:hAnsiTheme="minorHAnsi"/>
          <w:sz w:val="22"/>
          <w:lang w:eastAsia="en-US"/>
        </w:rPr>
        <w:t xml:space="preserve"> what planning controls should apply to land within the </w:t>
      </w:r>
      <w:r w:rsidR="00163721">
        <w:rPr>
          <w:rFonts w:asciiTheme="minorHAnsi" w:hAnsiTheme="minorHAnsi"/>
          <w:sz w:val="22"/>
          <w:lang w:eastAsia="en-US"/>
        </w:rPr>
        <w:t>composting facility</w:t>
      </w:r>
      <w:r w:rsidR="000418F8">
        <w:rPr>
          <w:rFonts w:asciiTheme="minorHAnsi" w:hAnsiTheme="minorHAnsi"/>
          <w:sz w:val="22"/>
          <w:lang w:eastAsia="en-US"/>
        </w:rPr>
        <w:t xml:space="preserve"> buffer.</w:t>
      </w:r>
      <w:r w:rsidR="00240E11">
        <w:rPr>
          <w:rFonts w:asciiTheme="minorHAnsi" w:hAnsiTheme="minorHAnsi"/>
          <w:sz w:val="22"/>
          <w:lang w:eastAsia="en-US"/>
        </w:rPr>
        <w:t xml:space="preserve">  The overarching VPA position</w:t>
      </w:r>
      <w:r w:rsidR="00194AB1">
        <w:rPr>
          <w:rFonts w:asciiTheme="minorHAnsi" w:hAnsiTheme="minorHAnsi"/>
          <w:sz w:val="22"/>
          <w:lang w:eastAsia="en-US"/>
        </w:rPr>
        <w:t>,</w:t>
      </w:r>
      <w:r w:rsidR="00240E11">
        <w:rPr>
          <w:rFonts w:asciiTheme="minorHAnsi" w:hAnsiTheme="minorHAnsi"/>
          <w:sz w:val="22"/>
          <w:lang w:eastAsia="en-US"/>
        </w:rPr>
        <w:t xml:space="preserve"> having regard to the text </w:t>
      </w:r>
      <w:r w:rsidR="003621F8">
        <w:rPr>
          <w:rFonts w:asciiTheme="minorHAnsi" w:hAnsiTheme="minorHAnsi"/>
          <w:sz w:val="22"/>
          <w:lang w:eastAsia="en-US"/>
        </w:rPr>
        <w:t xml:space="preserve">and operation of the Scheme </w:t>
      </w:r>
      <w:r w:rsidR="00240E11">
        <w:rPr>
          <w:rFonts w:asciiTheme="minorHAnsi" w:hAnsiTheme="minorHAnsi"/>
          <w:sz w:val="22"/>
          <w:lang w:eastAsia="en-US"/>
        </w:rPr>
        <w:t>above</w:t>
      </w:r>
      <w:r w:rsidR="00194AB1">
        <w:rPr>
          <w:rFonts w:asciiTheme="minorHAnsi" w:hAnsiTheme="minorHAnsi"/>
          <w:sz w:val="22"/>
          <w:lang w:eastAsia="en-US"/>
        </w:rPr>
        <w:t>,</w:t>
      </w:r>
      <w:r w:rsidR="00240E11">
        <w:rPr>
          <w:rFonts w:asciiTheme="minorHAnsi" w:hAnsiTheme="minorHAnsi"/>
          <w:sz w:val="22"/>
          <w:lang w:eastAsia="en-US"/>
        </w:rPr>
        <w:t xml:space="preserve"> is that there must be a degree of flexibility in the controls</w:t>
      </w:r>
      <w:r w:rsidR="00194AB1">
        <w:rPr>
          <w:rFonts w:asciiTheme="minorHAnsi" w:hAnsiTheme="minorHAnsi"/>
          <w:sz w:val="22"/>
          <w:lang w:eastAsia="en-US"/>
        </w:rPr>
        <w:t>,</w:t>
      </w:r>
      <w:r w:rsidR="00240E11">
        <w:rPr>
          <w:rFonts w:asciiTheme="minorHAnsi" w:hAnsiTheme="minorHAnsi"/>
          <w:sz w:val="22"/>
          <w:lang w:eastAsia="en-US"/>
        </w:rPr>
        <w:t xml:space="preserve"> </w:t>
      </w:r>
      <w:r w:rsidR="00194AB1">
        <w:rPr>
          <w:rFonts w:asciiTheme="minorHAnsi" w:hAnsiTheme="minorHAnsi"/>
          <w:sz w:val="22"/>
          <w:lang w:eastAsia="en-US"/>
        </w:rPr>
        <w:t>particularly</w:t>
      </w:r>
      <w:r w:rsidR="00240E11">
        <w:rPr>
          <w:rFonts w:asciiTheme="minorHAnsi" w:hAnsiTheme="minorHAnsi"/>
          <w:sz w:val="22"/>
          <w:lang w:eastAsia="en-US"/>
        </w:rPr>
        <w:t xml:space="preserve"> given the exhibited underlying residential zoning for</w:t>
      </w:r>
      <w:r w:rsidR="00364AA6">
        <w:rPr>
          <w:rFonts w:asciiTheme="minorHAnsi" w:hAnsiTheme="minorHAnsi"/>
          <w:sz w:val="22"/>
          <w:lang w:eastAsia="en-US"/>
        </w:rPr>
        <w:t xml:space="preserve"> some of the land within the buffer.  </w:t>
      </w:r>
    </w:p>
    <w:p w:rsidR="00BF6604" w:rsidRDefault="00F60A88" w:rsidP="000418F8">
      <w:pPr>
        <w:rPr>
          <w:rFonts w:asciiTheme="minorHAnsi" w:hAnsiTheme="minorHAnsi"/>
          <w:sz w:val="22"/>
          <w:lang w:eastAsia="en-US"/>
        </w:rPr>
      </w:pPr>
      <w:proofErr w:type="spellStart"/>
      <w:r>
        <w:rPr>
          <w:rFonts w:asciiTheme="minorHAnsi" w:hAnsiTheme="minorHAnsi"/>
          <w:sz w:val="22"/>
          <w:lang w:eastAsia="en-US"/>
        </w:rPr>
        <w:t>Marantali</w:t>
      </w:r>
      <w:proofErr w:type="spellEnd"/>
      <w:r>
        <w:rPr>
          <w:rFonts w:asciiTheme="minorHAnsi" w:hAnsiTheme="minorHAnsi"/>
          <w:sz w:val="22"/>
          <w:lang w:eastAsia="en-US"/>
        </w:rPr>
        <w:t xml:space="preserve"> Pty Ltd </w:t>
      </w:r>
      <w:r w:rsidR="00BF6604">
        <w:rPr>
          <w:rFonts w:asciiTheme="minorHAnsi" w:hAnsiTheme="minorHAnsi"/>
          <w:sz w:val="22"/>
          <w:lang w:eastAsia="en-US"/>
        </w:rPr>
        <w:t>submitted that Clause 3.9 should be amended to require that planning permit applications for sensitive uses within the buffer ‘have regard to’ an</w:t>
      </w:r>
      <w:r w:rsidR="00B14E87">
        <w:rPr>
          <w:rFonts w:asciiTheme="minorHAnsi" w:hAnsiTheme="minorHAnsi"/>
          <w:sz w:val="22"/>
          <w:lang w:eastAsia="en-US"/>
        </w:rPr>
        <w:t xml:space="preserve"> odour</w:t>
      </w:r>
      <w:r w:rsidR="00BF6604">
        <w:rPr>
          <w:rFonts w:asciiTheme="minorHAnsi" w:hAnsiTheme="minorHAnsi"/>
          <w:sz w:val="22"/>
          <w:lang w:eastAsia="en-US"/>
        </w:rPr>
        <w:t xml:space="preserve"> environmental risk </w:t>
      </w:r>
      <w:r w:rsidR="00BF6604">
        <w:rPr>
          <w:rFonts w:asciiTheme="minorHAnsi" w:hAnsiTheme="minorHAnsi"/>
          <w:sz w:val="22"/>
          <w:lang w:eastAsia="en-US"/>
        </w:rPr>
        <w:lastRenderedPageBreak/>
        <w:t>assessment in respect of the facility rather than ‘be accompanied by’ such an assessment, so that one assessment may be relied on by all future applicants.</w:t>
      </w:r>
    </w:p>
    <w:p w:rsidR="000418F8" w:rsidRDefault="000418F8" w:rsidP="002D4B89">
      <w:r>
        <w:rPr>
          <w:rFonts w:asciiTheme="minorHAnsi" w:hAnsiTheme="minorHAnsi"/>
          <w:sz w:val="22"/>
          <w:lang w:eastAsia="en-US"/>
        </w:rPr>
        <w:t xml:space="preserve">The EPA submitted that </w:t>
      </w:r>
      <w:r w:rsidR="002258BF">
        <w:rPr>
          <w:rFonts w:asciiTheme="minorHAnsi" w:hAnsiTheme="minorHAnsi"/>
          <w:sz w:val="22"/>
          <w:lang w:eastAsia="en-US"/>
        </w:rPr>
        <w:t xml:space="preserve">it was </w:t>
      </w:r>
      <w:r w:rsidR="00B74CAF">
        <w:rPr>
          <w:rFonts w:asciiTheme="minorHAnsi" w:hAnsiTheme="minorHAnsi"/>
          <w:sz w:val="22"/>
          <w:lang w:eastAsia="en-US"/>
        </w:rPr>
        <w:t>‘</w:t>
      </w:r>
      <w:r w:rsidR="002258BF">
        <w:rPr>
          <w:rFonts w:asciiTheme="minorHAnsi" w:hAnsiTheme="minorHAnsi"/>
          <w:sz w:val="22"/>
          <w:lang w:eastAsia="en-US"/>
        </w:rPr>
        <w:t>not satisfactory</w:t>
      </w:r>
      <w:r w:rsidR="00B74CAF">
        <w:rPr>
          <w:rFonts w:asciiTheme="minorHAnsi" w:hAnsiTheme="minorHAnsi"/>
          <w:sz w:val="22"/>
          <w:lang w:eastAsia="en-US"/>
        </w:rPr>
        <w:t>’</w:t>
      </w:r>
      <w:r w:rsidR="002258BF">
        <w:rPr>
          <w:rFonts w:asciiTheme="minorHAnsi" w:hAnsiTheme="minorHAnsi"/>
          <w:sz w:val="22"/>
          <w:lang w:eastAsia="en-US"/>
        </w:rPr>
        <w:t xml:space="preserve"> </w:t>
      </w:r>
      <w:r w:rsidR="00B74CAF">
        <w:rPr>
          <w:rFonts w:asciiTheme="minorHAnsi" w:hAnsiTheme="minorHAnsi"/>
          <w:sz w:val="22"/>
          <w:lang w:eastAsia="en-US"/>
        </w:rPr>
        <w:t>for Clause 3.9 to require planning permit applications for sensitive uses within the buffer to be accompanied by an odour environmental risk assessment prior to an odour assessment being undertaken in respect of that buffer.</w:t>
      </w:r>
    </w:p>
    <w:p w:rsidR="00FF3CC5" w:rsidRDefault="000418F8" w:rsidP="000418F8">
      <w:pPr>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T</w:t>
      </w:r>
      <w:r w:rsidR="00BE1EA1">
        <w:rPr>
          <w:rFonts w:asciiTheme="minorHAnsi" w:eastAsiaTheme="minorHAnsi" w:hAnsiTheme="minorHAnsi" w:cstheme="minorBidi"/>
          <w:sz w:val="22"/>
          <w:szCs w:val="22"/>
          <w:lang w:eastAsia="en-US"/>
        </w:rPr>
        <w:t>he MWR</w:t>
      </w:r>
      <w:r>
        <w:rPr>
          <w:rFonts w:asciiTheme="minorHAnsi" w:eastAsiaTheme="minorHAnsi" w:hAnsiTheme="minorHAnsi" w:cstheme="minorBidi"/>
          <w:sz w:val="22"/>
          <w:szCs w:val="22"/>
          <w:lang w:eastAsia="en-US"/>
        </w:rPr>
        <w:t xml:space="preserve">RG </w:t>
      </w:r>
      <w:r w:rsidR="00FF3CC5">
        <w:rPr>
          <w:rFonts w:asciiTheme="minorHAnsi" w:eastAsiaTheme="minorHAnsi" w:hAnsiTheme="minorHAnsi" w:cstheme="minorBidi"/>
          <w:sz w:val="22"/>
          <w:szCs w:val="22"/>
          <w:lang w:eastAsia="en-US"/>
        </w:rPr>
        <w:t xml:space="preserve">submitted </w:t>
      </w:r>
      <w:r w:rsidR="00B1348A">
        <w:rPr>
          <w:rFonts w:asciiTheme="minorHAnsi" w:eastAsiaTheme="minorHAnsi" w:hAnsiTheme="minorHAnsi" w:cstheme="minorBidi"/>
          <w:sz w:val="22"/>
          <w:szCs w:val="22"/>
          <w:lang w:eastAsia="en-US"/>
        </w:rPr>
        <w:t>that:</w:t>
      </w:r>
    </w:p>
    <w:p w:rsidR="000418F8" w:rsidRDefault="000418F8" w:rsidP="003340E2">
      <w:pPr>
        <w:pStyle w:val="ListParagraph"/>
        <w:numPr>
          <w:ilvl w:val="0"/>
          <w:numId w:val="20"/>
        </w:numPr>
      </w:pPr>
      <w:r>
        <w:t xml:space="preserve">the </w:t>
      </w:r>
      <w:r w:rsidR="00B14E87">
        <w:t xml:space="preserve">composting facility </w:t>
      </w:r>
      <w:r w:rsidR="00931F31">
        <w:t xml:space="preserve">and its </w:t>
      </w:r>
      <w:r w:rsidR="00B14E87">
        <w:t>buffer</w:t>
      </w:r>
      <w:r w:rsidR="00B1348A">
        <w:t xml:space="preserve"> should be more clearly identified</w:t>
      </w:r>
      <w:r>
        <w:t xml:space="preserve"> in </w:t>
      </w:r>
      <w:r w:rsidR="00B14E87">
        <w:t>M</w:t>
      </w:r>
      <w:r>
        <w:t>ap 1;</w:t>
      </w:r>
    </w:p>
    <w:p w:rsidR="00931F31" w:rsidRDefault="00CD61FE" w:rsidP="003340E2">
      <w:pPr>
        <w:pStyle w:val="ListParagraph"/>
        <w:numPr>
          <w:ilvl w:val="0"/>
          <w:numId w:val="20"/>
        </w:numPr>
      </w:pPr>
      <w:r>
        <w:t>references to</w:t>
      </w:r>
      <w:r w:rsidR="00931F31">
        <w:t xml:space="preserve"> ‘green waste facility’ should be amended to ‘garden and food organics facility’;</w:t>
      </w:r>
    </w:p>
    <w:p w:rsidR="000418F8" w:rsidRDefault="00B1348A" w:rsidP="003340E2">
      <w:pPr>
        <w:pStyle w:val="ListParagraph"/>
        <w:numPr>
          <w:ilvl w:val="0"/>
          <w:numId w:val="20"/>
        </w:numPr>
      </w:pPr>
      <w:r>
        <w:t>residential zones should not be applied within the</w:t>
      </w:r>
      <w:r w:rsidR="000418F8">
        <w:t xml:space="preserve"> buffer; and</w:t>
      </w:r>
    </w:p>
    <w:p w:rsidR="000418F8" w:rsidRPr="00A6597B" w:rsidRDefault="000418F8" w:rsidP="003340E2">
      <w:pPr>
        <w:pStyle w:val="ListParagraph"/>
        <w:numPr>
          <w:ilvl w:val="0"/>
          <w:numId w:val="20"/>
        </w:numPr>
      </w:pPr>
      <w:r>
        <w:t>the provisions that relate to the buffer</w:t>
      </w:r>
      <w:r w:rsidR="009A5E01">
        <w:t xml:space="preserve"> should be transferred</w:t>
      </w:r>
      <w:r>
        <w:t xml:space="preserve"> to an Environmental Significance Overlay (</w:t>
      </w:r>
      <w:r>
        <w:rPr>
          <w:b/>
        </w:rPr>
        <w:t>ESO</w:t>
      </w:r>
      <w:r>
        <w:t>).</w:t>
      </w:r>
    </w:p>
    <w:p w:rsidR="000418F8" w:rsidRDefault="000418F8" w:rsidP="000418F8">
      <w:pPr>
        <w:rPr>
          <w:rFonts w:asciiTheme="minorHAnsi" w:hAnsiTheme="minorHAnsi"/>
          <w:sz w:val="22"/>
          <w:lang w:eastAsia="en-US"/>
        </w:rPr>
      </w:pPr>
      <w:r>
        <w:rPr>
          <w:rFonts w:asciiTheme="minorHAnsi" w:hAnsiTheme="minorHAnsi"/>
          <w:sz w:val="22"/>
          <w:lang w:eastAsia="en-US"/>
        </w:rPr>
        <w:t>SV submitted that:</w:t>
      </w:r>
    </w:p>
    <w:p w:rsidR="000418F8" w:rsidRDefault="000418F8" w:rsidP="003340E2">
      <w:pPr>
        <w:pStyle w:val="ListParagraph"/>
        <w:numPr>
          <w:ilvl w:val="0"/>
          <w:numId w:val="21"/>
        </w:numPr>
      </w:pPr>
      <w:r w:rsidRPr="00023837">
        <w:t>sensitive uses should be prohib</w:t>
      </w:r>
      <w:r>
        <w:t xml:space="preserve">ited within the </w:t>
      </w:r>
      <w:r w:rsidR="007732FC">
        <w:t>composting facility</w:t>
      </w:r>
      <w:r>
        <w:t xml:space="preserve"> buffer;</w:t>
      </w:r>
    </w:p>
    <w:p w:rsidR="000418F8" w:rsidRDefault="000418F8" w:rsidP="003340E2">
      <w:pPr>
        <w:pStyle w:val="ListParagraph"/>
        <w:numPr>
          <w:ilvl w:val="0"/>
          <w:numId w:val="21"/>
        </w:numPr>
      </w:pPr>
      <w:r>
        <w:t xml:space="preserve">additional sensitive uses should be considered for exclusion, such as </w:t>
      </w:r>
      <w:r w:rsidRPr="00023837">
        <w:t>place of worship, business college, employment training centre, tertiary institution, and outdoor/indoor recreation facility</w:t>
      </w:r>
      <w:r>
        <w:t>;</w:t>
      </w:r>
    </w:p>
    <w:p w:rsidR="000418F8" w:rsidRDefault="000418F8" w:rsidP="003340E2">
      <w:pPr>
        <w:pStyle w:val="ListParagraph"/>
        <w:numPr>
          <w:ilvl w:val="0"/>
          <w:numId w:val="21"/>
        </w:numPr>
      </w:pPr>
      <w:r>
        <w:t>Plan 3 in the PSP and Map 1 in the Schedule should more clearly identify the land uses within the buffer; and</w:t>
      </w:r>
    </w:p>
    <w:p w:rsidR="000418F8" w:rsidRDefault="000418F8" w:rsidP="003340E2">
      <w:pPr>
        <w:pStyle w:val="ListParagraph"/>
        <w:numPr>
          <w:ilvl w:val="0"/>
          <w:numId w:val="21"/>
        </w:numPr>
      </w:pPr>
      <w:r>
        <w:t>in the longer term, the buffer could be converted into an overlay in the Scheme.</w:t>
      </w:r>
    </w:p>
    <w:p w:rsidR="000418F8" w:rsidRPr="0003001E" w:rsidRDefault="000418F8" w:rsidP="000418F8">
      <w:pPr>
        <w:rPr>
          <w:rFonts w:asciiTheme="minorHAnsi" w:hAnsiTheme="minorHAnsi"/>
          <w:b/>
          <w:i/>
          <w:sz w:val="22"/>
          <w:lang w:eastAsia="en-US"/>
        </w:rPr>
      </w:pPr>
      <w:r w:rsidRPr="0003001E">
        <w:rPr>
          <w:rFonts w:asciiTheme="minorHAnsi" w:hAnsiTheme="minorHAnsi"/>
          <w:b/>
          <w:i/>
          <w:sz w:val="22"/>
          <w:lang w:eastAsia="en-US"/>
        </w:rPr>
        <w:t xml:space="preserve">VPA submissions and response to evidence </w:t>
      </w:r>
    </w:p>
    <w:p w:rsidR="00120402" w:rsidRDefault="0090195D" w:rsidP="0003001E">
      <w:pPr>
        <w:rPr>
          <w:rFonts w:asciiTheme="minorHAnsi" w:hAnsiTheme="minorHAnsi"/>
          <w:sz w:val="22"/>
          <w:lang w:eastAsia="en-US"/>
        </w:rPr>
      </w:pPr>
      <w:r>
        <w:rPr>
          <w:rFonts w:asciiTheme="minorHAnsi" w:hAnsiTheme="minorHAnsi"/>
          <w:sz w:val="22"/>
          <w:lang w:eastAsia="en-US"/>
        </w:rPr>
        <w:t>The range of uses depicted within the composting facility buffer</w:t>
      </w:r>
      <w:r w:rsidR="00320632">
        <w:rPr>
          <w:rFonts w:asciiTheme="minorHAnsi" w:hAnsiTheme="minorHAnsi"/>
          <w:sz w:val="22"/>
          <w:lang w:eastAsia="en-US"/>
        </w:rPr>
        <w:t xml:space="preserve"> in the PSP and on Map 1 in Schedule 9 to the UGZ</w:t>
      </w:r>
      <w:r>
        <w:rPr>
          <w:rFonts w:asciiTheme="minorHAnsi" w:hAnsiTheme="minorHAnsi"/>
          <w:sz w:val="22"/>
          <w:lang w:eastAsia="en-US"/>
        </w:rPr>
        <w:t xml:space="preserve"> includes ‘residential’.  </w:t>
      </w:r>
    </w:p>
    <w:p w:rsidR="001176CA" w:rsidRDefault="00AA0CB8" w:rsidP="0003001E">
      <w:pPr>
        <w:rPr>
          <w:rFonts w:asciiTheme="minorHAnsi" w:hAnsiTheme="minorHAnsi"/>
          <w:sz w:val="22"/>
          <w:lang w:eastAsia="en-US"/>
        </w:rPr>
      </w:pPr>
      <w:r>
        <w:rPr>
          <w:rFonts w:asciiTheme="minorHAnsi" w:hAnsiTheme="minorHAnsi"/>
          <w:sz w:val="22"/>
          <w:lang w:eastAsia="en-US"/>
        </w:rPr>
        <w:t xml:space="preserve">The EPA acknowledges that the purpose of the buffer is to ensure separation between the facility and ‘sensitive uses’, including residential.  </w:t>
      </w:r>
    </w:p>
    <w:p w:rsidR="00AA0CB8" w:rsidRDefault="00AA0CB8" w:rsidP="0003001E">
      <w:pPr>
        <w:rPr>
          <w:rFonts w:asciiTheme="minorHAnsi" w:hAnsiTheme="minorHAnsi"/>
          <w:sz w:val="22"/>
          <w:lang w:eastAsia="en-US"/>
        </w:rPr>
      </w:pPr>
      <w:r>
        <w:rPr>
          <w:rFonts w:asciiTheme="minorHAnsi" w:hAnsiTheme="minorHAnsi"/>
          <w:sz w:val="22"/>
          <w:lang w:eastAsia="en-US"/>
        </w:rPr>
        <w:t xml:space="preserve">Clause 3.9 in Schedule 9 to the UGZ, as exhibited, </w:t>
      </w:r>
      <w:r w:rsidR="00BE65EB">
        <w:rPr>
          <w:rFonts w:asciiTheme="minorHAnsi" w:hAnsiTheme="minorHAnsi"/>
          <w:sz w:val="22"/>
          <w:lang w:eastAsia="en-US"/>
        </w:rPr>
        <w:t>required applications for sensitive uses within the composting facility odour buffer to be accompanied by an odour environmental risk assessment.  In the post-exhibition version of Schedule 9 appended to the VPA’s Part</w:t>
      </w:r>
      <w:r w:rsidR="009E2E92">
        <w:rPr>
          <w:rFonts w:asciiTheme="minorHAnsi" w:hAnsiTheme="minorHAnsi"/>
          <w:sz w:val="22"/>
          <w:lang w:eastAsia="en-US"/>
        </w:rPr>
        <w:t xml:space="preserve"> A report, this was changed to an ‘odour, dust, noise and vibration assessment’.</w:t>
      </w:r>
      <w:r w:rsidR="005C15EE">
        <w:rPr>
          <w:rFonts w:asciiTheme="minorHAnsi" w:hAnsiTheme="minorHAnsi"/>
          <w:sz w:val="22"/>
          <w:lang w:eastAsia="en-US"/>
        </w:rPr>
        <w:t xml:space="preserve">  The changes in this version also included the removal of ‘informal outdoor recreation sites’ as a sensitive use from Cla</w:t>
      </w:r>
      <w:r w:rsidR="003D4800">
        <w:rPr>
          <w:rFonts w:asciiTheme="minorHAnsi" w:hAnsiTheme="minorHAnsi"/>
          <w:sz w:val="22"/>
          <w:lang w:eastAsia="en-US"/>
        </w:rPr>
        <w:t>use 3.9 and Clause 2.4.  That</w:t>
      </w:r>
      <w:r w:rsidR="005C15EE">
        <w:rPr>
          <w:rFonts w:asciiTheme="minorHAnsi" w:hAnsiTheme="minorHAnsi"/>
          <w:sz w:val="22"/>
          <w:lang w:eastAsia="en-US"/>
        </w:rPr>
        <w:t xml:space="preserve"> change is supported by the evidence of Mr Ramsay.</w:t>
      </w:r>
      <w:r w:rsidR="005C15EE">
        <w:rPr>
          <w:rStyle w:val="FootnoteReference"/>
          <w:rFonts w:asciiTheme="minorHAnsi" w:hAnsiTheme="minorHAnsi"/>
          <w:sz w:val="22"/>
          <w:lang w:eastAsia="en-US"/>
        </w:rPr>
        <w:footnoteReference w:id="82"/>
      </w:r>
    </w:p>
    <w:p w:rsidR="00886C13" w:rsidRDefault="00807622" w:rsidP="0003001E">
      <w:pPr>
        <w:rPr>
          <w:rFonts w:asciiTheme="minorHAnsi" w:hAnsiTheme="minorHAnsi"/>
          <w:sz w:val="22"/>
          <w:lang w:eastAsia="en-US"/>
        </w:rPr>
      </w:pPr>
      <w:r>
        <w:rPr>
          <w:rFonts w:asciiTheme="minorHAnsi" w:hAnsiTheme="minorHAnsi"/>
          <w:sz w:val="22"/>
          <w:lang w:eastAsia="en-US"/>
        </w:rPr>
        <w:lastRenderedPageBreak/>
        <w:t>M</w:t>
      </w:r>
      <w:r w:rsidR="00320632">
        <w:rPr>
          <w:rFonts w:asciiTheme="minorHAnsi" w:hAnsiTheme="minorHAnsi"/>
          <w:sz w:val="22"/>
          <w:lang w:eastAsia="en-US"/>
        </w:rPr>
        <w:t xml:space="preserve">r </w:t>
      </w:r>
      <w:r w:rsidR="003D4800">
        <w:rPr>
          <w:rFonts w:asciiTheme="minorHAnsi" w:hAnsiTheme="minorHAnsi"/>
          <w:sz w:val="22"/>
          <w:lang w:eastAsia="en-US"/>
        </w:rPr>
        <w:t xml:space="preserve">Ramsay further recommends </w:t>
      </w:r>
      <w:r w:rsidR="00B4426C">
        <w:rPr>
          <w:rFonts w:asciiTheme="minorHAnsi" w:hAnsiTheme="minorHAnsi"/>
          <w:sz w:val="22"/>
          <w:lang w:eastAsia="en-US"/>
        </w:rPr>
        <w:t xml:space="preserve">that </w:t>
      </w:r>
      <w:r w:rsidR="00C904A0">
        <w:rPr>
          <w:rFonts w:asciiTheme="minorHAnsi" w:hAnsiTheme="minorHAnsi"/>
          <w:sz w:val="22"/>
          <w:lang w:eastAsia="en-US"/>
        </w:rPr>
        <w:t xml:space="preserve">Clause 3.9 </w:t>
      </w:r>
      <w:r w:rsidR="00B4426C">
        <w:rPr>
          <w:rFonts w:asciiTheme="minorHAnsi" w:hAnsiTheme="minorHAnsi"/>
          <w:sz w:val="22"/>
          <w:lang w:eastAsia="en-US"/>
        </w:rPr>
        <w:t>be amended to require applications</w:t>
      </w:r>
      <w:r w:rsidR="00C904A0">
        <w:rPr>
          <w:rFonts w:asciiTheme="minorHAnsi" w:hAnsiTheme="minorHAnsi"/>
          <w:sz w:val="22"/>
          <w:lang w:eastAsia="en-US"/>
        </w:rPr>
        <w:t xml:space="preserve"> for sensitive uses</w:t>
      </w:r>
      <w:r w:rsidR="00B4426C">
        <w:rPr>
          <w:rFonts w:asciiTheme="minorHAnsi" w:hAnsiTheme="minorHAnsi"/>
          <w:sz w:val="22"/>
          <w:lang w:eastAsia="en-US"/>
        </w:rPr>
        <w:t xml:space="preserve"> to be accompanied by a s53V </w:t>
      </w:r>
      <w:r w:rsidR="00C904A0">
        <w:rPr>
          <w:rFonts w:asciiTheme="minorHAnsi" w:hAnsiTheme="minorHAnsi"/>
          <w:sz w:val="22"/>
          <w:lang w:eastAsia="en-US"/>
        </w:rPr>
        <w:t>audit ‘able to demonstrate that risk of adverse amenity impact due to odour from the composting facility can be controlled’</w:t>
      </w:r>
      <w:r w:rsidR="00F1427B">
        <w:rPr>
          <w:rFonts w:asciiTheme="minorHAnsi" w:hAnsiTheme="minorHAnsi"/>
          <w:sz w:val="22"/>
          <w:lang w:eastAsia="en-US"/>
        </w:rPr>
        <w:t>.</w:t>
      </w:r>
    </w:p>
    <w:p w:rsidR="00F1427B" w:rsidRDefault="00F1427B" w:rsidP="0003001E">
      <w:pPr>
        <w:rPr>
          <w:rFonts w:asciiTheme="minorHAnsi" w:hAnsiTheme="minorHAnsi"/>
          <w:sz w:val="22"/>
          <w:lang w:eastAsia="en-US"/>
        </w:rPr>
      </w:pPr>
      <w:r>
        <w:rPr>
          <w:rFonts w:asciiTheme="minorHAnsi" w:hAnsiTheme="minorHAnsi"/>
          <w:sz w:val="22"/>
          <w:lang w:eastAsia="en-US"/>
        </w:rPr>
        <w:t>The VPA accepts this evidence and supports requiring a s53V audit report as part of such applications.</w:t>
      </w:r>
      <w:r w:rsidR="0027212B">
        <w:rPr>
          <w:rFonts w:asciiTheme="minorHAnsi" w:hAnsiTheme="minorHAnsi"/>
          <w:sz w:val="22"/>
          <w:lang w:eastAsia="en-US"/>
        </w:rPr>
        <w:t xml:space="preserve">  </w:t>
      </w:r>
    </w:p>
    <w:p w:rsidR="0027212B" w:rsidRDefault="0027212B" w:rsidP="0003001E">
      <w:pPr>
        <w:rPr>
          <w:rFonts w:asciiTheme="minorHAnsi" w:hAnsiTheme="minorHAnsi"/>
          <w:sz w:val="22"/>
          <w:lang w:eastAsia="en-US"/>
        </w:rPr>
      </w:pPr>
      <w:r>
        <w:rPr>
          <w:rFonts w:asciiTheme="minorHAnsi" w:hAnsiTheme="minorHAnsi"/>
          <w:sz w:val="22"/>
          <w:lang w:eastAsia="en-US"/>
        </w:rPr>
        <w:t xml:space="preserve">Mr </w:t>
      </w:r>
      <w:proofErr w:type="spellStart"/>
      <w:r>
        <w:rPr>
          <w:rFonts w:asciiTheme="minorHAnsi" w:hAnsiTheme="minorHAnsi"/>
          <w:sz w:val="22"/>
          <w:lang w:eastAsia="en-US"/>
        </w:rPr>
        <w:t>Assal</w:t>
      </w:r>
      <w:proofErr w:type="spellEnd"/>
      <w:r>
        <w:rPr>
          <w:rFonts w:asciiTheme="minorHAnsi" w:hAnsiTheme="minorHAnsi"/>
          <w:sz w:val="22"/>
          <w:lang w:eastAsia="en-US"/>
        </w:rPr>
        <w:t xml:space="preserve"> and Mr Pollock’s reports do </w:t>
      </w:r>
      <w:r w:rsidR="00A83D86">
        <w:rPr>
          <w:rFonts w:asciiTheme="minorHAnsi" w:hAnsiTheme="minorHAnsi"/>
          <w:sz w:val="22"/>
          <w:lang w:eastAsia="en-US"/>
        </w:rPr>
        <w:t>not consider the controls proposed in Schedule 9 to the UGZ.</w:t>
      </w:r>
    </w:p>
    <w:p w:rsidR="00A850C3" w:rsidRDefault="00A850C3" w:rsidP="0003001E">
      <w:pPr>
        <w:rPr>
          <w:rFonts w:asciiTheme="minorHAnsi" w:hAnsiTheme="minorHAnsi"/>
          <w:sz w:val="22"/>
          <w:lang w:eastAsia="en-US"/>
        </w:rPr>
      </w:pPr>
      <w:r>
        <w:rPr>
          <w:rFonts w:asciiTheme="minorHAnsi" w:hAnsiTheme="minorHAnsi"/>
          <w:sz w:val="22"/>
          <w:lang w:eastAsia="en-US"/>
        </w:rPr>
        <w:t>The VP</w:t>
      </w:r>
      <w:r w:rsidR="00B06BD6">
        <w:rPr>
          <w:rFonts w:asciiTheme="minorHAnsi" w:hAnsiTheme="minorHAnsi"/>
          <w:sz w:val="22"/>
          <w:lang w:eastAsia="en-US"/>
        </w:rPr>
        <w:t>A</w:t>
      </w:r>
      <w:r>
        <w:rPr>
          <w:rFonts w:asciiTheme="minorHAnsi" w:hAnsiTheme="minorHAnsi"/>
          <w:sz w:val="22"/>
          <w:lang w:eastAsia="en-US"/>
        </w:rPr>
        <w:t xml:space="preserve"> does not consider any further changes to be required to Schedule 9.</w:t>
      </w:r>
    </w:p>
    <w:p w:rsidR="00A83D86" w:rsidRDefault="00E75891" w:rsidP="0003001E">
      <w:pPr>
        <w:rPr>
          <w:rFonts w:asciiTheme="minorHAnsi" w:hAnsiTheme="minorHAnsi"/>
          <w:sz w:val="22"/>
          <w:lang w:eastAsia="en-US"/>
        </w:rPr>
      </w:pPr>
      <w:r>
        <w:rPr>
          <w:rFonts w:asciiTheme="minorHAnsi" w:hAnsiTheme="minorHAnsi"/>
          <w:sz w:val="22"/>
          <w:lang w:eastAsia="en-US"/>
        </w:rPr>
        <w:t>In his expert witness statement in relation to town planning on behalf of Hi-Quality, Mr Barlow states</w:t>
      </w:r>
      <w:r w:rsidR="00A850C3">
        <w:rPr>
          <w:rFonts w:asciiTheme="minorHAnsi" w:hAnsiTheme="minorHAnsi"/>
          <w:sz w:val="22"/>
          <w:lang w:eastAsia="en-US"/>
        </w:rPr>
        <w:t>:</w:t>
      </w:r>
      <w:r w:rsidR="00A850C3">
        <w:rPr>
          <w:rStyle w:val="FootnoteReference"/>
          <w:rFonts w:asciiTheme="minorHAnsi" w:hAnsiTheme="minorHAnsi"/>
          <w:sz w:val="22"/>
          <w:lang w:eastAsia="en-US"/>
        </w:rPr>
        <w:footnoteReference w:id="83"/>
      </w:r>
    </w:p>
    <w:p w:rsidR="00A850C3" w:rsidRPr="00263E75" w:rsidRDefault="00A850C3" w:rsidP="00A850C3">
      <w:pPr>
        <w:ind w:left="709"/>
        <w:rPr>
          <w:rFonts w:asciiTheme="minorHAnsi" w:hAnsiTheme="minorHAnsi"/>
          <w:i/>
          <w:sz w:val="22"/>
          <w:szCs w:val="22"/>
          <w:lang w:eastAsia="en-US"/>
        </w:rPr>
      </w:pPr>
      <w:r w:rsidRPr="00263E75">
        <w:rPr>
          <w:rFonts w:asciiTheme="minorHAnsi" w:hAnsiTheme="minorHAnsi"/>
          <w:i/>
          <w:sz w:val="22"/>
          <w:szCs w:val="22"/>
          <w:lang w:eastAsia="en-US"/>
        </w:rPr>
        <w:t>I am instructed that, in the worst-case scenario, there will be no buffer associated with Veolia from 2028/2033 as there is no possible scenario in which it will be operating in a manner that requires a buffer over the land shown for residential (on the HQ Concept Plan) by 228/2033.</w:t>
      </w:r>
    </w:p>
    <w:p w:rsidR="0003001E" w:rsidRDefault="00263E75" w:rsidP="0003001E">
      <w:pPr>
        <w:rPr>
          <w:rFonts w:asciiTheme="minorHAnsi" w:hAnsiTheme="minorHAnsi"/>
          <w:sz w:val="22"/>
          <w:szCs w:val="22"/>
          <w:lang w:eastAsia="en-US"/>
        </w:rPr>
      </w:pPr>
      <w:r>
        <w:rPr>
          <w:rFonts w:asciiTheme="minorHAnsi" w:hAnsiTheme="minorHAnsi"/>
          <w:sz w:val="22"/>
          <w:szCs w:val="22"/>
          <w:lang w:eastAsia="en-US"/>
        </w:rPr>
        <w:t xml:space="preserve">The VPA understands this to be referring to Hi-Quality’s ownership of the land on which the Veolia facility is located and the fact </w:t>
      </w:r>
      <w:r w:rsidR="0090325C">
        <w:rPr>
          <w:rFonts w:asciiTheme="minorHAnsi" w:hAnsiTheme="minorHAnsi"/>
          <w:sz w:val="22"/>
          <w:szCs w:val="22"/>
          <w:lang w:eastAsia="en-US"/>
        </w:rPr>
        <w:t xml:space="preserve">that </w:t>
      </w:r>
      <w:r>
        <w:rPr>
          <w:rFonts w:asciiTheme="minorHAnsi" w:hAnsiTheme="minorHAnsi"/>
          <w:sz w:val="22"/>
          <w:szCs w:val="22"/>
          <w:lang w:eastAsia="en-US"/>
        </w:rPr>
        <w:t xml:space="preserve">this relationship is governed by lease.  </w:t>
      </w:r>
    </w:p>
    <w:p w:rsidR="002C2833" w:rsidRDefault="00377DE3" w:rsidP="00301D8F">
      <w:pPr>
        <w:rPr>
          <w:rFonts w:asciiTheme="minorHAnsi" w:hAnsiTheme="minorHAnsi"/>
          <w:sz w:val="22"/>
          <w:szCs w:val="22"/>
          <w:lang w:eastAsia="en-US"/>
        </w:rPr>
      </w:pPr>
      <w:r>
        <w:rPr>
          <w:rFonts w:asciiTheme="minorHAnsi" w:hAnsiTheme="minorHAnsi"/>
          <w:sz w:val="22"/>
          <w:szCs w:val="22"/>
          <w:lang w:eastAsia="en-US"/>
        </w:rPr>
        <w:t xml:space="preserve">The VPA considers it appropriate to apply residential zoning to some of the area subject to the composting facility </w:t>
      </w:r>
      <w:r w:rsidR="00D87C44">
        <w:rPr>
          <w:rFonts w:asciiTheme="minorHAnsi" w:hAnsiTheme="minorHAnsi"/>
          <w:sz w:val="22"/>
          <w:szCs w:val="22"/>
          <w:lang w:eastAsia="en-US"/>
        </w:rPr>
        <w:t>buffer, subject to the controls imposed in Clau</w:t>
      </w:r>
      <w:r w:rsidR="00301D8F">
        <w:rPr>
          <w:rFonts w:asciiTheme="minorHAnsi" w:hAnsiTheme="minorHAnsi"/>
          <w:sz w:val="22"/>
          <w:szCs w:val="22"/>
          <w:lang w:eastAsia="en-US"/>
        </w:rPr>
        <w:t xml:space="preserve">se 3.9 in Schedule 9 to the UGZ.  This would allow flexibility and preclude the need for a further planning scheme amendment to reduce the buffer, in the event the receival area at the facility is enclosed and the buffer can be significantly reduced.  It would also account for a range of potential future changes, including the possible end of </w:t>
      </w:r>
      <w:r w:rsidR="001C4E61">
        <w:rPr>
          <w:rFonts w:asciiTheme="minorHAnsi" w:hAnsiTheme="minorHAnsi"/>
          <w:sz w:val="22"/>
          <w:szCs w:val="22"/>
          <w:lang w:eastAsia="en-US"/>
        </w:rPr>
        <w:t>Veolia’s lease of the composting facility site from Hi-Quality.</w:t>
      </w:r>
    </w:p>
    <w:p w:rsidR="008069CE" w:rsidRPr="002C2833" w:rsidRDefault="008069CE" w:rsidP="00301D8F">
      <w:pPr>
        <w:rPr>
          <w:rFonts w:asciiTheme="minorHAnsi" w:hAnsiTheme="minorHAnsi"/>
          <w:sz w:val="22"/>
          <w:szCs w:val="22"/>
          <w:lang w:eastAsia="en-US"/>
        </w:rPr>
      </w:pPr>
      <w:r>
        <w:rPr>
          <w:rFonts w:asciiTheme="minorHAnsi" w:hAnsiTheme="minorHAnsi"/>
          <w:sz w:val="22"/>
          <w:szCs w:val="22"/>
          <w:lang w:eastAsia="en-US"/>
        </w:rPr>
        <w:t>The key question for the Panel is the preparation of controls that permit the requisite flexibility but act as a sufficient gatekeeper until changes are effect</w:t>
      </w:r>
      <w:r w:rsidR="00194AB1">
        <w:rPr>
          <w:rFonts w:asciiTheme="minorHAnsi" w:hAnsiTheme="minorHAnsi"/>
          <w:sz w:val="22"/>
          <w:szCs w:val="22"/>
          <w:lang w:eastAsia="en-US"/>
        </w:rPr>
        <w:t>ed</w:t>
      </w:r>
      <w:r>
        <w:rPr>
          <w:rFonts w:asciiTheme="minorHAnsi" w:hAnsiTheme="minorHAnsi"/>
          <w:sz w:val="22"/>
          <w:szCs w:val="22"/>
          <w:lang w:eastAsia="en-US"/>
        </w:rPr>
        <w:t xml:space="preserve"> to or upon the Veolia site.   </w:t>
      </w:r>
    </w:p>
    <w:p w:rsidR="0003001E" w:rsidRPr="00730E20" w:rsidRDefault="0003001E" w:rsidP="0003001E">
      <w:pPr>
        <w:rPr>
          <w:rFonts w:asciiTheme="minorHAnsi" w:hAnsiTheme="minorHAnsi"/>
          <w:b/>
          <w:i/>
          <w:sz w:val="22"/>
          <w:lang w:eastAsia="en-US"/>
        </w:rPr>
      </w:pPr>
      <w:r w:rsidRPr="00730E20">
        <w:rPr>
          <w:rFonts w:asciiTheme="minorHAnsi" w:hAnsiTheme="minorHAnsi"/>
          <w:b/>
          <w:i/>
          <w:sz w:val="22"/>
          <w:lang w:eastAsia="en-US"/>
        </w:rPr>
        <w:t>VPA position</w:t>
      </w:r>
    </w:p>
    <w:bookmarkEnd w:id="16"/>
    <w:p w:rsidR="002C2833" w:rsidRDefault="002E6ED9" w:rsidP="002C2833">
      <w:pPr>
        <w:rPr>
          <w:rFonts w:asciiTheme="minorHAnsi" w:hAnsiTheme="minorHAnsi"/>
          <w:sz w:val="22"/>
          <w:lang w:eastAsia="en-US"/>
        </w:rPr>
      </w:pPr>
      <w:r>
        <w:rPr>
          <w:rFonts w:asciiTheme="minorHAnsi" w:hAnsiTheme="minorHAnsi"/>
          <w:sz w:val="22"/>
          <w:lang w:eastAsia="en-US"/>
        </w:rPr>
        <w:t>Having considered the expert evi</w:t>
      </w:r>
      <w:r w:rsidR="00424468">
        <w:rPr>
          <w:rFonts w:asciiTheme="minorHAnsi" w:hAnsiTheme="minorHAnsi"/>
          <w:sz w:val="22"/>
          <w:lang w:eastAsia="en-US"/>
        </w:rPr>
        <w:t xml:space="preserve">dence in relation to the composting facility buffer, the VPA </w:t>
      </w:r>
      <w:r w:rsidR="002C0F12">
        <w:rPr>
          <w:rFonts w:asciiTheme="minorHAnsi" w:hAnsiTheme="minorHAnsi"/>
          <w:sz w:val="22"/>
          <w:lang w:eastAsia="en-US"/>
        </w:rPr>
        <w:t>proposes</w:t>
      </w:r>
      <w:r w:rsidR="00424468">
        <w:rPr>
          <w:rFonts w:asciiTheme="minorHAnsi" w:hAnsiTheme="minorHAnsi"/>
          <w:sz w:val="22"/>
          <w:lang w:eastAsia="en-US"/>
        </w:rPr>
        <w:t xml:space="preserve"> an additional change to Clause 3.9 in Schedule 9 to the UGZ to require planning permit applications for sensitive uses to be accompanied by a s53V audit.</w:t>
      </w:r>
    </w:p>
    <w:p w:rsidR="003E726B" w:rsidRPr="00FB0AA8" w:rsidRDefault="003E726B" w:rsidP="003E726B">
      <w:pPr>
        <w:pStyle w:val="Heading2"/>
        <w:rPr>
          <w:rFonts w:asciiTheme="minorHAnsi" w:hAnsiTheme="minorHAnsi"/>
          <w:b/>
        </w:rPr>
      </w:pPr>
      <w:bookmarkStart w:id="17" w:name="_Toc491027653"/>
      <w:r w:rsidRPr="00FB0AA8">
        <w:rPr>
          <w:rFonts w:asciiTheme="minorHAnsi" w:hAnsiTheme="minorHAnsi"/>
          <w:b/>
        </w:rPr>
        <w:lastRenderedPageBreak/>
        <w:t>Quarry buffer</w:t>
      </w:r>
      <w:bookmarkEnd w:id="17"/>
      <w:r w:rsidRPr="00FB0AA8">
        <w:rPr>
          <w:rFonts w:asciiTheme="minorHAnsi" w:hAnsiTheme="minorHAnsi"/>
          <w:b/>
        </w:rPr>
        <w:t xml:space="preserve"> </w:t>
      </w:r>
    </w:p>
    <w:p w:rsidR="003E726B" w:rsidRDefault="003E726B" w:rsidP="003E726B">
      <w:pPr>
        <w:rPr>
          <w:rFonts w:asciiTheme="minorHAnsi" w:hAnsiTheme="minorHAnsi"/>
          <w:i/>
          <w:sz w:val="22"/>
          <w:lang w:eastAsia="en-US"/>
        </w:rPr>
      </w:pPr>
      <w:r>
        <w:rPr>
          <w:rFonts w:asciiTheme="minorHAnsi" w:hAnsiTheme="minorHAnsi"/>
          <w:i/>
          <w:sz w:val="22"/>
          <w:lang w:eastAsia="en-US"/>
        </w:rPr>
        <w:t xml:space="preserve">Sunbury South PSP (C207) – Submissions 39 (J and L Ware); 61 (Hi-Quality Quarry Products Pty Ltd and </w:t>
      </w:r>
      <w:proofErr w:type="spellStart"/>
      <w:r>
        <w:rPr>
          <w:rFonts w:asciiTheme="minorHAnsi" w:hAnsiTheme="minorHAnsi"/>
          <w:i/>
          <w:sz w:val="22"/>
          <w:lang w:eastAsia="en-US"/>
        </w:rPr>
        <w:t>Trantaret</w:t>
      </w:r>
      <w:proofErr w:type="spellEnd"/>
      <w:r>
        <w:rPr>
          <w:rFonts w:asciiTheme="minorHAnsi" w:hAnsiTheme="minorHAnsi"/>
          <w:i/>
          <w:sz w:val="22"/>
          <w:lang w:eastAsia="en-US"/>
        </w:rPr>
        <w:t xml:space="preserve"> Pty Ltd); 82 (Environment Protection Authority)</w:t>
      </w:r>
    </w:p>
    <w:p w:rsidR="003E726B" w:rsidRDefault="003E726B" w:rsidP="003E726B">
      <w:pPr>
        <w:rPr>
          <w:rFonts w:asciiTheme="minorHAnsi" w:hAnsiTheme="minorHAnsi"/>
          <w:i/>
          <w:sz w:val="22"/>
          <w:lang w:eastAsia="en-US"/>
        </w:rPr>
      </w:pPr>
      <w:r>
        <w:rPr>
          <w:rFonts w:asciiTheme="minorHAnsi" w:hAnsiTheme="minorHAnsi"/>
          <w:i/>
          <w:sz w:val="22"/>
          <w:lang w:eastAsia="en-US"/>
        </w:rPr>
        <w:t>Lancefield Road PSP (C208) – Submission 83 (Environment Protection Authority)</w:t>
      </w:r>
    </w:p>
    <w:p w:rsidR="00BF3D1E" w:rsidRDefault="00782C94" w:rsidP="003E726B">
      <w:pPr>
        <w:rPr>
          <w:rFonts w:asciiTheme="minorHAnsi" w:hAnsiTheme="minorHAnsi"/>
          <w:sz w:val="22"/>
          <w:szCs w:val="22"/>
          <w:lang w:eastAsia="en-US"/>
        </w:rPr>
      </w:pPr>
      <w:r>
        <w:rPr>
          <w:rFonts w:asciiTheme="minorHAnsi" w:hAnsiTheme="minorHAnsi"/>
          <w:sz w:val="22"/>
          <w:lang w:eastAsia="en-US"/>
        </w:rPr>
        <w:t xml:space="preserve">The </w:t>
      </w:r>
      <w:r w:rsidR="00E00944">
        <w:rPr>
          <w:rFonts w:asciiTheme="minorHAnsi" w:hAnsiTheme="minorHAnsi"/>
          <w:sz w:val="22"/>
          <w:lang w:eastAsia="en-US"/>
        </w:rPr>
        <w:t>VPA’</w:t>
      </w:r>
      <w:r w:rsidR="005415F8">
        <w:rPr>
          <w:rFonts w:asciiTheme="minorHAnsi" w:hAnsiTheme="minorHAnsi"/>
          <w:sz w:val="22"/>
          <w:lang w:eastAsia="en-US"/>
        </w:rPr>
        <w:t xml:space="preserve">s Part </w:t>
      </w:r>
      <w:r w:rsidR="007B7B9B">
        <w:rPr>
          <w:rFonts w:asciiTheme="minorHAnsi" w:hAnsiTheme="minorHAnsi"/>
          <w:sz w:val="22"/>
          <w:lang w:eastAsia="en-US"/>
        </w:rPr>
        <w:t>A submission identifie</w:t>
      </w:r>
      <w:r w:rsidR="00FD05AC">
        <w:rPr>
          <w:rFonts w:asciiTheme="minorHAnsi" w:hAnsiTheme="minorHAnsi"/>
          <w:sz w:val="22"/>
          <w:lang w:eastAsia="en-US"/>
        </w:rPr>
        <w:t>d the q</w:t>
      </w:r>
      <w:r w:rsidR="00BA35E1">
        <w:rPr>
          <w:rFonts w:asciiTheme="minorHAnsi" w:hAnsiTheme="minorHAnsi"/>
          <w:sz w:val="22"/>
          <w:lang w:eastAsia="en-US"/>
        </w:rPr>
        <w:t xml:space="preserve">uarry operated by Hi-Quality </w:t>
      </w:r>
      <w:r w:rsidR="00141C89">
        <w:rPr>
          <w:rFonts w:asciiTheme="minorHAnsi" w:hAnsiTheme="minorHAnsi"/>
          <w:sz w:val="22"/>
          <w:lang w:eastAsia="en-US"/>
        </w:rPr>
        <w:t xml:space="preserve">at </w:t>
      </w:r>
      <w:r w:rsidR="00141C89">
        <w:rPr>
          <w:rFonts w:asciiTheme="minorHAnsi" w:hAnsiTheme="minorHAnsi"/>
          <w:sz w:val="22"/>
          <w:szCs w:val="22"/>
          <w:lang w:eastAsia="en-US"/>
        </w:rPr>
        <w:t>570 Sunbury Road, Bulla as a ‘non-blasting quarry’.</w:t>
      </w:r>
      <w:r w:rsidR="00901844">
        <w:rPr>
          <w:rFonts w:asciiTheme="minorHAnsi" w:hAnsiTheme="minorHAnsi"/>
          <w:sz w:val="22"/>
          <w:szCs w:val="22"/>
          <w:lang w:eastAsia="en-US"/>
        </w:rPr>
        <w:t xml:space="preserve">  This </w:t>
      </w:r>
      <w:r w:rsidR="00422417">
        <w:rPr>
          <w:rFonts w:asciiTheme="minorHAnsi" w:hAnsiTheme="minorHAnsi"/>
          <w:sz w:val="22"/>
          <w:szCs w:val="22"/>
          <w:lang w:eastAsia="en-US"/>
        </w:rPr>
        <w:t xml:space="preserve">was </w:t>
      </w:r>
      <w:r w:rsidR="00073CE9">
        <w:rPr>
          <w:rFonts w:asciiTheme="minorHAnsi" w:hAnsiTheme="minorHAnsi"/>
          <w:sz w:val="22"/>
          <w:szCs w:val="22"/>
          <w:lang w:eastAsia="en-US"/>
        </w:rPr>
        <w:t xml:space="preserve">consistent with its classification in the </w:t>
      </w:r>
      <w:r w:rsidR="001347A5">
        <w:rPr>
          <w:rFonts w:asciiTheme="minorHAnsi" w:hAnsiTheme="minorHAnsi"/>
          <w:sz w:val="22"/>
          <w:szCs w:val="22"/>
          <w:lang w:eastAsia="en-US"/>
        </w:rPr>
        <w:t>submission from the EPA</w:t>
      </w:r>
      <w:r w:rsidR="00073CE9">
        <w:rPr>
          <w:rFonts w:asciiTheme="minorHAnsi" w:hAnsiTheme="minorHAnsi"/>
          <w:sz w:val="22"/>
          <w:szCs w:val="22"/>
          <w:lang w:eastAsia="en-US"/>
        </w:rPr>
        <w:t>.</w:t>
      </w:r>
      <w:r w:rsidR="00270E96">
        <w:rPr>
          <w:rFonts w:asciiTheme="minorHAnsi" w:hAnsiTheme="minorHAnsi"/>
          <w:sz w:val="22"/>
          <w:szCs w:val="22"/>
          <w:lang w:eastAsia="en-US"/>
        </w:rPr>
        <w:t xml:space="preserve">  </w:t>
      </w:r>
      <w:r w:rsidR="00073CE9">
        <w:rPr>
          <w:rFonts w:asciiTheme="minorHAnsi" w:hAnsiTheme="minorHAnsi"/>
          <w:sz w:val="22"/>
          <w:szCs w:val="22"/>
          <w:lang w:eastAsia="en-US"/>
        </w:rPr>
        <w:t xml:space="preserve">However, the VPA now understands the quarry’s operations </w:t>
      </w:r>
      <w:r w:rsidR="00C81FC2">
        <w:rPr>
          <w:rFonts w:asciiTheme="minorHAnsi" w:hAnsiTheme="minorHAnsi"/>
          <w:sz w:val="22"/>
          <w:szCs w:val="22"/>
          <w:lang w:eastAsia="en-US"/>
        </w:rPr>
        <w:t>include blasting</w:t>
      </w:r>
      <w:r w:rsidR="00073CE9">
        <w:rPr>
          <w:rFonts w:asciiTheme="minorHAnsi" w:hAnsiTheme="minorHAnsi"/>
          <w:sz w:val="22"/>
          <w:szCs w:val="22"/>
          <w:lang w:eastAsia="en-US"/>
        </w:rPr>
        <w:t>.</w:t>
      </w:r>
    </w:p>
    <w:p w:rsidR="002336A2" w:rsidRDefault="002336A2" w:rsidP="003E726B">
      <w:pPr>
        <w:rPr>
          <w:rFonts w:asciiTheme="minorHAnsi" w:hAnsiTheme="minorHAnsi"/>
          <w:sz w:val="22"/>
          <w:szCs w:val="22"/>
          <w:lang w:eastAsia="en-US"/>
        </w:rPr>
      </w:pPr>
      <w:r>
        <w:rPr>
          <w:rFonts w:asciiTheme="minorHAnsi" w:hAnsiTheme="minorHAnsi"/>
          <w:sz w:val="22"/>
          <w:szCs w:val="22"/>
          <w:lang w:eastAsia="en-US"/>
        </w:rPr>
        <w:t>The quarry is subject to Work Authority No. 1123</w:t>
      </w:r>
      <w:r w:rsidR="00072998">
        <w:rPr>
          <w:rFonts w:asciiTheme="minorHAnsi" w:hAnsiTheme="minorHAnsi"/>
          <w:sz w:val="22"/>
          <w:szCs w:val="22"/>
          <w:lang w:eastAsia="en-US"/>
        </w:rPr>
        <w:t xml:space="preserve">.  Condition 14 in the work authority </w:t>
      </w:r>
      <w:r w:rsidR="00C35FDB">
        <w:rPr>
          <w:rFonts w:asciiTheme="minorHAnsi" w:hAnsiTheme="minorHAnsi"/>
          <w:sz w:val="22"/>
          <w:szCs w:val="22"/>
          <w:lang w:eastAsia="en-US"/>
        </w:rPr>
        <w:t xml:space="preserve">sets </w:t>
      </w:r>
      <w:proofErr w:type="spellStart"/>
      <w:r w:rsidR="00C35FDB">
        <w:rPr>
          <w:rFonts w:asciiTheme="minorHAnsi" w:hAnsiTheme="minorHAnsi"/>
          <w:sz w:val="22"/>
          <w:szCs w:val="22"/>
          <w:lang w:eastAsia="en-US"/>
        </w:rPr>
        <w:t>airblast</w:t>
      </w:r>
      <w:proofErr w:type="spellEnd"/>
      <w:r w:rsidR="00C35FDB">
        <w:rPr>
          <w:rFonts w:asciiTheme="minorHAnsi" w:hAnsiTheme="minorHAnsi"/>
          <w:sz w:val="22"/>
          <w:szCs w:val="22"/>
          <w:lang w:eastAsia="en-US"/>
        </w:rPr>
        <w:t xml:space="preserve"> and ground vibration limits.</w:t>
      </w:r>
    </w:p>
    <w:p w:rsidR="00607EF4" w:rsidRDefault="00570652" w:rsidP="003E726B">
      <w:pPr>
        <w:rPr>
          <w:rFonts w:asciiTheme="minorHAnsi" w:hAnsiTheme="minorHAnsi"/>
          <w:sz w:val="22"/>
          <w:szCs w:val="22"/>
          <w:lang w:eastAsia="en-US"/>
        </w:rPr>
      </w:pPr>
      <w:r>
        <w:rPr>
          <w:rFonts w:asciiTheme="minorHAnsi" w:hAnsiTheme="minorHAnsi"/>
          <w:sz w:val="22"/>
          <w:szCs w:val="22"/>
          <w:lang w:eastAsia="en-US"/>
        </w:rPr>
        <w:t>Plan 3 (Future Urban Structure) in the Sunbury South PSP</w:t>
      </w:r>
      <w:r w:rsidR="00715698">
        <w:rPr>
          <w:rFonts w:asciiTheme="minorHAnsi" w:hAnsiTheme="minorHAnsi"/>
          <w:sz w:val="22"/>
          <w:szCs w:val="22"/>
          <w:lang w:eastAsia="en-US"/>
        </w:rPr>
        <w:t xml:space="preserve"> depicts</w:t>
      </w:r>
      <w:r>
        <w:rPr>
          <w:rFonts w:asciiTheme="minorHAnsi" w:hAnsiTheme="minorHAnsi"/>
          <w:sz w:val="22"/>
          <w:szCs w:val="22"/>
          <w:lang w:eastAsia="en-US"/>
        </w:rPr>
        <w:t xml:space="preserve"> a ‘</w:t>
      </w:r>
      <w:r w:rsidR="00715698">
        <w:rPr>
          <w:rFonts w:asciiTheme="minorHAnsi" w:hAnsiTheme="minorHAnsi"/>
          <w:sz w:val="22"/>
          <w:szCs w:val="22"/>
          <w:lang w:eastAsia="en-US"/>
        </w:rPr>
        <w:t>quarry buffer (250m)’.</w:t>
      </w:r>
      <w:r w:rsidR="006E57DB">
        <w:rPr>
          <w:rFonts w:asciiTheme="minorHAnsi" w:hAnsiTheme="minorHAnsi"/>
          <w:sz w:val="22"/>
          <w:szCs w:val="22"/>
          <w:lang w:eastAsia="en-US"/>
        </w:rPr>
        <w:t xml:space="preserve">  </w:t>
      </w:r>
      <w:r w:rsidR="00607EF4">
        <w:rPr>
          <w:rFonts w:asciiTheme="minorHAnsi" w:hAnsiTheme="minorHAnsi"/>
          <w:sz w:val="22"/>
          <w:szCs w:val="22"/>
          <w:lang w:eastAsia="en-US"/>
        </w:rPr>
        <w:t xml:space="preserve">As noted in the EPA submission, the Separation Distance Guideline recommends a </w:t>
      </w:r>
      <w:proofErr w:type="gramStart"/>
      <w:r w:rsidR="00607EF4">
        <w:rPr>
          <w:rFonts w:asciiTheme="minorHAnsi" w:hAnsiTheme="minorHAnsi"/>
          <w:sz w:val="22"/>
          <w:szCs w:val="22"/>
          <w:lang w:eastAsia="en-US"/>
        </w:rPr>
        <w:t>250 metre</w:t>
      </w:r>
      <w:proofErr w:type="gramEnd"/>
      <w:r w:rsidR="00607EF4">
        <w:rPr>
          <w:rFonts w:asciiTheme="minorHAnsi" w:hAnsiTheme="minorHAnsi"/>
          <w:sz w:val="22"/>
          <w:szCs w:val="22"/>
          <w:lang w:eastAsia="en-US"/>
        </w:rPr>
        <w:t xml:space="preserve"> </w:t>
      </w:r>
      <w:r w:rsidR="00603FFD">
        <w:rPr>
          <w:rFonts w:asciiTheme="minorHAnsi" w:hAnsiTheme="minorHAnsi"/>
          <w:sz w:val="22"/>
          <w:szCs w:val="22"/>
          <w:lang w:eastAsia="en-US"/>
        </w:rPr>
        <w:t>buffer</w:t>
      </w:r>
      <w:r w:rsidR="00607EF4">
        <w:rPr>
          <w:rFonts w:asciiTheme="minorHAnsi" w:hAnsiTheme="minorHAnsi"/>
          <w:sz w:val="22"/>
          <w:szCs w:val="22"/>
          <w:lang w:eastAsia="en-US"/>
        </w:rPr>
        <w:t xml:space="preserve"> for non-blasting quarries.</w:t>
      </w:r>
    </w:p>
    <w:p w:rsidR="0094008E" w:rsidRDefault="00EA6676" w:rsidP="003E726B">
      <w:pPr>
        <w:rPr>
          <w:rFonts w:asciiTheme="minorHAnsi" w:hAnsiTheme="minorHAnsi"/>
          <w:sz w:val="22"/>
          <w:szCs w:val="22"/>
          <w:lang w:eastAsia="en-US"/>
        </w:rPr>
      </w:pPr>
      <w:r>
        <w:rPr>
          <w:rFonts w:asciiTheme="minorHAnsi" w:hAnsiTheme="minorHAnsi"/>
          <w:sz w:val="22"/>
          <w:szCs w:val="22"/>
          <w:lang w:eastAsia="en-US"/>
        </w:rPr>
        <w:t xml:space="preserve">The Separation Distance Guideline recommends a </w:t>
      </w:r>
      <w:proofErr w:type="gramStart"/>
      <w:r>
        <w:rPr>
          <w:rFonts w:asciiTheme="minorHAnsi" w:hAnsiTheme="minorHAnsi"/>
          <w:sz w:val="22"/>
          <w:szCs w:val="22"/>
          <w:lang w:eastAsia="en-US"/>
        </w:rPr>
        <w:t>500 metre</w:t>
      </w:r>
      <w:proofErr w:type="gramEnd"/>
      <w:r>
        <w:rPr>
          <w:rFonts w:asciiTheme="minorHAnsi" w:hAnsiTheme="minorHAnsi"/>
          <w:sz w:val="22"/>
          <w:szCs w:val="22"/>
          <w:lang w:eastAsia="en-US"/>
        </w:rPr>
        <w:t xml:space="preserve"> </w:t>
      </w:r>
      <w:r w:rsidR="00603FFD">
        <w:rPr>
          <w:rFonts w:asciiTheme="minorHAnsi" w:hAnsiTheme="minorHAnsi"/>
          <w:sz w:val="22"/>
          <w:szCs w:val="22"/>
          <w:lang w:eastAsia="en-US"/>
        </w:rPr>
        <w:t>buffer</w:t>
      </w:r>
      <w:r w:rsidR="00364414">
        <w:rPr>
          <w:rFonts w:asciiTheme="minorHAnsi" w:hAnsiTheme="minorHAnsi"/>
          <w:sz w:val="22"/>
          <w:szCs w:val="22"/>
          <w:lang w:eastAsia="en-US"/>
        </w:rPr>
        <w:t xml:space="preserve"> for blasting quarries. </w:t>
      </w:r>
      <w:r w:rsidR="0094008E">
        <w:rPr>
          <w:rFonts w:asciiTheme="minorHAnsi" w:hAnsiTheme="minorHAnsi"/>
          <w:sz w:val="22"/>
          <w:szCs w:val="22"/>
          <w:lang w:eastAsia="en-US"/>
        </w:rPr>
        <w:t xml:space="preserve"> </w:t>
      </w:r>
      <w:r w:rsidR="00755538">
        <w:rPr>
          <w:rFonts w:asciiTheme="minorHAnsi" w:hAnsiTheme="minorHAnsi"/>
          <w:sz w:val="22"/>
          <w:szCs w:val="22"/>
          <w:lang w:eastAsia="en-US"/>
        </w:rPr>
        <w:t>There is no evidence before the Panel in respect of the quarry buffer.</w:t>
      </w:r>
    </w:p>
    <w:p w:rsidR="00073CE9" w:rsidRDefault="00364414" w:rsidP="003E726B">
      <w:pPr>
        <w:rPr>
          <w:rFonts w:asciiTheme="minorHAnsi" w:hAnsiTheme="minorHAnsi"/>
          <w:sz w:val="22"/>
          <w:szCs w:val="22"/>
          <w:lang w:eastAsia="en-US"/>
        </w:rPr>
      </w:pPr>
      <w:r>
        <w:rPr>
          <w:rFonts w:asciiTheme="minorHAnsi" w:hAnsiTheme="minorHAnsi"/>
          <w:sz w:val="22"/>
          <w:szCs w:val="22"/>
          <w:lang w:eastAsia="en-US"/>
        </w:rPr>
        <w:t xml:space="preserve"> The VPA considers that Plan 3, and correspondingly Map 1 in Schedule 9 to the UGZ, should be revised to reflect a ‘quarry buffer (500m)’.</w:t>
      </w:r>
    </w:p>
    <w:p w:rsidR="00967E06" w:rsidRDefault="0094008E" w:rsidP="003E726B">
      <w:pPr>
        <w:rPr>
          <w:rFonts w:asciiTheme="minorHAnsi" w:hAnsiTheme="minorHAnsi"/>
          <w:sz w:val="22"/>
          <w:szCs w:val="22"/>
          <w:lang w:eastAsia="en-US"/>
        </w:rPr>
      </w:pPr>
      <w:r>
        <w:rPr>
          <w:rFonts w:asciiTheme="minorHAnsi" w:hAnsiTheme="minorHAnsi"/>
          <w:sz w:val="22"/>
          <w:szCs w:val="22"/>
          <w:lang w:eastAsia="en-US"/>
        </w:rPr>
        <w:t xml:space="preserve">Clause </w:t>
      </w:r>
      <w:r w:rsidR="00CA10E0">
        <w:rPr>
          <w:rFonts w:asciiTheme="minorHAnsi" w:hAnsiTheme="minorHAnsi"/>
          <w:sz w:val="22"/>
          <w:szCs w:val="22"/>
          <w:lang w:eastAsia="en-US"/>
        </w:rPr>
        <w:t xml:space="preserve">2.12 in Schedule 9 to the UGZ </w:t>
      </w:r>
      <w:r w:rsidR="00224272">
        <w:rPr>
          <w:rFonts w:asciiTheme="minorHAnsi" w:hAnsiTheme="minorHAnsi"/>
          <w:sz w:val="22"/>
          <w:szCs w:val="22"/>
          <w:lang w:eastAsia="en-US"/>
        </w:rPr>
        <w:t>relates to referral of applications within the quarry buffer.  The te</w:t>
      </w:r>
      <w:r w:rsidR="00FB0D11">
        <w:rPr>
          <w:rFonts w:asciiTheme="minorHAnsi" w:hAnsiTheme="minorHAnsi"/>
          <w:sz w:val="22"/>
          <w:szCs w:val="22"/>
          <w:lang w:eastAsia="en-US"/>
        </w:rPr>
        <w:t xml:space="preserve">xt </w:t>
      </w:r>
      <w:r w:rsidR="00224272">
        <w:rPr>
          <w:rFonts w:asciiTheme="minorHAnsi" w:hAnsiTheme="minorHAnsi"/>
          <w:sz w:val="22"/>
          <w:szCs w:val="22"/>
          <w:lang w:eastAsia="en-US"/>
        </w:rPr>
        <w:t>in this clause includes several references to ‘250 metres’ that would also require revision to ‘500 metres’.</w:t>
      </w:r>
      <w:r w:rsidR="00967E06">
        <w:rPr>
          <w:rFonts w:asciiTheme="minorHAnsi" w:hAnsiTheme="minorHAnsi"/>
          <w:sz w:val="22"/>
          <w:szCs w:val="22"/>
          <w:lang w:eastAsia="en-US"/>
        </w:rPr>
        <w:t xml:space="preserve">  </w:t>
      </w:r>
    </w:p>
    <w:p w:rsidR="0094008E" w:rsidRDefault="00967E06" w:rsidP="003E726B">
      <w:pPr>
        <w:rPr>
          <w:rFonts w:asciiTheme="minorHAnsi" w:hAnsiTheme="minorHAnsi"/>
          <w:sz w:val="22"/>
          <w:szCs w:val="22"/>
          <w:lang w:eastAsia="en-US"/>
        </w:rPr>
      </w:pPr>
      <w:r>
        <w:rPr>
          <w:rFonts w:asciiTheme="minorHAnsi" w:hAnsiTheme="minorHAnsi"/>
          <w:sz w:val="22"/>
          <w:szCs w:val="22"/>
          <w:lang w:eastAsia="en-US"/>
        </w:rPr>
        <w:t xml:space="preserve">The VPA does not consider </w:t>
      </w:r>
      <w:r w:rsidR="00836F1B">
        <w:rPr>
          <w:rFonts w:asciiTheme="minorHAnsi" w:hAnsiTheme="minorHAnsi"/>
          <w:sz w:val="22"/>
          <w:szCs w:val="22"/>
          <w:lang w:eastAsia="en-US"/>
        </w:rPr>
        <w:t xml:space="preserve">any further changes </w:t>
      </w:r>
      <w:r w:rsidR="00273F07">
        <w:rPr>
          <w:rFonts w:asciiTheme="minorHAnsi" w:hAnsiTheme="minorHAnsi"/>
          <w:sz w:val="22"/>
          <w:szCs w:val="22"/>
          <w:lang w:eastAsia="en-US"/>
        </w:rPr>
        <w:t xml:space="preserve">to be </w:t>
      </w:r>
      <w:r w:rsidR="00836F1B">
        <w:rPr>
          <w:rFonts w:asciiTheme="minorHAnsi" w:hAnsiTheme="minorHAnsi"/>
          <w:sz w:val="22"/>
          <w:szCs w:val="22"/>
          <w:lang w:eastAsia="en-US"/>
        </w:rPr>
        <w:t>necessary</w:t>
      </w:r>
      <w:r>
        <w:rPr>
          <w:rFonts w:asciiTheme="minorHAnsi" w:hAnsiTheme="minorHAnsi"/>
          <w:sz w:val="22"/>
          <w:szCs w:val="22"/>
          <w:lang w:eastAsia="en-US"/>
        </w:rPr>
        <w:t xml:space="preserve">.  </w:t>
      </w:r>
      <w:r w:rsidR="00E403A5">
        <w:rPr>
          <w:rFonts w:asciiTheme="minorHAnsi" w:hAnsiTheme="minorHAnsi"/>
          <w:sz w:val="22"/>
          <w:szCs w:val="22"/>
          <w:lang w:eastAsia="en-US"/>
        </w:rPr>
        <w:t xml:space="preserve">The VPA notes that it </w:t>
      </w:r>
      <w:r w:rsidR="00836F1B">
        <w:rPr>
          <w:rFonts w:asciiTheme="minorHAnsi" w:hAnsiTheme="minorHAnsi"/>
          <w:sz w:val="22"/>
          <w:szCs w:val="22"/>
          <w:lang w:eastAsia="en-US"/>
        </w:rPr>
        <w:t xml:space="preserve">is </w:t>
      </w:r>
      <w:proofErr w:type="gramStart"/>
      <w:r w:rsidR="00836F1B">
        <w:rPr>
          <w:rFonts w:asciiTheme="minorHAnsi" w:hAnsiTheme="minorHAnsi"/>
          <w:sz w:val="22"/>
          <w:szCs w:val="22"/>
          <w:lang w:eastAsia="en-US"/>
        </w:rPr>
        <w:t>in the nature of a</w:t>
      </w:r>
      <w:proofErr w:type="gramEnd"/>
      <w:r w:rsidR="00836F1B">
        <w:rPr>
          <w:rFonts w:asciiTheme="minorHAnsi" w:hAnsiTheme="minorHAnsi"/>
          <w:sz w:val="22"/>
          <w:szCs w:val="22"/>
          <w:lang w:eastAsia="en-US"/>
        </w:rPr>
        <w:t xml:space="preserve"> quarry</w:t>
      </w:r>
      <w:r w:rsidR="00E403A5">
        <w:rPr>
          <w:rFonts w:asciiTheme="minorHAnsi" w:hAnsiTheme="minorHAnsi"/>
          <w:sz w:val="22"/>
          <w:szCs w:val="22"/>
          <w:lang w:eastAsia="en-US"/>
        </w:rPr>
        <w:t xml:space="preserve"> that blasting is not indefinitely required.  As submitted above in relation to the landfill and composting facility buffers, the VPA considers it important that the PSP and Amendment ordinance provide sufficient flexibility to accommodate future changes.  This is particularly applicable in relation to blasting operations at the quarry.</w:t>
      </w:r>
    </w:p>
    <w:p w:rsidR="00956508" w:rsidRPr="008A324C" w:rsidRDefault="004366C4" w:rsidP="009006CB">
      <w:pPr>
        <w:pStyle w:val="Heading2"/>
        <w:rPr>
          <w:rFonts w:asciiTheme="minorHAnsi" w:hAnsiTheme="minorHAnsi"/>
          <w:b/>
        </w:rPr>
      </w:pPr>
      <w:bookmarkStart w:id="18" w:name="_Toc491027654"/>
      <w:r w:rsidRPr="008A324C">
        <w:rPr>
          <w:rFonts w:asciiTheme="minorHAnsi" w:hAnsiTheme="minorHAnsi"/>
          <w:b/>
        </w:rPr>
        <w:t>Racecourse Road site</w:t>
      </w:r>
      <w:bookmarkEnd w:id="18"/>
    </w:p>
    <w:p w:rsidR="00DA1892" w:rsidRDefault="007E7554" w:rsidP="00193CB3">
      <w:pPr>
        <w:rPr>
          <w:rFonts w:asciiTheme="minorHAnsi" w:hAnsiTheme="minorHAnsi"/>
          <w:sz w:val="22"/>
          <w:lang w:eastAsia="en-US"/>
        </w:rPr>
      </w:pPr>
      <w:r>
        <w:rPr>
          <w:rFonts w:asciiTheme="minorHAnsi" w:hAnsiTheme="minorHAnsi"/>
          <w:sz w:val="22"/>
          <w:lang w:eastAsia="en-US"/>
        </w:rPr>
        <w:t xml:space="preserve">The Racecourse Road site </w:t>
      </w:r>
      <w:r w:rsidR="00BC370A">
        <w:rPr>
          <w:rFonts w:asciiTheme="minorHAnsi" w:hAnsiTheme="minorHAnsi"/>
          <w:sz w:val="22"/>
          <w:lang w:eastAsia="en-US"/>
        </w:rPr>
        <w:t>is the subject of numerous submissions in response to exhibition of the Lancefield Road PSP</w:t>
      </w:r>
      <w:r w:rsidR="00365E7F">
        <w:rPr>
          <w:rFonts w:asciiTheme="minorHAnsi" w:hAnsiTheme="minorHAnsi"/>
          <w:sz w:val="22"/>
          <w:lang w:eastAsia="en-US"/>
        </w:rPr>
        <w:t>, particularly from existing Sunbury residents</w:t>
      </w:r>
      <w:r w:rsidR="00BC370A">
        <w:rPr>
          <w:rFonts w:asciiTheme="minorHAnsi" w:hAnsiTheme="minorHAnsi"/>
          <w:sz w:val="22"/>
          <w:lang w:eastAsia="en-US"/>
        </w:rPr>
        <w:t>.</w:t>
      </w:r>
      <w:r w:rsidR="00DA1892">
        <w:rPr>
          <w:rFonts w:asciiTheme="minorHAnsi" w:hAnsiTheme="minorHAnsi"/>
          <w:sz w:val="22"/>
          <w:lang w:eastAsia="en-US"/>
        </w:rPr>
        <w:t xml:space="preserve">  These are identified on the map of submissions prepared by the VPA for this hearing.</w:t>
      </w:r>
    </w:p>
    <w:p w:rsidR="00D62C79" w:rsidRDefault="006C3554" w:rsidP="00193CB3">
      <w:pPr>
        <w:rPr>
          <w:rFonts w:asciiTheme="minorHAnsi" w:hAnsiTheme="minorHAnsi"/>
          <w:sz w:val="22"/>
          <w:lang w:eastAsia="en-US"/>
        </w:rPr>
      </w:pPr>
      <w:r>
        <w:rPr>
          <w:rFonts w:asciiTheme="minorHAnsi" w:hAnsiTheme="minorHAnsi"/>
          <w:sz w:val="22"/>
          <w:lang w:eastAsia="en-US"/>
        </w:rPr>
        <w:t>The Racecourse Road site is</w:t>
      </w:r>
      <w:r w:rsidR="0029359B">
        <w:rPr>
          <w:rFonts w:asciiTheme="minorHAnsi" w:hAnsiTheme="minorHAnsi"/>
          <w:sz w:val="22"/>
          <w:lang w:eastAsia="en-US"/>
        </w:rPr>
        <w:t xml:space="preserve"> also the subject of section 96A planning permit application no. P18854 by Villawood </w:t>
      </w:r>
      <w:r w:rsidR="007C555E">
        <w:rPr>
          <w:rFonts w:asciiTheme="minorHAnsi" w:hAnsiTheme="minorHAnsi"/>
          <w:sz w:val="22"/>
          <w:lang w:eastAsia="en-US"/>
        </w:rPr>
        <w:t>for a proposed residential subdivision named Sherwood Heights.</w:t>
      </w:r>
      <w:r w:rsidR="00B86039">
        <w:rPr>
          <w:rFonts w:asciiTheme="minorHAnsi" w:hAnsiTheme="minorHAnsi"/>
          <w:sz w:val="22"/>
          <w:lang w:eastAsia="en-US"/>
        </w:rPr>
        <w:t xml:space="preserve">  Section 2.8.1 of this submission provides an update on the VPA’s assessment of that application, including a response to expert evidence.</w:t>
      </w:r>
    </w:p>
    <w:p w:rsidR="00B86039" w:rsidRDefault="003059DD" w:rsidP="00193CB3">
      <w:pPr>
        <w:rPr>
          <w:rFonts w:asciiTheme="minorHAnsi" w:hAnsiTheme="minorHAnsi"/>
          <w:sz w:val="22"/>
          <w:lang w:eastAsia="en-US"/>
        </w:rPr>
      </w:pPr>
      <w:r>
        <w:rPr>
          <w:rFonts w:asciiTheme="minorHAnsi" w:hAnsiTheme="minorHAnsi"/>
          <w:sz w:val="22"/>
          <w:lang w:eastAsia="en-US"/>
        </w:rPr>
        <w:lastRenderedPageBreak/>
        <w:t xml:space="preserve">The submissions </w:t>
      </w:r>
      <w:r w:rsidR="00884D1B">
        <w:rPr>
          <w:rFonts w:asciiTheme="minorHAnsi" w:hAnsiTheme="minorHAnsi"/>
          <w:sz w:val="22"/>
          <w:lang w:eastAsia="en-US"/>
        </w:rPr>
        <w:t>raising concerns in relation to development on this s</w:t>
      </w:r>
      <w:r w:rsidR="008A6277">
        <w:rPr>
          <w:rFonts w:asciiTheme="minorHAnsi" w:hAnsiTheme="minorHAnsi"/>
          <w:sz w:val="22"/>
          <w:lang w:eastAsia="en-US"/>
        </w:rPr>
        <w:t>ite generally sought to protect the valley’s visual landscape, heritage places</w:t>
      </w:r>
      <w:r w:rsidR="00305042">
        <w:rPr>
          <w:rFonts w:asciiTheme="minorHAnsi" w:hAnsiTheme="minorHAnsi"/>
          <w:sz w:val="22"/>
          <w:lang w:eastAsia="en-US"/>
        </w:rPr>
        <w:t>,</w:t>
      </w:r>
      <w:r w:rsidR="008A6277">
        <w:rPr>
          <w:rFonts w:asciiTheme="minorHAnsi" w:hAnsiTheme="minorHAnsi"/>
          <w:sz w:val="22"/>
          <w:lang w:eastAsia="en-US"/>
        </w:rPr>
        <w:t xml:space="preserve"> and natural conservation values.  </w:t>
      </w:r>
    </w:p>
    <w:p w:rsidR="002907E5" w:rsidRDefault="002907E5" w:rsidP="00193CB3">
      <w:pPr>
        <w:rPr>
          <w:rFonts w:asciiTheme="minorHAnsi" w:hAnsiTheme="minorHAnsi"/>
          <w:sz w:val="22"/>
          <w:lang w:eastAsia="en-US"/>
        </w:rPr>
      </w:pPr>
      <w:r>
        <w:rPr>
          <w:rFonts w:asciiTheme="minorHAnsi" w:hAnsiTheme="minorHAnsi"/>
          <w:sz w:val="22"/>
          <w:lang w:eastAsia="en-US"/>
        </w:rPr>
        <w:t xml:space="preserve">Specific </w:t>
      </w:r>
      <w:r w:rsidR="00170222">
        <w:rPr>
          <w:rFonts w:asciiTheme="minorHAnsi" w:hAnsiTheme="minorHAnsi"/>
          <w:sz w:val="22"/>
          <w:lang w:eastAsia="en-US"/>
        </w:rPr>
        <w:t>recommendations made in these submissions include:</w:t>
      </w:r>
    </w:p>
    <w:p w:rsidR="00170222" w:rsidRDefault="00C16CCE" w:rsidP="001F39E5">
      <w:pPr>
        <w:pStyle w:val="ListParagraph"/>
        <w:numPr>
          <w:ilvl w:val="0"/>
          <w:numId w:val="55"/>
        </w:numPr>
      </w:pPr>
      <w:r>
        <w:t>retaining the current application of the Rural Conservation Zone (</w:t>
      </w:r>
      <w:r>
        <w:rPr>
          <w:b/>
        </w:rPr>
        <w:t>RCZ</w:t>
      </w:r>
      <w:r>
        <w:t xml:space="preserve">) </w:t>
      </w:r>
      <w:r w:rsidR="00330EE9">
        <w:t>to the valley;</w:t>
      </w:r>
    </w:p>
    <w:p w:rsidR="00330EE9" w:rsidRDefault="00330EE9" w:rsidP="001F39E5">
      <w:pPr>
        <w:pStyle w:val="ListParagraph"/>
        <w:numPr>
          <w:ilvl w:val="0"/>
          <w:numId w:val="55"/>
        </w:numPr>
      </w:pPr>
      <w:r>
        <w:t xml:space="preserve">abandoning plans for the northern crossing of Jacksons Creek </w:t>
      </w:r>
      <w:r w:rsidR="00CA32EE">
        <w:t>connecting Elizabeth Drive to Lancefield Road; and</w:t>
      </w:r>
    </w:p>
    <w:p w:rsidR="00CA32EE" w:rsidRDefault="00906961" w:rsidP="001F39E5">
      <w:pPr>
        <w:pStyle w:val="ListParagraph"/>
        <w:numPr>
          <w:ilvl w:val="0"/>
          <w:numId w:val="55"/>
        </w:numPr>
      </w:pPr>
      <w:r>
        <w:t>abandoning or reducing the extent of residential development on the east side of Racecourse Road.</w:t>
      </w:r>
    </w:p>
    <w:p w:rsidR="001439E1" w:rsidRDefault="005C3212" w:rsidP="00CF589E">
      <w:pPr>
        <w:rPr>
          <w:rFonts w:asciiTheme="minorHAnsi" w:hAnsiTheme="minorHAnsi"/>
          <w:sz w:val="22"/>
          <w:lang w:eastAsia="en-US"/>
        </w:rPr>
      </w:pPr>
      <w:r>
        <w:rPr>
          <w:rFonts w:asciiTheme="minorHAnsi" w:hAnsiTheme="minorHAnsi"/>
          <w:sz w:val="22"/>
          <w:lang w:eastAsia="en-US"/>
        </w:rPr>
        <w:t>The northern crossing is discussed above in this submission in relation to heritage and below in relation to its role in the transport network.</w:t>
      </w:r>
    </w:p>
    <w:p w:rsidR="006A087D" w:rsidRDefault="000B6629" w:rsidP="00CF589E">
      <w:pPr>
        <w:rPr>
          <w:rFonts w:asciiTheme="minorHAnsi" w:hAnsiTheme="minorHAnsi"/>
          <w:sz w:val="22"/>
          <w:lang w:eastAsia="en-US"/>
        </w:rPr>
      </w:pPr>
      <w:r>
        <w:rPr>
          <w:rFonts w:asciiTheme="minorHAnsi" w:hAnsiTheme="minorHAnsi"/>
          <w:sz w:val="22"/>
          <w:lang w:eastAsia="en-US"/>
        </w:rPr>
        <w:t xml:space="preserve">The VPA continues to support </w:t>
      </w:r>
      <w:r w:rsidR="00443061">
        <w:rPr>
          <w:rFonts w:asciiTheme="minorHAnsi" w:hAnsiTheme="minorHAnsi"/>
          <w:sz w:val="22"/>
          <w:lang w:eastAsia="en-US"/>
        </w:rPr>
        <w:t xml:space="preserve">the residential designation of this area in the </w:t>
      </w:r>
      <w:r w:rsidR="00115605">
        <w:rPr>
          <w:rFonts w:asciiTheme="minorHAnsi" w:hAnsiTheme="minorHAnsi"/>
          <w:sz w:val="22"/>
          <w:lang w:eastAsia="en-US"/>
        </w:rPr>
        <w:t xml:space="preserve">Lancefield Road </w:t>
      </w:r>
      <w:r w:rsidR="00443061">
        <w:rPr>
          <w:rFonts w:asciiTheme="minorHAnsi" w:hAnsiTheme="minorHAnsi"/>
          <w:sz w:val="22"/>
          <w:lang w:eastAsia="en-US"/>
        </w:rPr>
        <w:t>PSP.</w:t>
      </w:r>
      <w:r w:rsidR="00B27DB0">
        <w:rPr>
          <w:rFonts w:asciiTheme="minorHAnsi" w:hAnsiTheme="minorHAnsi"/>
          <w:sz w:val="22"/>
          <w:lang w:eastAsia="en-US"/>
        </w:rPr>
        <w:t xml:space="preserve">  However, in response to the submissions received and having regard to the sensitive context of the site, the VPA has proposed</w:t>
      </w:r>
      <w:r w:rsidR="006A087D">
        <w:rPr>
          <w:rFonts w:asciiTheme="minorHAnsi" w:hAnsiTheme="minorHAnsi"/>
          <w:sz w:val="22"/>
          <w:lang w:eastAsia="en-US"/>
        </w:rPr>
        <w:t>:</w:t>
      </w:r>
      <w:r w:rsidR="00B27DB0">
        <w:rPr>
          <w:rFonts w:asciiTheme="minorHAnsi" w:hAnsiTheme="minorHAnsi"/>
          <w:sz w:val="22"/>
          <w:lang w:eastAsia="en-US"/>
        </w:rPr>
        <w:t xml:space="preserve"> </w:t>
      </w:r>
    </w:p>
    <w:p w:rsidR="006A087D" w:rsidRDefault="00836533" w:rsidP="001F39E5">
      <w:pPr>
        <w:pStyle w:val="ListParagraph"/>
        <w:numPr>
          <w:ilvl w:val="0"/>
          <w:numId w:val="56"/>
        </w:numPr>
      </w:pPr>
      <w:r w:rsidRPr="006A087D">
        <w:t>a reduction in the developable area</w:t>
      </w:r>
      <w:r w:rsidR="006A087D">
        <w:t>;</w:t>
      </w:r>
      <w:r w:rsidRPr="006A087D">
        <w:t xml:space="preserve"> and </w:t>
      </w:r>
    </w:p>
    <w:p w:rsidR="000B6629" w:rsidRPr="006A087D" w:rsidRDefault="00836533" w:rsidP="001F39E5">
      <w:pPr>
        <w:pStyle w:val="ListParagraph"/>
        <w:numPr>
          <w:ilvl w:val="0"/>
          <w:numId w:val="56"/>
        </w:numPr>
      </w:pPr>
      <w:r w:rsidRPr="006A087D">
        <w:t>the application of additional design controls to ensure an appropriate built form outcome.</w:t>
      </w:r>
      <w:r w:rsidR="00443061" w:rsidRPr="006A087D">
        <w:t xml:space="preserve">  </w:t>
      </w:r>
    </w:p>
    <w:p w:rsidR="006A087D" w:rsidRDefault="00176075" w:rsidP="00CF589E">
      <w:pPr>
        <w:rPr>
          <w:rFonts w:asciiTheme="minorHAnsi" w:hAnsiTheme="minorHAnsi"/>
          <w:sz w:val="22"/>
          <w:lang w:eastAsia="en-US"/>
        </w:rPr>
      </w:pPr>
      <w:r>
        <w:rPr>
          <w:rFonts w:asciiTheme="minorHAnsi" w:hAnsiTheme="minorHAnsi"/>
          <w:sz w:val="22"/>
          <w:lang w:eastAsia="en-US"/>
        </w:rPr>
        <w:t>The documents outlining this position were circulated on 2 August 2017 and are included at Appendix 9 to the VPA’s Part A submission.</w:t>
      </w:r>
    </w:p>
    <w:p w:rsidR="007B0193" w:rsidRDefault="007B0193" w:rsidP="00CF589E">
      <w:pPr>
        <w:rPr>
          <w:rFonts w:asciiTheme="minorHAnsi" w:hAnsiTheme="minorHAnsi"/>
          <w:sz w:val="22"/>
          <w:lang w:eastAsia="en-US"/>
        </w:rPr>
      </w:pPr>
      <w:r>
        <w:rPr>
          <w:rFonts w:asciiTheme="minorHAnsi" w:hAnsiTheme="minorHAnsi"/>
          <w:sz w:val="22"/>
          <w:lang w:eastAsia="en-US"/>
        </w:rPr>
        <w:t>The VPA relies on the expert e</w:t>
      </w:r>
      <w:r w:rsidR="00A607DF">
        <w:rPr>
          <w:rFonts w:asciiTheme="minorHAnsi" w:hAnsiTheme="minorHAnsi"/>
          <w:sz w:val="22"/>
          <w:lang w:eastAsia="en-US"/>
        </w:rPr>
        <w:t>vidence of Mr Czarny in relation to urban desig</w:t>
      </w:r>
      <w:r w:rsidR="000B3EB1">
        <w:rPr>
          <w:rFonts w:asciiTheme="minorHAnsi" w:hAnsiTheme="minorHAnsi"/>
          <w:sz w:val="22"/>
          <w:lang w:eastAsia="en-US"/>
        </w:rPr>
        <w:t>n matters relating to the</w:t>
      </w:r>
      <w:r w:rsidR="00A607DF">
        <w:rPr>
          <w:rFonts w:asciiTheme="minorHAnsi" w:hAnsiTheme="minorHAnsi"/>
          <w:sz w:val="22"/>
          <w:lang w:eastAsia="en-US"/>
        </w:rPr>
        <w:t xml:space="preserve"> site.  </w:t>
      </w:r>
    </w:p>
    <w:p w:rsidR="001373F4" w:rsidRDefault="001373F4" w:rsidP="00CF589E">
      <w:pPr>
        <w:rPr>
          <w:rFonts w:asciiTheme="minorHAnsi" w:hAnsiTheme="minorHAnsi"/>
          <w:sz w:val="22"/>
          <w:lang w:eastAsia="en-US"/>
        </w:rPr>
      </w:pPr>
      <w:r>
        <w:rPr>
          <w:rFonts w:asciiTheme="minorHAnsi" w:hAnsiTheme="minorHAnsi"/>
          <w:sz w:val="22"/>
          <w:lang w:eastAsia="en-US"/>
        </w:rPr>
        <w:t>Further detail in relation to the VPA’s position is provided below.</w:t>
      </w:r>
    </w:p>
    <w:p w:rsidR="00FC38EC" w:rsidRPr="00315E22" w:rsidRDefault="0041330A" w:rsidP="00315E22">
      <w:pPr>
        <w:pStyle w:val="Heading3"/>
        <w:rPr>
          <w:rFonts w:asciiTheme="minorHAnsi" w:hAnsiTheme="minorHAnsi"/>
          <w:b/>
        </w:rPr>
      </w:pPr>
      <w:r>
        <w:rPr>
          <w:rFonts w:asciiTheme="minorHAnsi" w:hAnsiTheme="minorHAnsi"/>
          <w:b/>
        </w:rPr>
        <w:t xml:space="preserve">Development of the Racecourse Road site </w:t>
      </w:r>
    </w:p>
    <w:p w:rsidR="00FC38EC" w:rsidRDefault="0086662D" w:rsidP="00FC38EC">
      <w:pPr>
        <w:rPr>
          <w:rFonts w:asciiTheme="minorHAnsi" w:hAnsiTheme="minorHAnsi"/>
          <w:sz w:val="22"/>
          <w:lang w:eastAsia="en-US"/>
        </w:rPr>
      </w:pPr>
      <w:r>
        <w:rPr>
          <w:rFonts w:asciiTheme="minorHAnsi" w:hAnsiTheme="minorHAnsi"/>
          <w:sz w:val="22"/>
          <w:lang w:eastAsia="en-US"/>
        </w:rPr>
        <w:t>The Racecourse Road site has been included within the Urban Growth Boundary since 2010.</w:t>
      </w:r>
      <w:r w:rsidR="00C364A0">
        <w:rPr>
          <w:rStyle w:val="FootnoteReference"/>
          <w:rFonts w:asciiTheme="minorHAnsi" w:hAnsiTheme="minorHAnsi"/>
          <w:sz w:val="22"/>
          <w:lang w:eastAsia="en-US"/>
        </w:rPr>
        <w:footnoteReference w:id="84"/>
      </w:r>
    </w:p>
    <w:p w:rsidR="001E4199" w:rsidRDefault="000A5D10" w:rsidP="00FC38EC">
      <w:pPr>
        <w:rPr>
          <w:rFonts w:asciiTheme="minorHAnsi" w:hAnsiTheme="minorHAnsi"/>
          <w:sz w:val="22"/>
          <w:lang w:eastAsia="en-US"/>
        </w:rPr>
      </w:pPr>
      <w:r>
        <w:rPr>
          <w:rFonts w:asciiTheme="minorHAnsi" w:hAnsiTheme="minorHAnsi"/>
          <w:sz w:val="22"/>
          <w:lang w:eastAsia="en-US"/>
        </w:rPr>
        <w:t xml:space="preserve">The </w:t>
      </w:r>
      <w:r w:rsidR="00F84556" w:rsidRPr="00B704D3">
        <w:rPr>
          <w:rFonts w:asciiTheme="minorHAnsi" w:hAnsiTheme="minorHAnsi"/>
          <w:i/>
          <w:sz w:val="22"/>
          <w:lang w:eastAsia="en-US"/>
        </w:rPr>
        <w:t>Su</w:t>
      </w:r>
      <w:r w:rsidR="001B5733" w:rsidRPr="00B704D3">
        <w:rPr>
          <w:rFonts w:asciiTheme="minorHAnsi" w:hAnsiTheme="minorHAnsi"/>
          <w:i/>
          <w:sz w:val="22"/>
          <w:lang w:eastAsia="en-US"/>
        </w:rPr>
        <w:t>nbury/Diggers Rest Growth Corridor Plan</w:t>
      </w:r>
      <w:r w:rsidR="00ED5758">
        <w:rPr>
          <w:rFonts w:asciiTheme="minorHAnsi" w:hAnsiTheme="minorHAnsi"/>
          <w:sz w:val="22"/>
          <w:lang w:eastAsia="en-US"/>
        </w:rPr>
        <w:t xml:space="preserve"> (</w:t>
      </w:r>
      <w:r w:rsidR="00ED5758">
        <w:rPr>
          <w:rFonts w:asciiTheme="minorHAnsi" w:hAnsiTheme="minorHAnsi"/>
          <w:b/>
          <w:sz w:val="22"/>
          <w:lang w:eastAsia="en-US"/>
        </w:rPr>
        <w:t>Growth Corridor Plan</w:t>
      </w:r>
      <w:r w:rsidR="00ED5758">
        <w:rPr>
          <w:rFonts w:asciiTheme="minorHAnsi" w:hAnsiTheme="minorHAnsi"/>
          <w:sz w:val="22"/>
          <w:lang w:eastAsia="en-US"/>
        </w:rPr>
        <w:t>)</w:t>
      </w:r>
      <w:r w:rsidR="00E45E3B">
        <w:rPr>
          <w:rStyle w:val="FootnoteReference"/>
          <w:rFonts w:asciiTheme="minorHAnsi" w:hAnsiTheme="minorHAnsi"/>
          <w:sz w:val="22"/>
          <w:lang w:eastAsia="en-US"/>
        </w:rPr>
        <w:footnoteReference w:id="85"/>
      </w:r>
      <w:r w:rsidR="0006678F">
        <w:rPr>
          <w:rFonts w:asciiTheme="minorHAnsi" w:hAnsiTheme="minorHAnsi"/>
          <w:sz w:val="22"/>
          <w:lang w:eastAsia="en-US"/>
        </w:rPr>
        <w:t xml:space="preserve"> depicts the site as </w:t>
      </w:r>
      <w:r w:rsidR="00E45E3B">
        <w:rPr>
          <w:rFonts w:asciiTheme="minorHAnsi" w:hAnsiTheme="minorHAnsi"/>
          <w:sz w:val="22"/>
          <w:lang w:eastAsia="en-US"/>
        </w:rPr>
        <w:t>‘existing open space’ and an ‘investigation area’.</w:t>
      </w:r>
      <w:r w:rsidR="002B357C">
        <w:rPr>
          <w:rFonts w:asciiTheme="minorHAnsi" w:hAnsiTheme="minorHAnsi"/>
          <w:sz w:val="22"/>
          <w:lang w:eastAsia="en-US"/>
        </w:rPr>
        <w:t xml:space="preserve">  This is accompanied by Note 2, which </w:t>
      </w:r>
      <w:r w:rsidR="00F43EC3">
        <w:rPr>
          <w:rFonts w:asciiTheme="minorHAnsi" w:hAnsiTheme="minorHAnsi"/>
          <w:sz w:val="22"/>
          <w:lang w:eastAsia="en-US"/>
        </w:rPr>
        <w:t>states ‘Potential for review of Rural Conservation Zone at precinct Structure Plan stage’.</w:t>
      </w:r>
    </w:p>
    <w:p w:rsidR="00840E80" w:rsidRDefault="00C9134A" w:rsidP="00FC38EC">
      <w:pPr>
        <w:rPr>
          <w:rFonts w:asciiTheme="minorHAnsi" w:hAnsiTheme="minorHAnsi"/>
          <w:sz w:val="22"/>
          <w:lang w:eastAsia="en-US"/>
        </w:rPr>
      </w:pPr>
      <w:r>
        <w:rPr>
          <w:rFonts w:asciiTheme="minorHAnsi" w:hAnsiTheme="minorHAnsi"/>
          <w:sz w:val="22"/>
          <w:lang w:eastAsia="en-US"/>
        </w:rPr>
        <w:t xml:space="preserve">The Growth Area Plan also shows </w:t>
      </w:r>
      <w:r w:rsidR="00AF65B2">
        <w:rPr>
          <w:rFonts w:asciiTheme="minorHAnsi" w:hAnsiTheme="minorHAnsi"/>
          <w:sz w:val="22"/>
          <w:lang w:eastAsia="en-US"/>
        </w:rPr>
        <w:t>a ‘Road Link (under investigation)’ in the approximate location of the northern Jacksons Creek crossing.  This is acc</w:t>
      </w:r>
      <w:r w:rsidR="00840E80">
        <w:rPr>
          <w:rFonts w:asciiTheme="minorHAnsi" w:hAnsiTheme="minorHAnsi"/>
          <w:sz w:val="22"/>
          <w:lang w:eastAsia="en-US"/>
        </w:rPr>
        <w:t>ompanied by Note 3, which state</w:t>
      </w:r>
      <w:r w:rsidR="0007272B">
        <w:rPr>
          <w:rFonts w:asciiTheme="minorHAnsi" w:hAnsiTheme="minorHAnsi"/>
          <w:sz w:val="22"/>
          <w:lang w:eastAsia="en-US"/>
        </w:rPr>
        <w:t>s</w:t>
      </w:r>
      <w:r w:rsidR="00840E80">
        <w:rPr>
          <w:rFonts w:asciiTheme="minorHAnsi" w:hAnsiTheme="minorHAnsi"/>
          <w:sz w:val="22"/>
          <w:lang w:eastAsia="en-US"/>
        </w:rPr>
        <w:t xml:space="preserve"> ‘Creek crossing under investigation’. </w:t>
      </w:r>
    </w:p>
    <w:p w:rsidR="00474E3C" w:rsidRDefault="00474E3C" w:rsidP="00FC38EC">
      <w:pPr>
        <w:rPr>
          <w:rFonts w:asciiTheme="minorHAnsi" w:hAnsiTheme="minorHAnsi"/>
          <w:sz w:val="22"/>
          <w:lang w:eastAsia="en-US"/>
        </w:rPr>
      </w:pPr>
      <w:r>
        <w:rPr>
          <w:rFonts w:asciiTheme="minorHAnsi" w:hAnsiTheme="minorHAnsi"/>
          <w:sz w:val="22"/>
          <w:lang w:eastAsia="en-US"/>
        </w:rPr>
        <w:lastRenderedPageBreak/>
        <w:t>A Public Acquisition Overlay (</w:t>
      </w:r>
      <w:r>
        <w:rPr>
          <w:rFonts w:asciiTheme="minorHAnsi" w:hAnsiTheme="minorHAnsi"/>
          <w:b/>
          <w:sz w:val="22"/>
          <w:lang w:eastAsia="en-US"/>
        </w:rPr>
        <w:t>PAO</w:t>
      </w:r>
      <w:r>
        <w:rPr>
          <w:rFonts w:asciiTheme="minorHAnsi" w:hAnsiTheme="minorHAnsi"/>
          <w:sz w:val="22"/>
          <w:lang w:eastAsia="en-US"/>
        </w:rPr>
        <w:t xml:space="preserve">) </w:t>
      </w:r>
      <w:r w:rsidR="004B6A8C">
        <w:rPr>
          <w:rFonts w:asciiTheme="minorHAnsi" w:hAnsiTheme="minorHAnsi"/>
          <w:sz w:val="22"/>
          <w:lang w:eastAsia="en-US"/>
        </w:rPr>
        <w:t xml:space="preserve">applies between Racecourse Road and </w:t>
      </w:r>
      <w:r w:rsidR="00FE34D2">
        <w:rPr>
          <w:rFonts w:asciiTheme="minorHAnsi" w:hAnsiTheme="minorHAnsi"/>
          <w:sz w:val="22"/>
          <w:lang w:eastAsia="en-US"/>
        </w:rPr>
        <w:t>the railway line to the east of Jacksons Creek.</w:t>
      </w:r>
      <w:r w:rsidR="007C6B5C">
        <w:rPr>
          <w:rFonts w:asciiTheme="minorHAnsi" w:hAnsiTheme="minorHAnsi"/>
          <w:sz w:val="22"/>
          <w:lang w:eastAsia="en-US"/>
        </w:rPr>
        <w:t xml:space="preserve">  This is depicted as PAO2, with the Schedule to the PAO identifying Council as the acquiring authority and ‘road construction and widening’ as the purpose of acquisition.</w:t>
      </w:r>
      <w:r w:rsidR="00FE34D2">
        <w:rPr>
          <w:rFonts w:asciiTheme="minorHAnsi" w:hAnsiTheme="minorHAnsi"/>
          <w:sz w:val="22"/>
          <w:lang w:eastAsia="en-US"/>
        </w:rPr>
        <w:t xml:space="preserve">  </w:t>
      </w:r>
    </w:p>
    <w:p w:rsidR="00C84481" w:rsidRDefault="0077703D" w:rsidP="00FC38EC">
      <w:pPr>
        <w:rPr>
          <w:rFonts w:asciiTheme="minorHAnsi" w:hAnsiTheme="minorHAnsi"/>
          <w:sz w:val="22"/>
          <w:lang w:eastAsia="en-US"/>
        </w:rPr>
      </w:pPr>
      <w:r>
        <w:rPr>
          <w:rFonts w:asciiTheme="minorHAnsi" w:hAnsiTheme="minorHAnsi"/>
          <w:sz w:val="22"/>
          <w:lang w:eastAsia="en-US"/>
        </w:rPr>
        <w:t>There is conventional density residential development</w:t>
      </w:r>
      <w:r w:rsidR="00C84481">
        <w:rPr>
          <w:rFonts w:asciiTheme="minorHAnsi" w:hAnsiTheme="minorHAnsi"/>
          <w:sz w:val="22"/>
          <w:lang w:eastAsia="en-US"/>
        </w:rPr>
        <w:t xml:space="preserve"> established to the </w:t>
      </w:r>
      <w:r w:rsidR="003C2617">
        <w:rPr>
          <w:rFonts w:asciiTheme="minorHAnsi" w:hAnsiTheme="minorHAnsi"/>
          <w:sz w:val="22"/>
          <w:lang w:eastAsia="en-US"/>
        </w:rPr>
        <w:t xml:space="preserve">immediate </w:t>
      </w:r>
      <w:r w:rsidR="00C84481">
        <w:rPr>
          <w:rFonts w:asciiTheme="minorHAnsi" w:hAnsiTheme="minorHAnsi"/>
          <w:sz w:val="22"/>
          <w:lang w:eastAsia="en-US"/>
        </w:rPr>
        <w:t xml:space="preserve">south of the site and approved to the </w:t>
      </w:r>
      <w:r w:rsidR="003C2617">
        <w:rPr>
          <w:rFonts w:asciiTheme="minorHAnsi" w:hAnsiTheme="minorHAnsi"/>
          <w:sz w:val="22"/>
          <w:lang w:eastAsia="en-US"/>
        </w:rPr>
        <w:t xml:space="preserve">immediate </w:t>
      </w:r>
      <w:r w:rsidR="00C84481">
        <w:rPr>
          <w:rFonts w:asciiTheme="minorHAnsi" w:hAnsiTheme="minorHAnsi"/>
          <w:sz w:val="22"/>
          <w:lang w:eastAsia="en-US"/>
        </w:rPr>
        <w:t>west of the site, with lower density development further to the north.</w:t>
      </w:r>
    </w:p>
    <w:p w:rsidR="00370D9D" w:rsidRDefault="00370D9D" w:rsidP="00FC38EC">
      <w:pPr>
        <w:rPr>
          <w:rFonts w:asciiTheme="minorHAnsi" w:hAnsiTheme="minorHAnsi"/>
          <w:sz w:val="22"/>
          <w:lang w:eastAsia="en-US"/>
        </w:rPr>
      </w:pPr>
      <w:r>
        <w:rPr>
          <w:rFonts w:asciiTheme="minorHAnsi" w:hAnsiTheme="minorHAnsi"/>
          <w:sz w:val="22"/>
          <w:lang w:eastAsia="en-US"/>
        </w:rPr>
        <w:t xml:space="preserve">It is </w:t>
      </w:r>
      <w:r w:rsidR="006E4B07">
        <w:rPr>
          <w:rFonts w:asciiTheme="minorHAnsi" w:hAnsiTheme="minorHAnsi"/>
          <w:sz w:val="22"/>
          <w:lang w:eastAsia="en-US"/>
        </w:rPr>
        <w:t>evident</w:t>
      </w:r>
      <w:r>
        <w:rPr>
          <w:rFonts w:asciiTheme="minorHAnsi" w:hAnsiTheme="minorHAnsi"/>
          <w:sz w:val="22"/>
          <w:lang w:eastAsia="en-US"/>
        </w:rPr>
        <w:t xml:space="preserve"> that Jacksons </w:t>
      </w:r>
      <w:r w:rsidR="006E4B07">
        <w:rPr>
          <w:rFonts w:asciiTheme="minorHAnsi" w:hAnsiTheme="minorHAnsi"/>
          <w:sz w:val="22"/>
          <w:lang w:eastAsia="en-US"/>
        </w:rPr>
        <w:t>C</w:t>
      </w:r>
      <w:r>
        <w:rPr>
          <w:rFonts w:asciiTheme="minorHAnsi" w:hAnsiTheme="minorHAnsi"/>
          <w:sz w:val="22"/>
          <w:lang w:eastAsia="en-US"/>
        </w:rPr>
        <w:t>reek is an important asset and a perhaps defining element of the broader landscape.  The role of urban plannin</w:t>
      </w:r>
      <w:r w:rsidR="00804D7D">
        <w:rPr>
          <w:rFonts w:asciiTheme="minorHAnsi" w:hAnsiTheme="minorHAnsi"/>
          <w:sz w:val="22"/>
          <w:lang w:eastAsia="en-US"/>
        </w:rPr>
        <w:t xml:space="preserve">g is to take the discrete threads of policy and to achieve an acceptable planning outcome.  This is a balancing exercise </w:t>
      </w:r>
      <w:r w:rsidR="009E55B1">
        <w:rPr>
          <w:rFonts w:asciiTheme="minorHAnsi" w:hAnsiTheme="minorHAnsi"/>
          <w:sz w:val="22"/>
          <w:lang w:eastAsia="en-US"/>
        </w:rPr>
        <w:t>and the outcomes</w:t>
      </w:r>
      <w:r w:rsidR="00B86876">
        <w:rPr>
          <w:rFonts w:asciiTheme="minorHAnsi" w:hAnsiTheme="minorHAnsi"/>
          <w:sz w:val="22"/>
          <w:lang w:eastAsia="en-US"/>
        </w:rPr>
        <w:t xml:space="preserve"> proposed</w:t>
      </w:r>
      <w:r w:rsidR="009E55B1">
        <w:rPr>
          <w:rFonts w:asciiTheme="minorHAnsi" w:hAnsiTheme="minorHAnsi"/>
          <w:sz w:val="22"/>
          <w:lang w:eastAsia="en-US"/>
        </w:rPr>
        <w:t xml:space="preserve"> in this area </w:t>
      </w:r>
      <w:r w:rsidR="00B86876">
        <w:rPr>
          <w:rFonts w:asciiTheme="minorHAnsi" w:hAnsiTheme="minorHAnsi"/>
          <w:sz w:val="22"/>
          <w:lang w:eastAsia="en-US"/>
        </w:rPr>
        <w:t>meet</w:t>
      </w:r>
      <w:r w:rsidR="009E55B1">
        <w:rPr>
          <w:rFonts w:asciiTheme="minorHAnsi" w:hAnsiTheme="minorHAnsi"/>
          <w:sz w:val="22"/>
          <w:lang w:eastAsia="en-US"/>
        </w:rPr>
        <w:t xml:space="preserve"> a range of community needs for transport, housing and amenity.  This is not a planning issue where the only appropriate outcome </w:t>
      </w:r>
      <w:r w:rsidR="00CD5157">
        <w:rPr>
          <w:rFonts w:asciiTheme="minorHAnsi" w:hAnsiTheme="minorHAnsi"/>
          <w:sz w:val="22"/>
          <w:lang w:eastAsia="en-US"/>
        </w:rPr>
        <w:t xml:space="preserve">is preservation or avoidance.  </w:t>
      </w:r>
    </w:p>
    <w:p w:rsidR="007B5E87" w:rsidRDefault="002C23D8" w:rsidP="00FC38EC">
      <w:pPr>
        <w:rPr>
          <w:rFonts w:asciiTheme="minorHAnsi" w:hAnsiTheme="minorHAnsi"/>
          <w:sz w:val="22"/>
          <w:lang w:eastAsia="en-US"/>
        </w:rPr>
      </w:pPr>
      <w:r>
        <w:rPr>
          <w:rFonts w:asciiTheme="minorHAnsi" w:hAnsiTheme="minorHAnsi"/>
          <w:sz w:val="22"/>
          <w:lang w:eastAsia="en-US"/>
        </w:rPr>
        <w:t xml:space="preserve">A </w:t>
      </w:r>
      <w:r w:rsidR="007B5E87">
        <w:rPr>
          <w:rFonts w:asciiTheme="minorHAnsi" w:hAnsiTheme="minorHAnsi"/>
          <w:sz w:val="22"/>
          <w:lang w:eastAsia="en-US"/>
        </w:rPr>
        <w:t xml:space="preserve">thorough </w:t>
      </w:r>
      <w:r w:rsidR="004C12CA">
        <w:rPr>
          <w:rFonts w:asciiTheme="minorHAnsi" w:hAnsiTheme="minorHAnsi"/>
          <w:sz w:val="22"/>
          <w:lang w:eastAsia="en-US"/>
        </w:rPr>
        <w:t xml:space="preserve">description and </w:t>
      </w:r>
      <w:r w:rsidR="007B5E87">
        <w:rPr>
          <w:rFonts w:asciiTheme="minorHAnsi" w:hAnsiTheme="minorHAnsi"/>
          <w:sz w:val="22"/>
          <w:lang w:eastAsia="en-US"/>
        </w:rPr>
        <w:t xml:space="preserve">assessment of the site’s context and interfaces is set out in Mr Carny’s </w:t>
      </w:r>
      <w:r w:rsidR="00CB5589">
        <w:rPr>
          <w:rFonts w:asciiTheme="minorHAnsi" w:hAnsiTheme="minorHAnsi"/>
          <w:sz w:val="22"/>
          <w:lang w:eastAsia="en-US"/>
        </w:rPr>
        <w:t xml:space="preserve">expert witness </w:t>
      </w:r>
      <w:r w:rsidR="007B5E87">
        <w:rPr>
          <w:rFonts w:asciiTheme="minorHAnsi" w:hAnsiTheme="minorHAnsi"/>
          <w:sz w:val="22"/>
          <w:lang w:eastAsia="en-US"/>
        </w:rPr>
        <w:t>report</w:t>
      </w:r>
      <w:r w:rsidR="005A1ECD">
        <w:rPr>
          <w:rFonts w:asciiTheme="minorHAnsi" w:hAnsiTheme="minorHAnsi"/>
          <w:sz w:val="22"/>
          <w:lang w:eastAsia="en-US"/>
        </w:rPr>
        <w:t>,</w:t>
      </w:r>
      <w:r w:rsidR="00CB5589">
        <w:rPr>
          <w:rStyle w:val="FootnoteReference"/>
          <w:rFonts w:asciiTheme="minorHAnsi" w:hAnsiTheme="minorHAnsi"/>
          <w:sz w:val="22"/>
          <w:lang w:eastAsia="en-US"/>
        </w:rPr>
        <w:footnoteReference w:id="86"/>
      </w:r>
      <w:r w:rsidR="005A1ECD">
        <w:rPr>
          <w:rFonts w:asciiTheme="minorHAnsi" w:hAnsiTheme="minorHAnsi"/>
          <w:sz w:val="22"/>
          <w:lang w:eastAsia="en-US"/>
        </w:rPr>
        <w:t xml:space="preserve"> as well as a review of the existing planning and design controls.</w:t>
      </w:r>
      <w:r w:rsidR="005A1ECD">
        <w:rPr>
          <w:rStyle w:val="FootnoteReference"/>
          <w:rFonts w:asciiTheme="minorHAnsi" w:hAnsiTheme="minorHAnsi"/>
          <w:sz w:val="22"/>
          <w:lang w:eastAsia="en-US"/>
        </w:rPr>
        <w:footnoteReference w:id="87"/>
      </w:r>
      <w:r w:rsidR="007B5E87">
        <w:rPr>
          <w:rFonts w:asciiTheme="minorHAnsi" w:hAnsiTheme="minorHAnsi"/>
          <w:sz w:val="22"/>
          <w:lang w:eastAsia="en-US"/>
        </w:rPr>
        <w:t xml:space="preserve"> </w:t>
      </w:r>
    </w:p>
    <w:p w:rsidR="00601F48" w:rsidRDefault="003C2D04" w:rsidP="00601F48">
      <w:pPr>
        <w:rPr>
          <w:rFonts w:asciiTheme="minorHAnsi" w:hAnsiTheme="minorHAnsi"/>
          <w:sz w:val="22"/>
          <w:lang w:eastAsia="en-US"/>
        </w:rPr>
      </w:pPr>
      <w:r>
        <w:rPr>
          <w:rFonts w:asciiTheme="minorHAnsi" w:hAnsiTheme="minorHAnsi"/>
          <w:sz w:val="22"/>
          <w:lang w:eastAsia="en-US"/>
        </w:rPr>
        <w:t xml:space="preserve">The first question considered in Mr </w:t>
      </w:r>
      <w:proofErr w:type="spellStart"/>
      <w:r>
        <w:rPr>
          <w:rFonts w:asciiTheme="minorHAnsi" w:hAnsiTheme="minorHAnsi"/>
          <w:sz w:val="22"/>
          <w:lang w:eastAsia="en-US"/>
        </w:rPr>
        <w:t>Czarny’s</w:t>
      </w:r>
      <w:proofErr w:type="spellEnd"/>
      <w:r>
        <w:rPr>
          <w:rFonts w:asciiTheme="minorHAnsi" w:hAnsiTheme="minorHAnsi"/>
          <w:sz w:val="22"/>
          <w:lang w:eastAsia="en-US"/>
        </w:rPr>
        <w:t xml:space="preserve"> evidence is whether the site can accommodate residential development</w:t>
      </w:r>
      <w:r w:rsidR="00326FC6">
        <w:rPr>
          <w:rFonts w:asciiTheme="minorHAnsi" w:hAnsiTheme="minorHAnsi"/>
          <w:sz w:val="22"/>
          <w:lang w:eastAsia="en-US"/>
        </w:rPr>
        <w:t xml:space="preserve"> at all</w:t>
      </w:r>
      <w:r>
        <w:rPr>
          <w:rFonts w:asciiTheme="minorHAnsi" w:hAnsiTheme="minorHAnsi"/>
          <w:sz w:val="22"/>
          <w:lang w:eastAsia="en-US"/>
        </w:rPr>
        <w:t>.</w:t>
      </w:r>
      <w:r w:rsidR="009164B8">
        <w:rPr>
          <w:rFonts w:asciiTheme="minorHAnsi" w:hAnsiTheme="minorHAnsi"/>
          <w:sz w:val="22"/>
          <w:lang w:eastAsia="en-US"/>
        </w:rPr>
        <w:t xml:space="preserve">  The VPA </w:t>
      </w:r>
      <w:r w:rsidR="00DD0A45">
        <w:rPr>
          <w:rFonts w:asciiTheme="minorHAnsi" w:hAnsiTheme="minorHAnsi"/>
          <w:sz w:val="22"/>
          <w:lang w:eastAsia="en-US"/>
        </w:rPr>
        <w:t>adopts</w:t>
      </w:r>
      <w:r w:rsidR="009164B8">
        <w:rPr>
          <w:rFonts w:asciiTheme="minorHAnsi" w:hAnsiTheme="minorHAnsi"/>
          <w:sz w:val="22"/>
          <w:lang w:eastAsia="en-US"/>
        </w:rPr>
        <w:t xml:space="preserve"> Mr </w:t>
      </w:r>
      <w:proofErr w:type="spellStart"/>
      <w:r w:rsidR="009164B8">
        <w:rPr>
          <w:rFonts w:asciiTheme="minorHAnsi" w:hAnsiTheme="minorHAnsi"/>
          <w:sz w:val="22"/>
          <w:lang w:eastAsia="en-US"/>
        </w:rPr>
        <w:t>Czarny’s</w:t>
      </w:r>
      <w:proofErr w:type="spellEnd"/>
      <w:r w:rsidR="009164B8">
        <w:rPr>
          <w:rFonts w:asciiTheme="minorHAnsi" w:hAnsiTheme="minorHAnsi"/>
          <w:sz w:val="22"/>
          <w:lang w:eastAsia="en-US"/>
        </w:rPr>
        <w:t xml:space="preserve"> analysis and </w:t>
      </w:r>
      <w:r w:rsidR="00601F48">
        <w:rPr>
          <w:rFonts w:asciiTheme="minorHAnsi" w:hAnsiTheme="minorHAnsi"/>
          <w:sz w:val="22"/>
          <w:lang w:eastAsia="en-US"/>
        </w:rPr>
        <w:t>opinion that there are ‘opportunities for residential development on the eastern side of Racecourse Road’, but that it is appropriate:</w:t>
      </w:r>
      <w:r w:rsidR="009B7311">
        <w:rPr>
          <w:rStyle w:val="FootnoteReference"/>
          <w:rFonts w:asciiTheme="minorHAnsi" w:hAnsiTheme="minorHAnsi"/>
          <w:sz w:val="22"/>
          <w:lang w:eastAsia="en-US"/>
        </w:rPr>
        <w:footnoteReference w:id="88"/>
      </w:r>
    </w:p>
    <w:p w:rsidR="00B833AD" w:rsidRDefault="00601F48" w:rsidP="00601F48">
      <w:pPr>
        <w:ind w:left="709"/>
        <w:rPr>
          <w:rFonts w:asciiTheme="minorHAnsi" w:hAnsiTheme="minorHAnsi"/>
          <w:sz w:val="22"/>
          <w:lang w:eastAsia="en-US"/>
        </w:rPr>
      </w:pPr>
      <w:r>
        <w:rPr>
          <w:rFonts w:asciiTheme="minorHAnsi" w:hAnsiTheme="minorHAnsi"/>
          <w:i/>
          <w:sz w:val="22"/>
          <w:lang w:eastAsia="en-US"/>
        </w:rPr>
        <w:t>…to enforce more rigid parameters relating to the siting design and layout of residential subdivision (and associated infrastructure) to ensure that there is sensitivity to the significant landscape of the Jacksons Creek corridor and the associated landscape values of the precinct.</w:t>
      </w:r>
      <w:r w:rsidR="003C2D04">
        <w:rPr>
          <w:rFonts w:asciiTheme="minorHAnsi" w:hAnsiTheme="minorHAnsi"/>
          <w:sz w:val="22"/>
          <w:lang w:eastAsia="en-US"/>
        </w:rPr>
        <w:t xml:space="preserve">  </w:t>
      </w:r>
    </w:p>
    <w:p w:rsidR="00EE7BA6" w:rsidRPr="00315E22" w:rsidRDefault="00EE7BA6" w:rsidP="00315E22">
      <w:pPr>
        <w:pStyle w:val="Heading3"/>
        <w:rPr>
          <w:rFonts w:asciiTheme="minorHAnsi" w:hAnsiTheme="minorHAnsi"/>
          <w:b/>
        </w:rPr>
      </w:pPr>
      <w:r w:rsidRPr="00315E22">
        <w:rPr>
          <w:rFonts w:asciiTheme="minorHAnsi" w:hAnsiTheme="minorHAnsi"/>
          <w:b/>
        </w:rPr>
        <w:t>Extent of development</w:t>
      </w:r>
    </w:p>
    <w:p w:rsidR="006A7416" w:rsidRDefault="00E678A3" w:rsidP="00FC38EC">
      <w:pPr>
        <w:rPr>
          <w:rFonts w:asciiTheme="minorHAnsi" w:hAnsiTheme="minorHAnsi"/>
          <w:sz w:val="22"/>
          <w:lang w:eastAsia="en-US"/>
        </w:rPr>
      </w:pPr>
      <w:r>
        <w:rPr>
          <w:rFonts w:asciiTheme="minorHAnsi" w:hAnsiTheme="minorHAnsi"/>
          <w:sz w:val="22"/>
          <w:lang w:eastAsia="en-US"/>
        </w:rPr>
        <w:t xml:space="preserve">As noted above, the VPA has circulated a ‘proposed revision to development area’.  This document </w:t>
      </w:r>
      <w:r w:rsidR="007C07DC">
        <w:rPr>
          <w:rFonts w:asciiTheme="minorHAnsi" w:hAnsiTheme="minorHAnsi"/>
          <w:sz w:val="22"/>
          <w:lang w:eastAsia="en-US"/>
        </w:rPr>
        <w:t>uses</w:t>
      </w:r>
      <w:r>
        <w:rPr>
          <w:rFonts w:asciiTheme="minorHAnsi" w:hAnsiTheme="minorHAnsi"/>
          <w:sz w:val="22"/>
          <w:lang w:eastAsia="en-US"/>
        </w:rPr>
        <w:t xml:space="preserve"> the subdivision plan in the exhibited section 96A </w:t>
      </w:r>
      <w:r w:rsidR="000951CA">
        <w:rPr>
          <w:rFonts w:asciiTheme="minorHAnsi" w:hAnsiTheme="minorHAnsi"/>
          <w:sz w:val="22"/>
          <w:lang w:eastAsia="en-US"/>
        </w:rPr>
        <w:t>per</w:t>
      </w:r>
      <w:r w:rsidR="002E5BC4">
        <w:rPr>
          <w:rFonts w:asciiTheme="minorHAnsi" w:hAnsiTheme="minorHAnsi"/>
          <w:sz w:val="22"/>
          <w:lang w:eastAsia="en-US"/>
        </w:rPr>
        <w:t xml:space="preserve">mit application for reference and shows </w:t>
      </w:r>
      <w:r w:rsidR="006A7416">
        <w:rPr>
          <w:rFonts w:asciiTheme="minorHAnsi" w:hAnsiTheme="minorHAnsi"/>
          <w:sz w:val="22"/>
          <w:lang w:eastAsia="en-US"/>
        </w:rPr>
        <w:t>the removal of tw</w:t>
      </w:r>
      <w:r w:rsidR="007541B6">
        <w:rPr>
          <w:rFonts w:asciiTheme="minorHAnsi" w:hAnsiTheme="minorHAnsi"/>
          <w:sz w:val="22"/>
          <w:lang w:eastAsia="en-US"/>
        </w:rPr>
        <w:t xml:space="preserve">o parts of the developable area </w:t>
      </w:r>
      <w:r w:rsidR="00FE0BB6">
        <w:rPr>
          <w:rFonts w:asciiTheme="minorHAnsi" w:hAnsiTheme="minorHAnsi"/>
          <w:sz w:val="22"/>
          <w:lang w:eastAsia="en-US"/>
        </w:rPr>
        <w:t xml:space="preserve">towards the north and </w:t>
      </w:r>
      <w:r w:rsidR="002F0628">
        <w:rPr>
          <w:rFonts w:asciiTheme="minorHAnsi" w:hAnsiTheme="minorHAnsi"/>
          <w:sz w:val="22"/>
          <w:lang w:eastAsia="en-US"/>
        </w:rPr>
        <w:t>east.</w:t>
      </w:r>
    </w:p>
    <w:p w:rsidR="002F0628" w:rsidRDefault="00C95558" w:rsidP="00FC38EC">
      <w:pPr>
        <w:rPr>
          <w:rFonts w:asciiTheme="minorHAnsi" w:hAnsiTheme="minorHAnsi"/>
          <w:sz w:val="22"/>
          <w:lang w:eastAsia="en-US"/>
        </w:rPr>
      </w:pPr>
      <w:r>
        <w:rPr>
          <w:rFonts w:asciiTheme="minorHAnsi" w:hAnsiTheme="minorHAnsi"/>
          <w:sz w:val="22"/>
          <w:lang w:eastAsia="en-US"/>
        </w:rPr>
        <w:t xml:space="preserve">The </w:t>
      </w:r>
      <w:r w:rsidR="000409FC">
        <w:rPr>
          <w:rFonts w:asciiTheme="minorHAnsi" w:hAnsiTheme="minorHAnsi"/>
          <w:sz w:val="22"/>
          <w:lang w:eastAsia="en-US"/>
        </w:rPr>
        <w:t xml:space="preserve">areas removed represent the </w:t>
      </w:r>
      <w:r w:rsidR="00557F7C">
        <w:rPr>
          <w:rFonts w:asciiTheme="minorHAnsi" w:hAnsiTheme="minorHAnsi"/>
          <w:sz w:val="22"/>
          <w:lang w:eastAsia="en-US"/>
        </w:rPr>
        <w:t>lo</w:t>
      </w:r>
      <w:r w:rsidR="006D375F">
        <w:rPr>
          <w:rFonts w:asciiTheme="minorHAnsi" w:hAnsiTheme="minorHAnsi"/>
          <w:sz w:val="22"/>
          <w:lang w:eastAsia="en-US"/>
        </w:rPr>
        <w:t xml:space="preserve">wer parts of the developable area, sitting on the </w:t>
      </w:r>
      <w:r w:rsidR="00BF58F8">
        <w:rPr>
          <w:rFonts w:asciiTheme="minorHAnsi" w:hAnsiTheme="minorHAnsi"/>
          <w:sz w:val="22"/>
          <w:lang w:eastAsia="en-US"/>
        </w:rPr>
        <w:t xml:space="preserve">flatter </w:t>
      </w:r>
      <w:r w:rsidR="007D3F70">
        <w:rPr>
          <w:rFonts w:asciiTheme="minorHAnsi" w:hAnsiTheme="minorHAnsi"/>
          <w:sz w:val="22"/>
          <w:lang w:eastAsia="en-US"/>
        </w:rPr>
        <w:t xml:space="preserve">surface </w:t>
      </w:r>
      <w:r w:rsidR="00BF58F8">
        <w:rPr>
          <w:rFonts w:asciiTheme="minorHAnsi" w:hAnsiTheme="minorHAnsi"/>
          <w:sz w:val="22"/>
          <w:lang w:eastAsia="en-US"/>
        </w:rPr>
        <w:t xml:space="preserve">within </w:t>
      </w:r>
      <w:r w:rsidR="006D375F">
        <w:rPr>
          <w:rFonts w:asciiTheme="minorHAnsi" w:hAnsiTheme="minorHAnsi"/>
          <w:sz w:val="22"/>
          <w:lang w:eastAsia="en-US"/>
        </w:rPr>
        <w:t xml:space="preserve">the valley proper.  </w:t>
      </w:r>
      <w:r w:rsidR="00EF0389">
        <w:rPr>
          <w:rFonts w:asciiTheme="minorHAnsi" w:hAnsiTheme="minorHAnsi"/>
          <w:sz w:val="22"/>
          <w:lang w:eastAsia="en-US"/>
        </w:rPr>
        <w:t xml:space="preserve">The VPA’s objective in proposing this reduction is </w:t>
      </w:r>
      <w:r w:rsidR="00D2731F">
        <w:rPr>
          <w:rFonts w:asciiTheme="minorHAnsi" w:hAnsiTheme="minorHAnsi"/>
          <w:sz w:val="22"/>
          <w:lang w:eastAsia="en-US"/>
        </w:rPr>
        <w:t xml:space="preserve">to contain </w:t>
      </w:r>
      <w:r w:rsidR="00512992">
        <w:rPr>
          <w:rFonts w:asciiTheme="minorHAnsi" w:hAnsiTheme="minorHAnsi"/>
          <w:sz w:val="22"/>
          <w:lang w:eastAsia="en-US"/>
        </w:rPr>
        <w:lastRenderedPageBreak/>
        <w:t>development to the hillside next to the valley</w:t>
      </w:r>
      <w:r w:rsidR="00E456C1">
        <w:rPr>
          <w:rFonts w:asciiTheme="minorHAnsi" w:hAnsiTheme="minorHAnsi"/>
          <w:sz w:val="22"/>
          <w:lang w:eastAsia="en-US"/>
        </w:rPr>
        <w:t>,</w:t>
      </w:r>
      <w:r w:rsidR="00512992">
        <w:rPr>
          <w:rFonts w:asciiTheme="minorHAnsi" w:hAnsiTheme="minorHAnsi"/>
          <w:sz w:val="22"/>
          <w:lang w:eastAsia="en-US"/>
        </w:rPr>
        <w:t xml:space="preserve"> to preserve views of the valley and present a more sensitive response</w:t>
      </w:r>
      <w:r w:rsidR="001821C3">
        <w:rPr>
          <w:rFonts w:asciiTheme="minorHAnsi" w:hAnsiTheme="minorHAnsi"/>
          <w:sz w:val="22"/>
          <w:lang w:eastAsia="en-US"/>
        </w:rPr>
        <w:t xml:space="preserve"> </w:t>
      </w:r>
      <w:r w:rsidR="00E456C1">
        <w:rPr>
          <w:rFonts w:asciiTheme="minorHAnsi" w:hAnsiTheme="minorHAnsi"/>
          <w:sz w:val="22"/>
          <w:lang w:eastAsia="en-US"/>
        </w:rPr>
        <w:t>to the valley interface</w:t>
      </w:r>
      <w:r w:rsidR="00512992">
        <w:rPr>
          <w:rFonts w:asciiTheme="minorHAnsi" w:hAnsiTheme="minorHAnsi"/>
          <w:sz w:val="22"/>
          <w:lang w:eastAsia="en-US"/>
        </w:rPr>
        <w:t xml:space="preserve">.  </w:t>
      </w:r>
    </w:p>
    <w:p w:rsidR="009F1CC7" w:rsidRDefault="009F1CC7" w:rsidP="00FC38EC">
      <w:pPr>
        <w:rPr>
          <w:rFonts w:asciiTheme="minorHAnsi" w:hAnsiTheme="minorHAnsi"/>
          <w:sz w:val="22"/>
          <w:lang w:eastAsia="en-US"/>
        </w:rPr>
      </w:pPr>
      <w:r>
        <w:rPr>
          <w:rFonts w:asciiTheme="minorHAnsi" w:hAnsiTheme="minorHAnsi"/>
          <w:sz w:val="22"/>
          <w:lang w:eastAsia="en-US"/>
        </w:rPr>
        <w:t xml:space="preserve">Mr Czarny has reviewed the development extent proposed by the VPA and provides his </w:t>
      </w:r>
      <w:r w:rsidR="0075138F">
        <w:rPr>
          <w:rFonts w:asciiTheme="minorHAnsi" w:hAnsiTheme="minorHAnsi"/>
          <w:sz w:val="22"/>
          <w:lang w:eastAsia="en-US"/>
        </w:rPr>
        <w:t>opinion that the reduction proposed is his preferred view:</w:t>
      </w:r>
      <w:r w:rsidR="0075138F">
        <w:rPr>
          <w:rStyle w:val="FootnoteReference"/>
          <w:rFonts w:asciiTheme="minorHAnsi" w:hAnsiTheme="minorHAnsi"/>
          <w:sz w:val="22"/>
          <w:lang w:eastAsia="en-US"/>
        </w:rPr>
        <w:footnoteReference w:id="89"/>
      </w:r>
    </w:p>
    <w:p w:rsidR="0075138F" w:rsidRPr="0075138F" w:rsidRDefault="0075138F" w:rsidP="0075138F">
      <w:pPr>
        <w:ind w:left="709"/>
        <w:rPr>
          <w:rFonts w:asciiTheme="minorHAnsi" w:hAnsiTheme="minorHAnsi"/>
          <w:i/>
          <w:sz w:val="22"/>
          <w:lang w:eastAsia="en-US"/>
        </w:rPr>
      </w:pPr>
      <w:r>
        <w:rPr>
          <w:rFonts w:asciiTheme="minorHAnsi" w:hAnsiTheme="minorHAnsi"/>
          <w:i/>
          <w:sz w:val="22"/>
          <w:lang w:eastAsia="en-US"/>
        </w:rPr>
        <w:t>…in that it provides a consistent frontage to the Creek at an intermediate elevation that is clearly distinguishable in long and close-range views from the flat Creek flood plain and its conservation threshold.</w:t>
      </w:r>
    </w:p>
    <w:p w:rsidR="006F111C" w:rsidRDefault="007134DD" w:rsidP="00FC38EC">
      <w:pPr>
        <w:rPr>
          <w:rFonts w:asciiTheme="minorHAnsi" w:hAnsiTheme="minorHAnsi"/>
          <w:sz w:val="22"/>
          <w:lang w:eastAsia="en-US"/>
        </w:rPr>
      </w:pPr>
      <w:r>
        <w:rPr>
          <w:rFonts w:asciiTheme="minorHAnsi" w:hAnsiTheme="minorHAnsi"/>
          <w:sz w:val="22"/>
          <w:lang w:eastAsia="en-US"/>
        </w:rPr>
        <w:t xml:space="preserve">As noted above, </w:t>
      </w:r>
      <w:r w:rsidR="006F111C">
        <w:rPr>
          <w:rFonts w:asciiTheme="minorHAnsi" w:hAnsiTheme="minorHAnsi"/>
          <w:sz w:val="22"/>
          <w:lang w:eastAsia="en-US"/>
        </w:rPr>
        <w:t xml:space="preserve">the expert witness reports of Mr Woodland and Mr Murphy on behalf of Villawood also </w:t>
      </w:r>
      <w:r w:rsidR="009E147C">
        <w:rPr>
          <w:rFonts w:asciiTheme="minorHAnsi" w:hAnsiTheme="minorHAnsi"/>
          <w:sz w:val="22"/>
          <w:lang w:eastAsia="en-US"/>
        </w:rPr>
        <w:t xml:space="preserve">appear to </w:t>
      </w:r>
      <w:r w:rsidR="006F111C">
        <w:rPr>
          <w:rFonts w:asciiTheme="minorHAnsi" w:hAnsiTheme="minorHAnsi"/>
          <w:sz w:val="22"/>
          <w:lang w:eastAsia="en-US"/>
        </w:rPr>
        <w:t>express support for the reduced extent of development on planning and landscape grounds respectively.</w:t>
      </w:r>
      <w:r w:rsidR="000D6786">
        <w:rPr>
          <w:rFonts w:asciiTheme="minorHAnsi" w:hAnsiTheme="minorHAnsi"/>
          <w:sz w:val="22"/>
          <w:lang w:eastAsia="en-US"/>
        </w:rPr>
        <w:t xml:space="preserve">  </w:t>
      </w:r>
    </w:p>
    <w:p w:rsidR="00EE7BA6" w:rsidRPr="00E10544" w:rsidRDefault="00EE7BA6" w:rsidP="00E10544">
      <w:pPr>
        <w:pStyle w:val="Heading3"/>
        <w:rPr>
          <w:rFonts w:asciiTheme="minorHAnsi" w:hAnsiTheme="minorHAnsi"/>
          <w:b/>
        </w:rPr>
      </w:pPr>
      <w:r w:rsidRPr="00E10544">
        <w:rPr>
          <w:rFonts w:asciiTheme="minorHAnsi" w:hAnsiTheme="minorHAnsi"/>
          <w:b/>
        </w:rPr>
        <w:t xml:space="preserve">Design controls </w:t>
      </w:r>
    </w:p>
    <w:p w:rsidR="00176BA6" w:rsidRDefault="0017131B" w:rsidP="00193CB3">
      <w:pPr>
        <w:rPr>
          <w:rFonts w:asciiTheme="minorHAnsi" w:hAnsiTheme="minorHAnsi"/>
          <w:sz w:val="22"/>
          <w:lang w:eastAsia="en-US"/>
        </w:rPr>
      </w:pPr>
      <w:r>
        <w:rPr>
          <w:rFonts w:asciiTheme="minorHAnsi" w:hAnsiTheme="minorHAnsi"/>
          <w:sz w:val="22"/>
          <w:lang w:eastAsia="en-US"/>
        </w:rPr>
        <w:t xml:space="preserve">Mr Czarny has also reviewed the controls proposed </w:t>
      </w:r>
      <w:r w:rsidR="00726C9B">
        <w:rPr>
          <w:rFonts w:asciiTheme="minorHAnsi" w:hAnsiTheme="minorHAnsi"/>
          <w:sz w:val="22"/>
          <w:lang w:eastAsia="en-US"/>
        </w:rPr>
        <w:t xml:space="preserve">in Amendment C208 </w:t>
      </w:r>
      <w:r>
        <w:rPr>
          <w:rFonts w:asciiTheme="minorHAnsi" w:hAnsiTheme="minorHAnsi"/>
          <w:sz w:val="22"/>
          <w:lang w:eastAsia="en-US"/>
        </w:rPr>
        <w:t>to apply to this site as exhibited, as well as the additional controls circulated by the VPA on 2 August 2017.</w:t>
      </w:r>
      <w:r w:rsidR="001A467F">
        <w:rPr>
          <w:rFonts w:asciiTheme="minorHAnsi" w:hAnsiTheme="minorHAnsi"/>
          <w:sz w:val="22"/>
          <w:lang w:eastAsia="en-US"/>
        </w:rPr>
        <w:t xml:space="preserve">  Mr Czarny describes these controls as representing ‘an appropriate regulatory response’, but notes they may require some refinement.</w:t>
      </w:r>
      <w:r w:rsidR="001A467F">
        <w:rPr>
          <w:rStyle w:val="FootnoteReference"/>
          <w:rFonts w:asciiTheme="minorHAnsi" w:hAnsiTheme="minorHAnsi"/>
          <w:sz w:val="22"/>
          <w:lang w:eastAsia="en-US"/>
        </w:rPr>
        <w:footnoteReference w:id="90"/>
      </w:r>
    </w:p>
    <w:p w:rsidR="00B86131" w:rsidRDefault="000D6786" w:rsidP="00193CB3">
      <w:pPr>
        <w:rPr>
          <w:rFonts w:asciiTheme="minorHAnsi" w:hAnsiTheme="minorHAnsi"/>
          <w:sz w:val="22"/>
          <w:lang w:eastAsia="en-US"/>
        </w:rPr>
      </w:pPr>
      <w:r>
        <w:rPr>
          <w:rFonts w:asciiTheme="minorHAnsi" w:hAnsiTheme="minorHAnsi"/>
          <w:sz w:val="22"/>
          <w:lang w:eastAsia="en-US"/>
        </w:rPr>
        <w:t>Mr Woodland expresses a similar view in his planning evidence on behalf of Villawood.  The VPA will consider any feedb</w:t>
      </w:r>
      <w:r w:rsidR="00374FB5">
        <w:rPr>
          <w:rFonts w:asciiTheme="minorHAnsi" w:hAnsiTheme="minorHAnsi"/>
          <w:sz w:val="22"/>
          <w:lang w:eastAsia="en-US"/>
        </w:rPr>
        <w:t>ack received in respect of the</w:t>
      </w:r>
      <w:r>
        <w:rPr>
          <w:rFonts w:asciiTheme="minorHAnsi" w:hAnsiTheme="minorHAnsi"/>
          <w:sz w:val="22"/>
          <w:lang w:eastAsia="en-US"/>
        </w:rPr>
        <w:t xml:space="preserve"> </w:t>
      </w:r>
      <w:r w:rsidR="00083458">
        <w:rPr>
          <w:rFonts w:asciiTheme="minorHAnsi" w:hAnsiTheme="minorHAnsi"/>
          <w:sz w:val="22"/>
          <w:lang w:eastAsia="en-US"/>
        </w:rPr>
        <w:t>pr</w:t>
      </w:r>
      <w:r w:rsidR="00802A71">
        <w:rPr>
          <w:rFonts w:asciiTheme="minorHAnsi" w:hAnsiTheme="minorHAnsi"/>
          <w:sz w:val="22"/>
          <w:lang w:eastAsia="en-US"/>
        </w:rPr>
        <w:t xml:space="preserve">oposed </w:t>
      </w:r>
      <w:r w:rsidR="00083458">
        <w:rPr>
          <w:rFonts w:asciiTheme="minorHAnsi" w:hAnsiTheme="minorHAnsi"/>
          <w:sz w:val="22"/>
          <w:lang w:eastAsia="en-US"/>
        </w:rPr>
        <w:t>controls</w:t>
      </w:r>
      <w:r w:rsidR="009C4695">
        <w:rPr>
          <w:rFonts w:asciiTheme="minorHAnsi" w:hAnsiTheme="minorHAnsi"/>
          <w:sz w:val="22"/>
          <w:lang w:eastAsia="en-US"/>
        </w:rPr>
        <w:t xml:space="preserve"> and will work with interested submitters to endeavour to achieve a consensus </w:t>
      </w:r>
      <w:r w:rsidR="001E7AA7">
        <w:rPr>
          <w:rFonts w:asciiTheme="minorHAnsi" w:hAnsiTheme="minorHAnsi"/>
          <w:sz w:val="22"/>
          <w:lang w:eastAsia="en-US"/>
        </w:rPr>
        <w:t>position</w:t>
      </w:r>
      <w:r w:rsidR="009C4695">
        <w:rPr>
          <w:rFonts w:asciiTheme="minorHAnsi" w:hAnsiTheme="minorHAnsi"/>
          <w:sz w:val="22"/>
          <w:lang w:eastAsia="en-US"/>
        </w:rPr>
        <w:t xml:space="preserve">. </w:t>
      </w:r>
    </w:p>
    <w:p w:rsidR="00176BA6" w:rsidRPr="007658E9" w:rsidRDefault="00890EC5" w:rsidP="00193CB3">
      <w:pPr>
        <w:rPr>
          <w:rFonts w:asciiTheme="minorHAnsi" w:hAnsiTheme="minorHAnsi"/>
          <w:sz w:val="22"/>
          <w:lang w:eastAsia="en-US"/>
        </w:rPr>
      </w:pPr>
      <w:proofErr w:type="gramStart"/>
      <w:r>
        <w:rPr>
          <w:rFonts w:asciiTheme="minorHAnsi" w:hAnsiTheme="minorHAnsi"/>
          <w:sz w:val="22"/>
          <w:lang w:eastAsia="en-US"/>
        </w:rPr>
        <w:t>At this time</w:t>
      </w:r>
      <w:proofErr w:type="gramEnd"/>
      <w:r>
        <w:rPr>
          <w:rFonts w:asciiTheme="minorHAnsi" w:hAnsiTheme="minorHAnsi"/>
          <w:sz w:val="22"/>
          <w:lang w:eastAsia="en-US"/>
        </w:rPr>
        <w:t>, the VPA</w:t>
      </w:r>
      <w:r w:rsidR="00995D63">
        <w:rPr>
          <w:rFonts w:asciiTheme="minorHAnsi" w:hAnsiTheme="minorHAnsi"/>
          <w:sz w:val="22"/>
          <w:lang w:eastAsia="en-US"/>
        </w:rPr>
        <w:t xml:space="preserve"> </w:t>
      </w:r>
      <w:r w:rsidR="00B86131">
        <w:rPr>
          <w:rFonts w:asciiTheme="minorHAnsi" w:hAnsiTheme="minorHAnsi"/>
          <w:sz w:val="22"/>
          <w:lang w:eastAsia="en-US"/>
        </w:rPr>
        <w:t xml:space="preserve">considers the combination of reducing the developable area and imposing more detailed design controls will </w:t>
      </w:r>
      <w:r w:rsidR="00D64E81">
        <w:rPr>
          <w:rFonts w:asciiTheme="minorHAnsi" w:hAnsiTheme="minorHAnsi"/>
          <w:sz w:val="22"/>
          <w:lang w:eastAsia="en-US"/>
        </w:rPr>
        <w:t>result in an approp</w:t>
      </w:r>
      <w:r w:rsidR="00AB3462">
        <w:rPr>
          <w:rFonts w:asciiTheme="minorHAnsi" w:hAnsiTheme="minorHAnsi"/>
          <w:sz w:val="22"/>
          <w:lang w:eastAsia="en-US"/>
        </w:rPr>
        <w:t>riate built form outcome on the</w:t>
      </w:r>
      <w:r w:rsidR="00D64E81">
        <w:rPr>
          <w:rFonts w:asciiTheme="minorHAnsi" w:hAnsiTheme="minorHAnsi"/>
          <w:sz w:val="22"/>
          <w:lang w:eastAsia="en-US"/>
        </w:rPr>
        <w:t xml:space="preserve"> site that responds sensitively to the Jacksons Creek valley.  </w:t>
      </w:r>
    </w:p>
    <w:p w:rsidR="00EA582E" w:rsidRPr="008A324C" w:rsidRDefault="007658E9" w:rsidP="00BB3CCE">
      <w:pPr>
        <w:pStyle w:val="Heading2"/>
        <w:rPr>
          <w:rFonts w:asciiTheme="minorHAnsi" w:hAnsiTheme="minorHAnsi"/>
          <w:b/>
        </w:rPr>
      </w:pPr>
      <w:bookmarkStart w:id="19" w:name="_Toc491027655"/>
      <w:r w:rsidRPr="008A324C">
        <w:rPr>
          <w:rFonts w:asciiTheme="minorHAnsi" w:hAnsiTheme="minorHAnsi"/>
          <w:b/>
        </w:rPr>
        <w:t xml:space="preserve">Regional </w:t>
      </w:r>
      <w:r w:rsidR="00B85F0B">
        <w:rPr>
          <w:rFonts w:asciiTheme="minorHAnsi" w:hAnsiTheme="minorHAnsi"/>
          <w:b/>
        </w:rPr>
        <w:t>transport</w:t>
      </w:r>
      <w:r w:rsidRPr="008A324C">
        <w:rPr>
          <w:rFonts w:asciiTheme="minorHAnsi" w:hAnsiTheme="minorHAnsi"/>
          <w:b/>
        </w:rPr>
        <w:t xml:space="preserve"> impacts</w:t>
      </w:r>
      <w:bookmarkEnd w:id="19"/>
      <w:r w:rsidRPr="008A324C">
        <w:rPr>
          <w:rFonts w:asciiTheme="minorHAnsi" w:hAnsiTheme="minorHAnsi"/>
          <w:b/>
        </w:rPr>
        <w:t xml:space="preserve"> </w:t>
      </w:r>
    </w:p>
    <w:p w:rsidR="00EA6EB4" w:rsidRDefault="00EA6EB4" w:rsidP="00EA6EB4">
      <w:pPr>
        <w:rPr>
          <w:rFonts w:asciiTheme="minorHAnsi" w:hAnsiTheme="minorHAnsi"/>
          <w:i/>
          <w:sz w:val="22"/>
          <w:lang w:eastAsia="en-US"/>
        </w:rPr>
      </w:pPr>
      <w:r>
        <w:rPr>
          <w:rFonts w:asciiTheme="minorHAnsi" w:hAnsiTheme="minorHAnsi"/>
          <w:i/>
          <w:sz w:val="22"/>
          <w:lang w:eastAsia="en-US"/>
        </w:rPr>
        <w:t xml:space="preserve">Sunbury South PSP (C207) – Submissions </w:t>
      </w:r>
      <w:r w:rsidR="00A80292">
        <w:rPr>
          <w:rFonts w:asciiTheme="minorHAnsi" w:hAnsiTheme="minorHAnsi"/>
          <w:i/>
          <w:sz w:val="22"/>
          <w:lang w:eastAsia="en-US"/>
        </w:rPr>
        <w:t xml:space="preserve">23 (N and R Isles); </w:t>
      </w:r>
      <w:r w:rsidR="009C15B1">
        <w:rPr>
          <w:rFonts w:asciiTheme="minorHAnsi" w:hAnsiTheme="minorHAnsi"/>
          <w:i/>
          <w:sz w:val="22"/>
          <w:lang w:eastAsia="en-US"/>
        </w:rPr>
        <w:t>36 (</w:t>
      </w:r>
      <w:r w:rsidR="0008676A">
        <w:rPr>
          <w:rFonts w:asciiTheme="minorHAnsi" w:hAnsiTheme="minorHAnsi"/>
          <w:i/>
          <w:sz w:val="22"/>
          <w:lang w:eastAsia="en-US"/>
        </w:rPr>
        <w:t xml:space="preserve">Jacksons Creek </w:t>
      </w:r>
      <w:proofErr w:type="spellStart"/>
      <w:r w:rsidR="0008676A">
        <w:rPr>
          <w:rFonts w:asciiTheme="minorHAnsi" w:hAnsiTheme="minorHAnsi"/>
          <w:i/>
          <w:sz w:val="22"/>
          <w:lang w:eastAsia="en-US"/>
        </w:rPr>
        <w:t>EcoNetwork</w:t>
      </w:r>
      <w:proofErr w:type="spellEnd"/>
      <w:r w:rsidR="0008676A">
        <w:rPr>
          <w:rFonts w:asciiTheme="minorHAnsi" w:hAnsiTheme="minorHAnsi"/>
          <w:i/>
          <w:sz w:val="22"/>
          <w:lang w:eastAsia="en-US"/>
        </w:rPr>
        <w:t xml:space="preserve">, Friends of Holden Flora Reserve, Friends of Emu Bottom Wetlands); </w:t>
      </w:r>
      <w:r>
        <w:rPr>
          <w:rFonts w:asciiTheme="minorHAnsi" w:hAnsiTheme="minorHAnsi"/>
          <w:i/>
          <w:sz w:val="22"/>
          <w:lang w:eastAsia="en-US"/>
        </w:rPr>
        <w:t xml:space="preserve">57 (Hume City Council); </w:t>
      </w:r>
      <w:r w:rsidR="0053750C">
        <w:rPr>
          <w:rFonts w:asciiTheme="minorHAnsi" w:hAnsiTheme="minorHAnsi"/>
          <w:i/>
          <w:sz w:val="22"/>
          <w:lang w:eastAsia="en-US"/>
        </w:rPr>
        <w:t>75 (Capitol Property Group)</w:t>
      </w:r>
      <w:r w:rsidR="00796E50">
        <w:rPr>
          <w:rFonts w:asciiTheme="minorHAnsi" w:hAnsiTheme="minorHAnsi"/>
          <w:i/>
          <w:sz w:val="22"/>
          <w:lang w:eastAsia="en-US"/>
        </w:rPr>
        <w:t xml:space="preserve">; </w:t>
      </w:r>
      <w:r w:rsidR="00B5026C">
        <w:rPr>
          <w:rFonts w:asciiTheme="minorHAnsi" w:hAnsiTheme="minorHAnsi"/>
          <w:i/>
          <w:sz w:val="22"/>
          <w:lang w:eastAsia="en-US"/>
        </w:rPr>
        <w:t>83 (T</w:t>
      </w:r>
      <w:r w:rsidR="00C159BC">
        <w:rPr>
          <w:rFonts w:asciiTheme="minorHAnsi" w:hAnsiTheme="minorHAnsi"/>
          <w:i/>
          <w:sz w:val="22"/>
          <w:lang w:eastAsia="en-US"/>
        </w:rPr>
        <w:t xml:space="preserve"> Dance)</w:t>
      </w:r>
    </w:p>
    <w:p w:rsidR="0053750C" w:rsidRDefault="0053750C" w:rsidP="0053750C">
      <w:pPr>
        <w:rPr>
          <w:rFonts w:asciiTheme="minorHAnsi" w:hAnsiTheme="minorHAnsi"/>
          <w:i/>
          <w:sz w:val="22"/>
          <w:lang w:eastAsia="en-US"/>
        </w:rPr>
      </w:pPr>
      <w:r>
        <w:rPr>
          <w:rFonts w:asciiTheme="minorHAnsi" w:hAnsiTheme="minorHAnsi"/>
          <w:i/>
          <w:sz w:val="22"/>
          <w:lang w:eastAsia="en-US"/>
        </w:rPr>
        <w:t>Lancefield Road PSP (C208) – Submission</w:t>
      </w:r>
      <w:r w:rsidR="003B1096">
        <w:rPr>
          <w:rFonts w:asciiTheme="minorHAnsi" w:hAnsiTheme="minorHAnsi"/>
          <w:i/>
          <w:sz w:val="22"/>
          <w:lang w:eastAsia="en-US"/>
        </w:rPr>
        <w:t xml:space="preserve">s 6 (J </w:t>
      </w:r>
      <w:proofErr w:type="spellStart"/>
      <w:r w:rsidR="003B1096">
        <w:rPr>
          <w:rFonts w:asciiTheme="minorHAnsi" w:hAnsiTheme="minorHAnsi"/>
          <w:i/>
          <w:sz w:val="22"/>
          <w:lang w:eastAsia="en-US"/>
        </w:rPr>
        <w:t>McKerrow</w:t>
      </w:r>
      <w:proofErr w:type="spellEnd"/>
      <w:r w:rsidR="003B1096">
        <w:rPr>
          <w:rFonts w:asciiTheme="minorHAnsi" w:hAnsiTheme="minorHAnsi"/>
          <w:i/>
          <w:sz w:val="22"/>
          <w:lang w:eastAsia="en-US"/>
        </w:rPr>
        <w:t>);</w:t>
      </w:r>
      <w:r w:rsidR="00A80292">
        <w:rPr>
          <w:rFonts w:asciiTheme="minorHAnsi" w:hAnsiTheme="minorHAnsi"/>
          <w:i/>
          <w:sz w:val="22"/>
          <w:lang w:eastAsia="en-US"/>
        </w:rPr>
        <w:t xml:space="preserve"> 19 (N and R Isles);</w:t>
      </w:r>
      <w:r>
        <w:rPr>
          <w:rFonts w:asciiTheme="minorHAnsi" w:hAnsiTheme="minorHAnsi"/>
          <w:i/>
          <w:sz w:val="22"/>
          <w:lang w:eastAsia="en-US"/>
        </w:rPr>
        <w:t xml:space="preserve"> </w:t>
      </w:r>
      <w:r w:rsidR="00EB7597">
        <w:rPr>
          <w:rFonts w:asciiTheme="minorHAnsi" w:hAnsiTheme="minorHAnsi"/>
          <w:i/>
          <w:sz w:val="22"/>
          <w:lang w:eastAsia="en-US"/>
        </w:rPr>
        <w:t xml:space="preserve">20 (D Manning); </w:t>
      </w:r>
      <w:r>
        <w:rPr>
          <w:rFonts w:asciiTheme="minorHAnsi" w:hAnsiTheme="minorHAnsi"/>
          <w:i/>
          <w:sz w:val="22"/>
          <w:lang w:eastAsia="en-US"/>
        </w:rPr>
        <w:t>54 (Hume City Council)</w:t>
      </w:r>
      <w:r w:rsidR="00D0700F">
        <w:rPr>
          <w:rFonts w:asciiTheme="minorHAnsi" w:hAnsiTheme="minorHAnsi"/>
          <w:i/>
          <w:sz w:val="22"/>
          <w:lang w:eastAsia="en-US"/>
        </w:rPr>
        <w:t>;</w:t>
      </w:r>
      <w:r w:rsidR="007553E6">
        <w:rPr>
          <w:rFonts w:asciiTheme="minorHAnsi" w:hAnsiTheme="minorHAnsi"/>
          <w:i/>
          <w:sz w:val="22"/>
          <w:lang w:eastAsia="en-US"/>
        </w:rPr>
        <w:t xml:space="preserve"> 77 (M Gray);</w:t>
      </w:r>
      <w:r w:rsidR="00D0700F">
        <w:rPr>
          <w:rFonts w:asciiTheme="minorHAnsi" w:hAnsiTheme="minorHAnsi"/>
          <w:i/>
          <w:sz w:val="22"/>
          <w:lang w:eastAsia="en-US"/>
        </w:rPr>
        <w:t xml:space="preserve"> 84 (T Dance)</w:t>
      </w:r>
    </w:p>
    <w:p w:rsidR="00C316B5" w:rsidRDefault="009E0FD2" w:rsidP="00081769">
      <w:pPr>
        <w:rPr>
          <w:rFonts w:asciiTheme="minorHAnsi" w:hAnsiTheme="minorHAnsi"/>
          <w:sz w:val="22"/>
          <w:lang w:eastAsia="en-US"/>
        </w:rPr>
      </w:pPr>
      <w:r>
        <w:rPr>
          <w:rFonts w:asciiTheme="minorHAnsi" w:hAnsiTheme="minorHAnsi"/>
          <w:sz w:val="22"/>
          <w:lang w:eastAsia="en-US"/>
        </w:rPr>
        <w:lastRenderedPageBreak/>
        <w:t>T</w:t>
      </w:r>
      <w:r w:rsidR="00C316B5" w:rsidRPr="00C316B5">
        <w:rPr>
          <w:rFonts w:asciiTheme="minorHAnsi" w:hAnsiTheme="minorHAnsi"/>
          <w:sz w:val="22"/>
          <w:lang w:eastAsia="en-US"/>
        </w:rPr>
        <w:t xml:space="preserve">ransport and traffic aspects </w:t>
      </w:r>
      <w:r w:rsidR="004434CB">
        <w:rPr>
          <w:rFonts w:asciiTheme="minorHAnsi" w:hAnsiTheme="minorHAnsi"/>
          <w:sz w:val="22"/>
          <w:lang w:eastAsia="en-US"/>
        </w:rPr>
        <w:t xml:space="preserve">of the Amendments were raised </w:t>
      </w:r>
      <w:r>
        <w:rPr>
          <w:rFonts w:asciiTheme="minorHAnsi" w:hAnsiTheme="minorHAnsi"/>
          <w:sz w:val="22"/>
          <w:lang w:eastAsia="en-US"/>
        </w:rPr>
        <w:t>in multiple submissions</w:t>
      </w:r>
      <w:r w:rsidR="004434CB">
        <w:rPr>
          <w:rFonts w:asciiTheme="minorHAnsi" w:hAnsiTheme="minorHAnsi"/>
          <w:sz w:val="22"/>
          <w:lang w:eastAsia="en-US"/>
        </w:rPr>
        <w:t xml:space="preserve"> in response to exhibition and </w:t>
      </w:r>
      <w:proofErr w:type="gramStart"/>
      <w:r w:rsidR="004434CB">
        <w:rPr>
          <w:rFonts w:asciiTheme="minorHAnsi" w:hAnsiTheme="minorHAnsi"/>
          <w:sz w:val="22"/>
          <w:lang w:eastAsia="en-US"/>
        </w:rPr>
        <w:t>a number of</w:t>
      </w:r>
      <w:proofErr w:type="gramEnd"/>
      <w:r w:rsidR="004434CB">
        <w:rPr>
          <w:rFonts w:asciiTheme="minorHAnsi" w:hAnsiTheme="minorHAnsi"/>
          <w:sz w:val="22"/>
          <w:lang w:eastAsia="en-US"/>
        </w:rPr>
        <w:t xml:space="preserve"> </w:t>
      </w:r>
      <w:r w:rsidR="007D4B64">
        <w:rPr>
          <w:rFonts w:asciiTheme="minorHAnsi" w:hAnsiTheme="minorHAnsi"/>
          <w:sz w:val="22"/>
          <w:lang w:eastAsia="en-US"/>
        </w:rPr>
        <w:t>parties</w:t>
      </w:r>
      <w:r w:rsidR="004434CB">
        <w:rPr>
          <w:rFonts w:asciiTheme="minorHAnsi" w:hAnsiTheme="minorHAnsi"/>
          <w:sz w:val="22"/>
          <w:lang w:eastAsia="en-US"/>
        </w:rPr>
        <w:t xml:space="preserve"> will be calling traf</w:t>
      </w:r>
      <w:r w:rsidR="008840C0">
        <w:rPr>
          <w:rFonts w:asciiTheme="minorHAnsi" w:hAnsiTheme="minorHAnsi"/>
          <w:sz w:val="22"/>
          <w:lang w:eastAsia="en-US"/>
        </w:rPr>
        <w:t>fic engineering evidence at the</w:t>
      </w:r>
      <w:r w:rsidR="004434CB">
        <w:rPr>
          <w:rFonts w:asciiTheme="minorHAnsi" w:hAnsiTheme="minorHAnsi"/>
          <w:sz w:val="22"/>
          <w:lang w:eastAsia="en-US"/>
        </w:rPr>
        <w:t xml:space="preserve"> hearing.</w:t>
      </w:r>
    </w:p>
    <w:p w:rsidR="0073541D" w:rsidRDefault="009E0FD2" w:rsidP="00081769">
      <w:pPr>
        <w:rPr>
          <w:rFonts w:asciiTheme="minorHAnsi" w:hAnsiTheme="minorHAnsi"/>
          <w:sz w:val="22"/>
          <w:lang w:eastAsia="en-US"/>
        </w:rPr>
      </w:pPr>
      <w:r>
        <w:rPr>
          <w:rFonts w:asciiTheme="minorHAnsi" w:hAnsiTheme="minorHAnsi"/>
          <w:sz w:val="22"/>
          <w:lang w:eastAsia="en-US"/>
        </w:rPr>
        <w:t xml:space="preserve">The VPA relies on the expert evidence of </w:t>
      </w:r>
      <w:r w:rsidR="006E11A5">
        <w:rPr>
          <w:rFonts w:asciiTheme="minorHAnsi" w:hAnsiTheme="minorHAnsi"/>
          <w:sz w:val="22"/>
          <w:lang w:eastAsia="en-US"/>
        </w:rPr>
        <w:t xml:space="preserve">Mr Humphreys in relation to regional traffic impacts.  </w:t>
      </w:r>
    </w:p>
    <w:p w:rsidR="00107676" w:rsidRDefault="00107676" w:rsidP="00081769">
      <w:pPr>
        <w:rPr>
          <w:rFonts w:asciiTheme="minorHAnsi" w:hAnsiTheme="minorHAnsi"/>
          <w:sz w:val="22"/>
          <w:lang w:eastAsia="en-US"/>
        </w:rPr>
      </w:pPr>
      <w:r>
        <w:rPr>
          <w:rFonts w:asciiTheme="minorHAnsi" w:hAnsiTheme="minorHAnsi"/>
          <w:sz w:val="22"/>
          <w:lang w:eastAsia="en-US"/>
        </w:rPr>
        <w:t>The expert witnesses whose evidence relates to regional traffic impacts are participating in a conclave that will result in a statement highlighting their points of agreement and disagreement.  The VPA expects that statement to be available for the second day of the hearing.</w:t>
      </w:r>
    </w:p>
    <w:p w:rsidR="00285EDF" w:rsidRDefault="00285EDF" w:rsidP="00081769">
      <w:pPr>
        <w:rPr>
          <w:rFonts w:asciiTheme="minorHAnsi" w:hAnsiTheme="minorHAnsi"/>
          <w:sz w:val="22"/>
          <w:lang w:eastAsia="en-US"/>
        </w:rPr>
      </w:pPr>
      <w:r>
        <w:rPr>
          <w:rFonts w:asciiTheme="minorHAnsi" w:hAnsiTheme="minorHAnsi"/>
          <w:sz w:val="22"/>
          <w:lang w:eastAsia="en-US"/>
        </w:rPr>
        <w:t>A relatively brief background is provided below in advance of the conclave statement.</w:t>
      </w:r>
    </w:p>
    <w:p w:rsidR="00B80432" w:rsidRPr="0069760D" w:rsidRDefault="00B80432" w:rsidP="00B80432">
      <w:pPr>
        <w:pStyle w:val="Heading3"/>
        <w:rPr>
          <w:rFonts w:asciiTheme="minorHAnsi" w:hAnsiTheme="minorHAnsi"/>
          <w:b/>
        </w:rPr>
      </w:pPr>
      <w:r>
        <w:rPr>
          <w:rFonts w:asciiTheme="minorHAnsi" w:hAnsiTheme="minorHAnsi"/>
          <w:b/>
        </w:rPr>
        <w:t>Background</w:t>
      </w:r>
    </w:p>
    <w:p w:rsidR="000002FA" w:rsidRDefault="008E7C45" w:rsidP="000002FA">
      <w:pPr>
        <w:rPr>
          <w:rFonts w:asciiTheme="minorHAnsi" w:hAnsiTheme="minorHAnsi"/>
          <w:sz w:val="22"/>
          <w:lang w:eastAsia="en-US"/>
        </w:rPr>
      </w:pPr>
      <w:r>
        <w:rPr>
          <w:rFonts w:asciiTheme="minorHAnsi" w:hAnsiTheme="minorHAnsi"/>
          <w:sz w:val="22"/>
          <w:lang w:eastAsia="en-US"/>
        </w:rPr>
        <w:t>Mr Humphreys’ report describes the t</w:t>
      </w:r>
      <w:r w:rsidR="00A02703">
        <w:rPr>
          <w:rFonts w:asciiTheme="minorHAnsi" w:hAnsiTheme="minorHAnsi"/>
          <w:sz w:val="22"/>
          <w:lang w:eastAsia="en-US"/>
        </w:rPr>
        <w:t xml:space="preserve">ransport </w:t>
      </w:r>
      <w:r>
        <w:rPr>
          <w:rFonts w:asciiTheme="minorHAnsi" w:hAnsiTheme="minorHAnsi"/>
          <w:sz w:val="22"/>
          <w:lang w:eastAsia="en-US"/>
        </w:rPr>
        <w:t xml:space="preserve">context </w:t>
      </w:r>
      <w:r w:rsidR="00A02703">
        <w:rPr>
          <w:rFonts w:asciiTheme="minorHAnsi" w:hAnsiTheme="minorHAnsi"/>
          <w:sz w:val="22"/>
          <w:lang w:eastAsia="en-US"/>
        </w:rPr>
        <w:t>of the precincts</w:t>
      </w:r>
      <w:r w:rsidR="00F616B5">
        <w:rPr>
          <w:rFonts w:asciiTheme="minorHAnsi" w:hAnsiTheme="minorHAnsi"/>
          <w:sz w:val="22"/>
          <w:lang w:eastAsia="en-US"/>
        </w:rPr>
        <w:t>,</w:t>
      </w:r>
      <w:r>
        <w:rPr>
          <w:rFonts w:asciiTheme="minorHAnsi" w:hAnsiTheme="minorHAnsi"/>
          <w:sz w:val="22"/>
          <w:lang w:eastAsia="en-US"/>
        </w:rPr>
        <w:t xml:space="preserve"> the </w:t>
      </w:r>
      <w:r w:rsidR="00A02703">
        <w:rPr>
          <w:rFonts w:asciiTheme="minorHAnsi" w:hAnsiTheme="minorHAnsi"/>
          <w:sz w:val="22"/>
          <w:lang w:eastAsia="en-US"/>
        </w:rPr>
        <w:t>strategic transport modelling that has informed the preparation of the PSPs</w:t>
      </w:r>
      <w:r w:rsidR="00F616B5">
        <w:rPr>
          <w:rFonts w:asciiTheme="minorHAnsi" w:hAnsiTheme="minorHAnsi"/>
          <w:sz w:val="22"/>
          <w:lang w:eastAsia="en-US"/>
        </w:rPr>
        <w:t xml:space="preserve"> </w:t>
      </w:r>
      <w:r w:rsidR="008A4B21">
        <w:rPr>
          <w:rFonts w:asciiTheme="minorHAnsi" w:hAnsiTheme="minorHAnsi"/>
          <w:sz w:val="22"/>
          <w:lang w:eastAsia="en-US"/>
        </w:rPr>
        <w:t>and the key elements of the proposed road network</w:t>
      </w:r>
      <w:r w:rsidR="00A02703">
        <w:rPr>
          <w:rFonts w:asciiTheme="minorHAnsi" w:hAnsiTheme="minorHAnsi"/>
          <w:sz w:val="22"/>
          <w:lang w:eastAsia="en-US"/>
        </w:rPr>
        <w:t>.</w:t>
      </w:r>
    </w:p>
    <w:p w:rsidR="00997D93" w:rsidRDefault="00F51888" w:rsidP="000002FA">
      <w:pPr>
        <w:rPr>
          <w:rFonts w:asciiTheme="minorHAnsi" w:hAnsiTheme="minorHAnsi"/>
          <w:sz w:val="22"/>
          <w:lang w:eastAsia="en-US"/>
        </w:rPr>
      </w:pPr>
      <w:r>
        <w:rPr>
          <w:rFonts w:asciiTheme="minorHAnsi" w:hAnsiTheme="minorHAnsi"/>
          <w:sz w:val="22"/>
          <w:lang w:eastAsia="en-US"/>
        </w:rPr>
        <w:t xml:space="preserve">The </w:t>
      </w:r>
      <w:r w:rsidR="006F2026">
        <w:rPr>
          <w:rFonts w:asciiTheme="minorHAnsi" w:hAnsiTheme="minorHAnsi"/>
          <w:sz w:val="22"/>
          <w:lang w:eastAsia="en-US"/>
        </w:rPr>
        <w:t xml:space="preserve">traffic infrastructure identified within the PSPs includes duplications of existing arterial roads, upgrades to key intersections, </w:t>
      </w:r>
      <w:r w:rsidR="003F75C0">
        <w:rPr>
          <w:rFonts w:asciiTheme="minorHAnsi" w:hAnsiTheme="minorHAnsi"/>
          <w:sz w:val="22"/>
          <w:lang w:eastAsia="en-US"/>
        </w:rPr>
        <w:t>and the construction of two crossings of Jacksons Creek in addition to the existing c</w:t>
      </w:r>
      <w:r w:rsidR="004F0544">
        <w:rPr>
          <w:rFonts w:asciiTheme="minorHAnsi" w:hAnsiTheme="minorHAnsi"/>
          <w:sz w:val="22"/>
          <w:lang w:eastAsia="en-US"/>
        </w:rPr>
        <w:t>rossing on Sunbury Road: one to the north and one to the south of the township.</w:t>
      </w:r>
    </w:p>
    <w:p w:rsidR="002073C7" w:rsidRDefault="00997D93" w:rsidP="000002FA">
      <w:pPr>
        <w:rPr>
          <w:rFonts w:asciiTheme="minorHAnsi" w:hAnsiTheme="minorHAnsi"/>
          <w:sz w:val="22"/>
          <w:lang w:eastAsia="en-US"/>
        </w:rPr>
      </w:pPr>
      <w:proofErr w:type="gramStart"/>
      <w:r>
        <w:rPr>
          <w:rFonts w:asciiTheme="minorHAnsi" w:hAnsiTheme="minorHAnsi"/>
          <w:sz w:val="22"/>
          <w:lang w:eastAsia="en-US"/>
        </w:rPr>
        <w:t>A num</w:t>
      </w:r>
      <w:r w:rsidR="00222A9F">
        <w:rPr>
          <w:rFonts w:asciiTheme="minorHAnsi" w:hAnsiTheme="minorHAnsi"/>
          <w:sz w:val="22"/>
          <w:lang w:eastAsia="en-US"/>
        </w:rPr>
        <w:t>ber of</w:t>
      </w:r>
      <w:proofErr w:type="gramEnd"/>
      <w:r w:rsidR="00222A9F">
        <w:rPr>
          <w:rFonts w:asciiTheme="minorHAnsi" w:hAnsiTheme="minorHAnsi"/>
          <w:sz w:val="22"/>
          <w:lang w:eastAsia="en-US"/>
        </w:rPr>
        <w:t xml:space="preserve"> submissions refer to the Bulla Bypass.  This is a proposed arterial road intended to improve connectivity between the Sunbury/Diggers Rest corridor and the Tullamarine Freeway.</w:t>
      </w:r>
      <w:r w:rsidR="00EE1926">
        <w:rPr>
          <w:rFonts w:asciiTheme="minorHAnsi" w:hAnsiTheme="minorHAnsi"/>
          <w:sz w:val="22"/>
          <w:lang w:eastAsia="en-US"/>
        </w:rPr>
        <w:t xml:space="preserve">  Mr Humphreys notes that a preferred alignment of the Bulla Bypass was part of Amendment C190 to the Scheme and submitted to the Minister for Planning for approval, but the Minister has requested that the alignment </w:t>
      </w:r>
      <w:r w:rsidR="002073C7">
        <w:rPr>
          <w:rFonts w:asciiTheme="minorHAnsi" w:hAnsiTheme="minorHAnsi"/>
          <w:sz w:val="22"/>
          <w:lang w:eastAsia="en-US"/>
        </w:rPr>
        <w:t>be subject to further review.</w:t>
      </w:r>
    </w:p>
    <w:p w:rsidR="002073C7" w:rsidRDefault="002073C7" w:rsidP="000002FA">
      <w:pPr>
        <w:rPr>
          <w:rFonts w:asciiTheme="minorHAnsi" w:hAnsiTheme="minorHAnsi"/>
          <w:sz w:val="22"/>
          <w:lang w:eastAsia="en-US"/>
        </w:rPr>
      </w:pPr>
      <w:r>
        <w:rPr>
          <w:rFonts w:asciiTheme="minorHAnsi" w:hAnsiTheme="minorHAnsi"/>
          <w:sz w:val="22"/>
          <w:lang w:eastAsia="en-US"/>
        </w:rPr>
        <w:t>VicRoads is undertaking this review and has advised:</w:t>
      </w:r>
    </w:p>
    <w:p w:rsidR="00F51888" w:rsidRDefault="002073C7" w:rsidP="001F39E5">
      <w:pPr>
        <w:pStyle w:val="ListParagraph"/>
        <w:numPr>
          <w:ilvl w:val="0"/>
          <w:numId w:val="57"/>
        </w:numPr>
      </w:pPr>
      <w:r>
        <w:t>the review of the alignment is likely to be completed in six to 12 months; and</w:t>
      </w:r>
    </w:p>
    <w:p w:rsidR="002073C7" w:rsidRDefault="002073C7" w:rsidP="001F39E5">
      <w:pPr>
        <w:pStyle w:val="ListParagraph"/>
        <w:numPr>
          <w:ilvl w:val="0"/>
          <w:numId w:val="57"/>
        </w:numPr>
      </w:pPr>
      <w:r>
        <w:t>the bypass is likely to be constructed in 10 to 15 years.</w:t>
      </w:r>
    </w:p>
    <w:p w:rsidR="00022BBA" w:rsidRPr="002073C7" w:rsidRDefault="00022BBA" w:rsidP="00022BBA">
      <w:pPr>
        <w:rPr>
          <w:rFonts w:asciiTheme="minorHAnsi" w:hAnsiTheme="minorHAnsi"/>
          <w:sz w:val="22"/>
          <w:lang w:eastAsia="en-US"/>
        </w:rPr>
      </w:pPr>
      <w:r w:rsidRPr="00022BBA">
        <w:rPr>
          <w:rFonts w:asciiTheme="minorHAnsi" w:hAnsiTheme="minorHAnsi"/>
          <w:sz w:val="22"/>
          <w:lang w:eastAsia="en-US"/>
        </w:rPr>
        <w:t xml:space="preserve">The modelling </w:t>
      </w:r>
      <w:r>
        <w:rPr>
          <w:rFonts w:asciiTheme="minorHAnsi" w:hAnsiTheme="minorHAnsi"/>
          <w:sz w:val="22"/>
          <w:lang w:eastAsia="en-US"/>
        </w:rPr>
        <w:t>for the PSPs at 2046 assumes the construction of the Bulla Bypass.</w:t>
      </w:r>
    </w:p>
    <w:p w:rsidR="00956508" w:rsidRPr="00DC114F" w:rsidRDefault="00FC38EC" w:rsidP="00DC114F">
      <w:pPr>
        <w:pStyle w:val="Heading3"/>
        <w:rPr>
          <w:rFonts w:asciiTheme="minorHAnsi" w:hAnsiTheme="minorHAnsi"/>
          <w:b/>
        </w:rPr>
      </w:pPr>
      <w:r w:rsidRPr="00DC114F">
        <w:rPr>
          <w:rFonts w:asciiTheme="minorHAnsi" w:hAnsiTheme="minorHAnsi"/>
          <w:b/>
        </w:rPr>
        <w:t>Jacksons Creek road crossing</w:t>
      </w:r>
      <w:r w:rsidR="0022771A" w:rsidRPr="00DC114F">
        <w:rPr>
          <w:rFonts w:asciiTheme="minorHAnsi" w:hAnsiTheme="minorHAnsi"/>
          <w:b/>
        </w:rPr>
        <w:t>s</w:t>
      </w:r>
    </w:p>
    <w:p w:rsidR="00E41250" w:rsidRDefault="00D17615" w:rsidP="008B6F21">
      <w:pPr>
        <w:rPr>
          <w:rFonts w:asciiTheme="minorHAnsi" w:hAnsiTheme="minorHAnsi"/>
          <w:sz w:val="22"/>
          <w:lang w:eastAsia="en-US"/>
        </w:rPr>
      </w:pPr>
      <w:r>
        <w:rPr>
          <w:rFonts w:asciiTheme="minorHAnsi" w:hAnsiTheme="minorHAnsi"/>
          <w:sz w:val="22"/>
          <w:lang w:eastAsia="en-US"/>
        </w:rPr>
        <w:t>Mr Humphreys has reviewed and summarised t</w:t>
      </w:r>
      <w:r w:rsidR="00E92C86">
        <w:rPr>
          <w:rFonts w:asciiTheme="minorHAnsi" w:hAnsiTheme="minorHAnsi"/>
          <w:sz w:val="22"/>
          <w:lang w:eastAsia="en-US"/>
        </w:rPr>
        <w:t>he modelling in relation to additional crossings of Jacksons Creek.</w:t>
      </w:r>
      <w:r w:rsidR="00CD5B1A">
        <w:rPr>
          <w:rFonts w:asciiTheme="minorHAnsi" w:hAnsiTheme="minorHAnsi"/>
          <w:sz w:val="22"/>
          <w:lang w:eastAsia="en-US"/>
        </w:rPr>
        <w:t xml:space="preserve">  The</w:t>
      </w:r>
      <w:r w:rsidR="00C67A0A">
        <w:rPr>
          <w:rFonts w:asciiTheme="minorHAnsi" w:hAnsiTheme="minorHAnsi"/>
          <w:sz w:val="22"/>
          <w:lang w:eastAsia="en-US"/>
        </w:rPr>
        <w:t xml:space="preserve"> modelling shows that the introduction of o</w:t>
      </w:r>
      <w:r w:rsidR="00CD5B1A">
        <w:rPr>
          <w:rFonts w:asciiTheme="minorHAnsi" w:hAnsiTheme="minorHAnsi"/>
          <w:sz w:val="22"/>
          <w:lang w:eastAsia="en-US"/>
        </w:rPr>
        <w:t>ne and two crossings of Jacksons</w:t>
      </w:r>
      <w:r w:rsidR="00C67A0A">
        <w:rPr>
          <w:rFonts w:asciiTheme="minorHAnsi" w:hAnsiTheme="minorHAnsi"/>
          <w:sz w:val="22"/>
          <w:lang w:eastAsia="en-US"/>
        </w:rPr>
        <w:t xml:space="preserve"> Creek will reduce traffic volumes on the </w:t>
      </w:r>
      <w:r w:rsidR="00CD5B1A">
        <w:rPr>
          <w:rFonts w:asciiTheme="minorHAnsi" w:hAnsiTheme="minorHAnsi"/>
          <w:sz w:val="22"/>
          <w:lang w:eastAsia="en-US"/>
        </w:rPr>
        <w:t>Sunbury Road network.</w:t>
      </w:r>
      <w:r w:rsidR="00CD5B1A">
        <w:rPr>
          <w:rStyle w:val="FootnoteReference"/>
          <w:rFonts w:asciiTheme="minorHAnsi" w:hAnsiTheme="minorHAnsi"/>
          <w:sz w:val="22"/>
          <w:lang w:eastAsia="en-US"/>
        </w:rPr>
        <w:footnoteReference w:id="91"/>
      </w:r>
      <w:r w:rsidR="00751C27">
        <w:rPr>
          <w:rFonts w:asciiTheme="minorHAnsi" w:hAnsiTheme="minorHAnsi"/>
          <w:sz w:val="22"/>
          <w:lang w:eastAsia="en-US"/>
        </w:rPr>
        <w:t xml:space="preserve">  When viewed in </w:t>
      </w:r>
      <w:r w:rsidR="00751C27">
        <w:rPr>
          <w:rFonts w:asciiTheme="minorHAnsi" w:hAnsiTheme="minorHAnsi"/>
          <w:sz w:val="22"/>
          <w:lang w:eastAsia="en-US"/>
        </w:rPr>
        <w:lastRenderedPageBreak/>
        <w:t>isolation, the southern crossing reduces congestion within the Sunbury town centre to a greater degree than the northern crossing.</w:t>
      </w:r>
      <w:r w:rsidR="00751C27">
        <w:rPr>
          <w:rStyle w:val="FootnoteReference"/>
          <w:rFonts w:asciiTheme="minorHAnsi" w:hAnsiTheme="minorHAnsi"/>
          <w:sz w:val="22"/>
          <w:lang w:eastAsia="en-US"/>
        </w:rPr>
        <w:footnoteReference w:id="92"/>
      </w:r>
    </w:p>
    <w:p w:rsidR="00C47A61" w:rsidRDefault="004971F9" w:rsidP="008B6F21">
      <w:pPr>
        <w:rPr>
          <w:rFonts w:asciiTheme="minorHAnsi" w:hAnsiTheme="minorHAnsi"/>
          <w:sz w:val="22"/>
          <w:lang w:eastAsia="en-US"/>
        </w:rPr>
      </w:pPr>
      <w:r>
        <w:rPr>
          <w:rFonts w:asciiTheme="minorHAnsi" w:hAnsiTheme="minorHAnsi"/>
          <w:sz w:val="22"/>
          <w:lang w:eastAsia="en-US"/>
        </w:rPr>
        <w:t>The modelling sho</w:t>
      </w:r>
      <w:r w:rsidR="0098231C">
        <w:rPr>
          <w:rFonts w:asciiTheme="minorHAnsi" w:hAnsiTheme="minorHAnsi"/>
          <w:sz w:val="22"/>
          <w:lang w:eastAsia="en-US"/>
        </w:rPr>
        <w:t>ws this reduction in congestion, both with and without the construction of the Bulla Bypass.</w:t>
      </w:r>
      <w:r w:rsidR="0098231C">
        <w:rPr>
          <w:rStyle w:val="FootnoteReference"/>
          <w:rFonts w:asciiTheme="minorHAnsi" w:hAnsiTheme="minorHAnsi"/>
          <w:sz w:val="22"/>
          <w:lang w:eastAsia="en-US"/>
        </w:rPr>
        <w:footnoteReference w:id="93"/>
      </w:r>
      <w:r w:rsidR="001C396F">
        <w:rPr>
          <w:rFonts w:asciiTheme="minorHAnsi" w:hAnsiTheme="minorHAnsi"/>
          <w:sz w:val="22"/>
          <w:lang w:eastAsia="en-US"/>
        </w:rPr>
        <w:t xml:space="preserve">  I</w:t>
      </w:r>
      <w:r w:rsidR="00C71A2A">
        <w:rPr>
          <w:rFonts w:asciiTheme="minorHAnsi" w:hAnsiTheme="minorHAnsi"/>
          <w:sz w:val="22"/>
          <w:lang w:eastAsia="en-US"/>
        </w:rPr>
        <w:t>f the Bulla Bypass is delayed, the expert opinion of Mr Humphreys is that increased growth in Sunbury is likely to lead to changes in behaviour including:</w:t>
      </w:r>
      <w:r w:rsidR="00C71A2A">
        <w:rPr>
          <w:rStyle w:val="FootnoteReference"/>
          <w:rFonts w:asciiTheme="minorHAnsi" w:hAnsiTheme="minorHAnsi"/>
          <w:sz w:val="22"/>
          <w:lang w:eastAsia="en-US"/>
        </w:rPr>
        <w:footnoteReference w:id="94"/>
      </w:r>
    </w:p>
    <w:p w:rsidR="00C71A2A" w:rsidRDefault="0074777B" w:rsidP="001F39E5">
      <w:pPr>
        <w:pStyle w:val="ListParagraph"/>
        <w:numPr>
          <w:ilvl w:val="0"/>
          <w:numId w:val="58"/>
        </w:numPr>
      </w:pPr>
      <w:r>
        <w:t>diversion of traffic from Sunbury Road to other parts of the network;</w:t>
      </w:r>
    </w:p>
    <w:p w:rsidR="0074777B" w:rsidRDefault="0074777B" w:rsidP="001F39E5">
      <w:pPr>
        <w:pStyle w:val="ListParagraph"/>
        <w:numPr>
          <w:ilvl w:val="0"/>
          <w:numId w:val="58"/>
        </w:numPr>
      </w:pPr>
      <w:r>
        <w:t>increased use of alternative modes of transport</w:t>
      </w:r>
      <w:r w:rsidR="00A6618A">
        <w:t>; and</w:t>
      </w:r>
    </w:p>
    <w:p w:rsidR="00A6618A" w:rsidRPr="00C71A2A" w:rsidRDefault="00A6618A" w:rsidP="001F39E5">
      <w:pPr>
        <w:pStyle w:val="ListParagraph"/>
        <w:numPr>
          <w:ilvl w:val="0"/>
          <w:numId w:val="58"/>
        </w:numPr>
      </w:pPr>
      <w:r>
        <w:t>increased travel outside of identified peak hours.</w:t>
      </w:r>
    </w:p>
    <w:p w:rsidR="00537B54" w:rsidRDefault="00537B54" w:rsidP="008B6F21">
      <w:pPr>
        <w:rPr>
          <w:rFonts w:asciiTheme="minorHAnsi" w:hAnsiTheme="minorHAnsi"/>
          <w:sz w:val="22"/>
          <w:lang w:eastAsia="en-US"/>
        </w:rPr>
      </w:pPr>
      <w:r>
        <w:rPr>
          <w:rFonts w:asciiTheme="minorHAnsi" w:hAnsiTheme="minorHAnsi"/>
          <w:sz w:val="22"/>
          <w:lang w:eastAsia="en-US"/>
        </w:rPr>
        <w:t>Mr Humphreys con</w:t>
      </w:r>
      <w:r w:rsidR="00735B82">
        <w:rPr>
          <w:rFonts w:asciiTheme="minorHAnsi" w:hAnsiTheme="minorHAnsi"/>
          <w:sz w:val="22"/>
          <w:lang w:eastAsia="en-US"/>
        </w:rPr>
        <w:t>siders that introduction of a Jacksons Creek crossing will not in itself resolve capacity issues on Sunbury Road, but will reduce congestion within the Sunbury town centre and provide greater flexibility within the traffic network.  Mr Humphreys accordingly concludes that ‘development of the two PSPs should not be delayed in the absence of the Bulla Bypass’.</w:t>
      </w:r>
      <w:r w:rsidR="0053006D">
        <w:rPr>
          <w:rStyle w:val="FootnoteReference"/>
          <w:rFonts w:asciiTheme="minorHAnsi" w:hAnsiTheme="minorHAnsi"/>
          <w:sz w:val="22"/>
          <w:lang w:eastAsia="en-US"/>
        </w:rPr>
        <w:footnoteReference w:id="95"/>
      </w:r>
    </w:p>
    <w:p w:rsidR="0022771A" w:rsidRDefault="004C5E68" w:rsidP="0022771A">
      <w:pPr>
        <w:rPr>
          <w:rFonts w:asciiTheme="minorHAnsi" w:hAnsiTheme="minorHAnsi"/>
          <w:sz w:val="22"/>
          <w:lang w:eastAsia="en-US"/>
        </w:rPr>
      </w:pPr>
      <w:r>
        <w:rPr>
          <w:rFonts w:asciiTheme="minorHAnsi" w:hAnsiTheme="minorHAnsi"/>
          <w:sz w:val="22"/>
          <w:lang w:eastAsia="en-US"/>
        </w:rPr>
        <w:t>Mr Humphreys has also reviewed the cross-sections proposed for the Jacksons Cre</w:t>
      </w:r>
      <w:r w:rsidR="004E4081">
        <w:rPr>
          <w:rFonts w:asciiTheme="minorHAnsi" w:hAnsiTheme="minorHAnsi"/>
          <w:sz w:val="22"/>
          <w:lang w:eastAsia="en-US"/>
        </w:rPr>
        <w:t xml:space="preserve">ek road crossings and provided his opinion that they will provide appropriate capacity </w:t>
      </w:r>
      <w:r w:rsidR="00AE33BE">
        <w:rPr>
          <w:rFonts w:asciiTheme="minorHAnsi" w:hAnsiTheme="minorHAnsi"/>
          <w:sz w:val="22"/>
          <w:lang w:eastAsia="en-US"/>
        </w:rPr>
        <w:t>to carry the modelled traffic volumes.</w:t>
      </w:r>
      <w:r w:rsidR="00AE33BE">
        <w:rPr>
          <w:rStyle w:val="FootnoteReference"/>
          <w:rFonts w:asciiTheme="minorHAnsi" w:hAnsiTheme="minorHAnsi"/>
          <w:sz w:val="22"/>
          <w:lang w:eastAsia="en-US"/>
        </w:rPr>
        <w:footnoteReference w:id="96"/>
      </w:r>
    </w:p>
    <w:p w:rsidR="00A801DE" w:rsidRPr="00FC38EC" w:rsidRDefault="00A801DE" w:rsidP="0022771A">
      <w:pPr>
        <w:rPr>
          <w:rFonts w:asciiTheme="minorHAnsi" w:hAnsiTheme="minorHAnsi"/>
          <w:sz w:val="22"/>
          <w:lang w:eastAsia="en-US"/>
        </w:rPr>
      </w:pPr>
      <w:r>
        <w:rPr>
          <w:rFonts w:asciiTheme="minorHAnsi" w:hAnsiTheme="minorHAnsi"/>
          <w:sz w:val="22"/>
          <w:lang w:eastAsia="en-US"/>
        </w:rPr>
        <w:t>The VPA adopts Mr Humphrey’s position</w:t>
      </w:r>
      <w:r w:rsidR="006240B5">
        <w:rPr>
          <w:rFonts w:asciiTheme="minorHAnsi" w:hAnsiTheme="minorHAnsi"/>
          <w:sz w:val="22"/>
          <w:lang w:eastAsia="en-US"/>
        </w:rPr>
        <w:t xml:space="preserve">.  </w:t>
      </w:r>
    </w:p>
    <w:p w:rsidR="00F06ABF" w:rsidRPr="00DC114F" w:rsidRDefault="00F06ABF" w:rsidP="00DC114F">
      <w:pPr>
        <w:pStyle w:val="Heading3"/>
        <w:rPr>
          <w:rFonts w:asciiTheme="minorHAnsi" w:hAnsiTheme="minorHAnsi"/>
          <w:b/>
        </w:rPr>
      </w:pPr>
      <w:r w:rsidRPr="00DC114F">
        <w:rPr>
          <w:rFonts w:asciiTheme="minorHAnsi" w:hAnsiTheme="minorHAnsi"/>
          <w:b/>
        </w:rPr>
        <w:t xml:space="preserve">Transport network impacts </w:t>
      </w:r>
    </w:p>
    <w:p w:rsidR="002428D1" w:rsidRDefault="002428D1" w:rsidP="00E41250">
      <w:pPr>
        <w:rPr>
          <w:rFonts w:asciiTheme="minorHAnsi" w:hAnsiTheme="minorHAnsi"/>
          <w:sz w:val="22"/>
          <w:lang w:eastAsia="en-US"/>
        </w:rPr>
      </w:pPr>
      <w:proofErr w:type="gramStart"/>
      <w:r>
        <w:rPr>
          <w:rFonts w:asciiTheme="minorHAnsi" w:hAnsiTheme="minorHAnsi"/>
          <w:sz w:val="22"/>
          <w:lang w:eastAsia="en-US"/>
        </w:rPr>
        <w:t>A number of</w:t>
      </w:r>
      <w:proofErr w:type="gramEnd"/>
      <w:r>
        <w:rPr>
          <w:rFonts w:asciiTheme="minorHAnsi" w:hAnsiTheme="minorHAnsi"/>
          <w:sz w:val="22"/>
          <w:lang w:eastAsia="en-US"/>
        </w:rPr>
        <w:t xml:space="preserve"> submissions from current Sunbury residents </w:t>
      </w:r>
      <w:r w:rsidR="002E0E04">
        <w:rPr>
          <w:rFonts w:asciiTheme="minorHAnsi" w:hAnsiTheme="minorHAnsi"/>
          <w:sz w:val="22"/>
          <w:lang w:eastAsia="en-US"/>
        </w:rPr>
        <w:t>expressed</w:t>
      </w:r>
      <w:r>
        <w:rPr>
          <w:rFonts w:asciiTheme="minorHAnsi" w:hAnsiTheme="minorHAnsi"/>
          <w:sz w:val="22"/>
          <w:lang w:eastAsia="en-US"/>
        </w:rPr>
        <w:t xml:space="preserve"> concern in relation to both existing traffic conditions within Sunbury and </w:t>
      </w:r>
      <w:r w:rsidR="005407F8">
        <w:rPr>
          <w:rFonts w:asciiTheme="minorHAnsi" w:hAnsiTheme="minorHAnsi"/>
          <w:sz w:val="22"/>
          <w:lang w:eastAsia="en-US"/>
        </w:rPr>
        <w:t xml:space="preserve">predicted </w:t>
      </w:r>
      <w:r>
        <w:rPr>
          <w:rFonts w:asciiTheme="minorHAnsi" w:hAnsiTheme="minorHAnsi"/>
          <w:sz w:val="22"/>
          <w:lang w:eastAsia="en-US"/>
        </w:rPr>
        <w:t xml:space="preserve">traffic impacts resulting from development </w:t>
      </w:r>
      <w:r w:rsidR="00C8276F">
        <w:rPr>
          <w:rFonts w:asciiTheme="minorHAnsi" w:hAnsiTheme="minorHAnsi"/>
          <w:sz w:val="22"/>
          <w:lang w:eastAsia="en-US"/>
        </w:rPr>
        <w:t>of</w:t>
      </w:r>
      <w:r>
        <w:rPr>
          <w:rFonts w:asciiTheme="minorHAnsi" w:hAnsiTheme="minorHAnsi"/>
          <w:sz w:val="22"/>
          <w:lang w:eastAsia="en-US"/>
        </w:rPr>
        <w:t xml:space="preserve"> the PSP areas.</w:t>
      </w:r>
    </w:p>
    <w:p w:rsidR="00E41250" w:rsidRDefault="00E41250" w:rsidP="00E41250">
      <w:pPr>
        <w:rPr>
          <w:rFonts w:asciiTheme="minorHAnsi" w:hAnsiTheme="minorHAnsi"/>
          <w:sz w:val="22"/>
          <w:lang w:eastAsia="en-US"/>
        </w:rPr>
      </w:pPr>
      <w:r>
        <w:rPr>
          <w:rFonts w:asciiTheme="minorHAnsi" w:hAnsiTheme="minorHAnsi"/>
          <w:sz w:val="22"/>
          <w:lang w:eastAsia="en-US"/>
        </w:rPr>
        <w:t xml:space="preserve">Mr Humphreys notes that modelling of the existing conditions in the Sunbury road network shows some localised congestion in parts of the town centre during peak periods, particularly at Sunbury Road </w:t>
      </w:r>
      <w:proofErr w:type="gramStart"/>
      <w:r>
        <w:rPr>
          <w:rFonts w:asciiTheme="minorHAnsi" w:hAnsiTheme="minorHAnsi"/>
          <w:sz w:val="22"/>
          <w:lang w:eastAsia="en-US"/>
        </w:rPr>
        <w:t>in the vicinity of</w:t>
      </w:r>
      <w:proofErr w:type="gramEnd"/>
      <w:r>
        <w:rPr>
          <w:rFonts w:asciiTheme="minorHAnsi" w:hAnsiTheme="minorHAnsi"/>
          <w:sz w:val="22"/>
          <w:lang w:eastAsia="en-US"/>
        </w:rPr>
        <w:t xml:space="preserve"> the existing Jacksons Creek crossing.</w:t>
      </w:r>
      <w:r>
        <w:rPr>
          <w:rStyle w:val="FootnoteReference"/>
          <w:rFonts w:asciiTheme="minorHAnsi" w:hAnsiTheme="minorHAnsi"/>
          <w:sz w:val="22"/>
          <w:lang w:eastAsia="en-US"/>
        </w:rPr>
        <w:footnoteReference w:id="97"/>
      </w:r>
      <w:r w:rsidR="00BF10BC">
        <w:rPr>
          <w:rFonts w:asciiTheme="minorHAnsi" w:hAnsiTheme="minorHAnsi"/>
          <w:sz w:val="22"/>
          <w:lang w:eastAsia="en-US"/>
        </w:rPr>
        <w:t xml:space="preserve">  </w:t>
      </w:r>
    </w:p>
    <w:p w:rsidR="00E24D62" w:rsidRDefault="00E24D62" w:rsidP="00E24D62">
      <w:pPr>
        <w:rPr>
          <w:rFonts w:asciiTheme="minorHAnsi" w:hAnsiTheme="minorHAnsi"/>
          <w:sz w:val="22"/>
          <w:lang w:eastAsia="en-US"/>
        </w:rPr>
      </w:pPr>
      <w:r>
        <w:rPr>
          <w:rFonts w:asciiTheme="minorHAnsi" w:hAnsiTheme="minorHAnsi"/>
          <w:sz w:val="22"/>
          <w:lang w:eastAsia="en-US"/>
        </w:rPr>
        <w:t xml:space="preserve">To understand the </w:t>
      </w:r>
      <w:proofErr w:type="gramStart"/>
      <w:r>
        <w:rPr>
          <w:rFonts w:asciiTheme="minorHAnsi" w:hAnsiTheme="minorHAnsi"/>
          <w:sz w:val="22"/>
          <w:lang w:eastAsia="en-US"/>
        </w:rPr>
        <w:t>worst case</w:t>
      </w:r>
      <w:proofErr w:type="gramEnd"/>
      <w:r>
        <w:rPr>
          <w:rFonts w:asciiTheme="minorHAnsi" w:hAnsiTheme="minorHAnsi"/>
          <w:sz w:val="22"/>
          <w:lang w:eastAsia="en-US"/>
        </w:rPr>
        <w:t xml:space="preserve"> scenario, Mr Humphreys has modelled congestion withi</w:t>
      </w:r>
      <w:r w:rsidR="007621D4">
        <w:rPr>
          <w:rFonts w:asciiTheme="minorHAnsi" w:hAnsiTheme="minorHAnsi"/>
          <w:sz w:val="22"/>
          <w:lang w:eastAsia="en-US"/>
        </w:rPr>
        <w:t>n the Sunbury Town centre in 20</w:t>
      </w:r>
      <w:r>
        <w:rPr>
          <w:rFonts w:asciiTheme="minorHAnsi" w:hAnsiTheme="minorHAnsi"/>
          <w:sz w:val="22"/>
          <w:lang w:eastAsia="en-US"/>
        </w:rPr>
        <w:t>46 during peak periods, without the construction of the two proposed Jacksons Creek crossings.</w:t>
      </w:r>
      <w:r>
        <w:rPr>
          <w:rStyle w:val="FootnoteReference"/>
          <w:rFonts w:asciiTheme="minorHAnsi" w:hAnsiTheme="minorHAnsi"/>
          <w:sz w:val="22"/>
          <w:lang w:eastAsia="en-US"/>
        </w:rPr>
        <w:footnoteReference w:id="98"/>
      </w:r>
      <w:r>
        <w:rPr>
          <w:rFonts w:asciiTheme="minorHAnsi" w:hAnsiTheme="minorHAnsi"/>
          <w:sz w:val="22"/>
          <w:lang w:eastAsia="en-US"/>
        </w:rPr>
        <w:t xml:space="preserve">  </w:t>
      </w:r>
      <w:r w:rsidR="007245E8">
        <w:rPr>
          <w:rFonts w:asciiTheme="minorHAnsi" w:hAnsiTheme="minorHAnsi"/>
          <w:sz w:val="22"/>
          <w:lang w:eastAsia="en-US"/>
        </w:rPr>
        <w:t>The results showed the existing network within the Sunbury town centre to maintain good levels of service compared to 2014.</w:t>
      </w:r>
      <w:r w:rsidR="007245E8">
        <w:rPr>
          <w:rStyle w:val="FootnoteReference"/>
          <w:rFonts w:asciiTheme="minorHAnsi" w:hAnsiTheme="minorHAnsi"/>
          <w:sz w:val="22"/>
          <w:lang w:eastAsia="en-US"/>
        </w:rPr>
        <w:footnoteReference w:id="99"/>
      </w:r>
      <w:r w:rsidR="007245E8">
        <w:rPr>
          <w:rFonts w:asciiTheme="minorHAnsi" w:hAnsiTheme="minorHAnsi"/>
          <w:sz w:val="22"/>
          <w:lang w:eastAsia="en-US"/>
        </w:rPr>
        <w:t xml:space="preserve">   </w:t>
      </w:r>
    </w:p>
    <w:p w:rsidR="00600742" w:rsidRDefault="00600742" w:rsidP="00E41250">
      <w:pPr>
        <w:rPr>
          <w:rFonts w:asciiTheme="minorHAnsi" w:hAnsiTheme="minorHAnsi"/>
          <w:sz w:val="22"/>
          <w:lang w:eastAsia="en-US"/>
        </w:rPr>
      </w:pPr>
      <w:r>
        <w:rPr>
          <w:rFonts w:asciiTheme="minorHAnsi" w:hAnsiTheme="minorHAnsi"/>
          <w:sz w:val="22"/>
          <w:lang w:eastAsia="en-US"/>
        </w:rPr>
        <w:lastRenderedPageBreak/>
        <w:t xml:space="preserve">Mr Humphreys has </w:t>
      </w:r>
      <w:r w:rsidR="008C0921">
        <w:rPr>
          <w:rFonts w:asciiTheme="minorHAnsi" w:hAnsiTheme="minorHAnsi"/>
          <w:sz w:val="22"/>
          <w:lang w:eastAsia="en-US"/>
        </w:rPr>
        <w:t>identified</w:t>
      </w:r>
      <w:r>
        <w:rPr>
          <w:rFonts w:asciiTheme="minorHAnsi" w:hAnsiTheme="minorHAnsi"/>
          <w:sz w:val="22"/>
          <w:lang w:eastAsia="en-US"/>
        </w:rPr>
        <w:t xml:space="preserve"> the projected increases o</w:t>
      </w:r>
      <w:r w:rsidR="001F5D77">
        <w:rPr>
          <w:rFonts w:asciiTheme="minorHAnsi" w:hAnsiTheme="minorHAnsi"/>
          <w:sz w:val="22"/>
          <w:lang w:eastAsia="en-US"/>
        </w:rPr>
        <w:t>n existing local roads by 2046 in Tables 9.1 and 9.2 of his report</w:t>
      </w:r>
      <w:r w:rsidR="00126F53">
        <w:rPr>
          <w:rFonts w:asciiTheme="minorHAnsi" w:hAnsiTheme="minorHAnsi"/>
          <w:sz w:val="22"/>
          <w:lang w:eastAsia="en-US"/>
        </w:rPr>
        <w:t>,</w:t>
      </w:r>
      <w:r w:rsidR="00E24D62">
        <w:rPr>
          <w:rStyle w:val="FootnoteReference"/>
          <w:rFonts w:asciiTheme="minorHAnsi" w:hAnsiTheme="minorHAnsi"/>
          <w:sz w:val="22"/>
          <w:lang w:eastAsia="en-US"/>
        </w:rPr>
        <w:footnoteReference w:id="100"/>
      </w:r>
      <w:r w:rsidR="00126F53">
        <w:rPr>
          <w:rFonts w:asciiTheme="minorHAnsi" w:hAnsiTheme="minorHAnsi"/>
          <w:sz w:val="22"/>
          <w:lang w:eastAsia="en-US"/>
        </w:rPr>
        <w:t xml:space="preserve"> which is likely to be of interest to individual submitters.  </w:t>
      </w:r>
      <w:r w:rsidR="00E24D62">
        <w:rPr>
          <w:rFonts w:asciiTheme="minorHAnsi" w:hAnsiTheme="minorHAnsi"/>
          <w:sz w:val="22"/>
          <w:lang w:eastAsia="en-US"/>
        </w:rPr>
        <w:t>Mr Humphreys has also addressed submissions raising matters relevant to his evidence in Table 10.1.</w:t>
      </w:r>
      <w:r w:rsidR="007245E8">
        <w:rPr>
          <w:rStyle w:val="FootnoteReference"/>
          <w:rFonts w:asciiTheme="minorHAnsi" w:hAnsiTheme="minorHAnsi"/>
          <w:sz w:val="22"/>
          <w:lang w:eastAsia="en-US"/>
        </w:rPr>
        <w:footnoteReference w:id="101"/>
      </w:r>
    </w:p>
    <w:p w:rsidR="00E41250" w:rsidRDefault="008C0921" w:rsidP="00F55E6F">
      <w:pPr>
        <w:rPr>
          <w:rFonts w:asciiTheme="minorHAnsi" w:hAnsiTheme="minorHAnsi"/>
          <w:sz w:val="22"/>
          <w:lang w:eastAsia="en-US"/>
        </w:rPr>
      </w:pPr>
      <w:r>
        <w:rPr>
          <w:rFonts w:asciiTheme="minorHAnsi" w:hAnsiTheme="minorHAnsi"/>
          <w:sz w:val="22"/>
          <w:lang w:eastAsia="en-US"/>
        </w:rPr>
        <w:t>Mr Humphreys summarises his opinion in relation to the impact of the PSPs on the transport network as follows:</w:t>
      </w:r>
      <w:r w:rsidR="005764BF">
        <w:rPr>
          <w:rStyle w:val="FootnoteReference"/>
          <w:rFonts w:asciiTheme="minorHAnsi" w:hAnsiTheme="minorHAnsi"/>
          <w:sz w:val="22"/>
          <w:lang w:eastAsia="en-US"/>
        </w:rPr>
        <w:footnoteReference w:id="102"/>
      </w:r>
    </w:p>
    <w:p w:rsidR="008C0921" w:rsidRDefault="008C0921" w:rsidP="008C0921">
      <w:pPr>
        <w:ind w:left="709"/>
        <w:rPr>
          <w:rFonts w:asciiTheme="minorHAnsi" w:hAnsiTheme="minorHAnsi"/>
          <w:i/>
          <w:sz w:val="22"/>
          <w:lang w:eastAsia="en-US"/>
        </w:rPr>
      </w:pPr>
      <w:r>
        <w:rPr>
          <w:rFonts w:asciiTheme="minorHAnsi" w:hAnsiTheme="minorHAnsi"/>
          <w:i/>
          <w:sz w:val="22"/>
          <w:lang w:eastAsia="en-US"/>
        </w:rPr>
        <w:t>Overall, whilst there is anticipated to be some growth on the local road network in Sunbury, I do not consider that the increases are of a substantial nature and people’s ability to travel through Sunbury will not be compromised by the development of the two PSPs.  From a regional perspective, the increased traffic on Lancefield Road, whilst substantial when compared to the existing volumes, will be complimented with the appropriate capacity upgrades and will not inhibit motorists to travel both locally and regionally.</w:t>
      </w:r>
    </w:p>
    <w:p w:rsidR="008C0921" w:rsidRPr="008C0921" w:rsidRDefault="008C0921" w:rsidP="008C0921">
      <w:pPr>
        <w:ind w:left="709"/>
        <w:rPr>
          <w:rFonts w:asciiTheme="minorHAnsi" w:hAnsiTheme="minorHAnsi"/>
          <w:i/>
          <w:sz w:val="22"/>
          <w:lang w:eastAsia="en-US"/>
        </w:rPr>
      </w:pPr>
      <w:r>
        <w:rPr>
          <w:rFonts w:asciiTheme="minorHAnsi" w:hAnsiTheme="minorHAnsi"/>
          <w:i/>
          <w:sz w:val="22"/>
          <w:lang w:eastAsia="en-US"/>
        </w:rPr>
        <w:t>The level of infrastructure that is attributable to the two PSPs will not only service the growth afforded with the PSPs but will also benefit existing Sunbury residents and the future development of Sunbury North and West.</w:t>
      </w:r>
    </w:p>
    <w:p w:rsidR="00956508" w:rsidRPr="008A324C" w:rsidRDefault="00102960" w:rsidP="009006CB">
      <w:pPr>
        <w:pStyle w:val="Heading2"/>
        <w:rPr>
          <w:rFonts w:asciiTheme="minorHAnsi" w:hAnsiTheme="minorHAnsi"/>
          <w:b/>
        </w:rPr>
      </w:pPr>
      <w:bookmarkStart w:id="20" w:name="_Toc491027656"/>
      <w:r w:rsidRPr="008A324C">
        <w:rPr>
          <w:rFonts w:asciiTheme="minorHAnsi" w:hAnsiTheme="minorHAnsi"/>
          <w:b/>
        </w:rPr>
        <w:t>Regionally significant landscape values</w:t>
      </w:r>
      <w:bookmarkEnd w:id="20"/>
    </w:p>
    <w:p w:rsidR="00E6747A" w:rsidRDefault="00F77312" w:rsidP="007E6E96">
      <w:pPr>
        <w:rPr>
          <w:rFonts w:asciiTheme="minorHAnsi" w:hAnsiTheme="minorHAnsi"/>
          <w:i/>
          <w:sz w:val="22"/>
          <w:lang w:eastAsia="en-US"/>
        </w:rPr>
      </w:pPr>
      <w:r>
        <w:rPr>
          <w:rFonts w:asciiTheme="minorHAnsi" w:hAnsiTheme="minorHAnsi"/>
          <w:i/>
          <w:sz w:val="22"/>
          <w:lang w:eastAsia="en-US"/>
        </w:rPr>
        <w:t xml:space="preserve">Sunbury South PSP (C207) – Submissions </w:t>
      </w:r>
      <w:r w:rsidR="00E31475">
        <w:rPr>
          <w:rFonts w:asciiTheme="minorHAnsi" w:hAnsiTheme="minorHAnsi"/>
          <w:i/>
          <w:sz w:val="22"/>
          <w:lang w:eastAsia="en-US"/>
        </w:rPr>
        <w:t>39 (J</w:t>
      </w:r>
      <w:r w:rsidR="004411C9">
        <w:rPr>
          <w:rFonts w:asciiTheme="minorHAnsi" w:hAnsiTheme="minorHAnsi"/>
          <w:i/>
          <w:sz w:val="22"/>
          <w:lang w:eastAsia="en-US"/>
        </w:rPr>
        <w:t xml:space="preserve"> and L</w:t>
      </w:r>
      <w:r w:rsidR="00E31475">
        <w:rPr>
          <w:rFonts w:asciiTheme="minorHAnsi" w:hAnsiTheme="minorHAnsi"/>
          <w:i/>
          <w:sz w:val="22"/>
          <w:lang w:eastAsia="en-US"/>
        </w:rPr>
        <w:t xml:space="preserve"> Ware); </w:t>
      </w:r>
      <w:r w:rsidR="004C150F">
        <w:rPr>
          <w:rFonts w:asciiTheme="minorHAnsi" w:hAnsiTheme="minorHAnsi"/>
          <w:i/>
          <w:sz w:val="22"/>
          <w:lang w:eastAsia="en-US"/>
        </w:rPr>
        <w:t xml:space="preserve">41 (Steven </w:t>
      </w:r>
      <w:proofErr w:type="spellStart"/>
      <w:r w:rsidR="004C150F">
        <w:rPr>
          <w:rFonts w:asciiTheme="minorHAnsi" w:hAnsiTheme="minorHAnsi"/>
          <w:i/>
          <w:sz w:val="22"/>
          <w:lang w:eastAsia="en-US"/>
        </w:rPr>
        <w:t>Galdes</w:t>
      </w:r>
      <w:proofErr w:type="spellEnd"/>
      <w:r w:rsidR="004C150F">
        <w:rPr>
          <w:rFonts w:asciiTheme="minorHAnsi" w:hAnsiTheme="minorHAnsi"/>
          <w:i/>
          <w:sz w:val="22"/>
          <w:lang w:eastAsia="en-US"/>
        </w:rPr>
        <w:t xml:space="preserve">); </w:t>
      </w:r>
      <w:r w:rsidR="00727DCC">
        <w:rPr>
          <w:rFonts w:asciiTheme="minorHAnsi" w:hAnsiTheme="minorHAnsi"/>
          <w:i/>
          <w:sz w:val="22"/>
          <w:lang w:eastAsia="en-US"/>
        </w:rPr>
        <w:t xml:space="preserve">44 (Asia-Pacific Property Pty Ltd); </w:t>
      </w:r>
      <w:r w:rsidR="00F678A9">
        <w:rPr>
          <w:rFonts w:asciiTheme="minorHAnsi" w:hAnsiTheme="minorHAnsi"/>
          <w:i/>
          <w:sz w:val="22"/>
          <w:lang w:eastAsia="en-US"/>
        </w:rPr>
        <w:t xml:space="preserve">53 (owner of 280 Lancefield Road); </w:t>
      </w:r>
      <w:r w:rsidR="009D1B52">
        <w:rPr>
          <w:rFonts w:asciiTheme="minorHAnsi" w:hAnsiTheme="minorHAnsi"/>
          <w:i/>
          <w:sz w:val="22"/>
          <w:lang w:eastAsia="en-US"/>
        </w:rPr>
        <w:t xml:space="preserve">56 (SB Capital); </w:t>
      </w:r>
      <w:r>
        <w:rPr>
          <w:rFonts w:asciiTheme="minorHAnsi" w:hAnsiTheme="minorHAnsi"/>
          <w:i/>
          <w:sz w:val="22"/>
          <w:lang w:eastAsia="en-US"/>
        </w:rPr>
        <w:t>57 (Hume City Council);</w:t>
      </w:r>
      <w:r w:rsidR="00A20CF6">
        <w:rPr>
          <w:rFonts w:asciiTheme="minorHAnsi" w:hAnsiTheme="minorHAnsi"/>
          <w:i/>
          <w:sz w:val="22"/>
          <w:lang w:eastAsia="en-US"/>
        </w:rPr>
        <w:t xml:space="preserve"> 61 (Hi-Quality Quarry Products Pty Ltd</w:t>
      </w:r>
      <w:r w:rsidR="00693274">
        <w:rPr>
          <w:rFonts w:asciiTheme="minorHAnsi" w:hAnsiTheme="minorHAnsi"/>
          <w:i/>
          <w:sz w:val="22"/>
          <w:lang w:eastAsia="en-US"/>
        </w:rPr>
        <w:t xml:space="preserve"> and </w:t>
      </w:r>
      <w:proofErr w:type="spellStart"/>
      <w:r w:rsidR="00693274">
        <w:rPr>
          <w:rFonts w:asciiTheme="minorHAnsi" w:hAnsiTheme="minorHAnsi"/>
          <w:i/>
          <w:sz w:val="22"/>
          <w:lang w:eastAsia="en-US"/>
        </w:rPr>
        <w:t>Trantaret</w:t>
      </w:r>
      <w:proofErr w:type="spellEnd"/>
      <w:r w:rsidR="00693274">
        <w:rPr>
          <w:rFonts w:asciiTheme="minorHAnsi" w:hAnsiTheme="minorHAnsi"/>
          <w:i/>
          <w:sz w:val="22"/>
          <w:lang w:eastAsia="en-US"/>
        </w:rPr>
        <w:t xml:space="preserve"> Pty Ltd</w:t>
      </w:r>
      <w:r w:rsidR="00A20CF6">
        <w:rPr>
          <w:rFonts w:asciiTheme="minorHAnsi" w:hAnsiTheme="minorHAnsi"/>
          <w:i/>
          <w:sz w:val="22"/>
          <w:lang w:eastAsia="en-US"/>
        </w:rPr>
        <w:t>);</w:t>
      </w:r>
      <w:r>
        <w:rPr>
          <w:rFonts w:asciiTheme="minorHAnsi" w:hAnsiTheme="minorHAnsi"/>
          <w:i/>
          <w:sz w:val="22"/>
          <w:lang w:eastAsia="en-US"/>
        </w:rPr>
        <w:t xml:space="preserve"> </w:t>
      </w:r>
      <w:r w:rsidR="0076260D">
        <w:rPr>
          <w:rFonts w:asciiTheme="minorHAnsi" w:hAnsiTheme="minorHAnsi"/>
          <w:i/>
          <w:sz w:val="22"/>
          <w:lang w:eastAsia="en-US"/>
        </w:rPr>
        <w:t>64 (Fox Hollow Drive vendors)</w:t>
      </w:r>
      <w:r w:rsidR="00540583">
        <w:rPr>
          <w:rFonts w:asciiTheme="minorHAnsi" w:hAnsiTheme="minorHAnsi"/>
          <w:i/>
          <w:sz w:val="22"/>
          <w:lang w:eastAsia="en-US"/>
        </w:rPr>
        <w:t xml:space="preserve">; </w:t>
      </w:r>
      <w:r w:rsidR="001F7BF5">
        <w:rPr>
          <w:rFonts w:asciiTheme="minorHAnsi" w:hAnsiTheme="minorHAnsi"/>
          <w:i/>
          <w:sz w:val="22"/>
          <w:lang w:eastAsia="en-US"/>
        </w:rPr>
        <w:t>75 (Capitol Property Group)</w:t>
      </w:r>
      <w:r w:rsidR="00BC3DF7">
        <w:rPr>
          <w:rFonts w:asciiTheme="minorHAnsi" w:hAnsiTheme="minorHAnsi"/>
          <w:i/>
          <w:sz w:val="22"/>
          <w:lang w:eastAsia="en-US"/>
        </w:rPr>
        <w:t xml:space="preserve">; 85 (I, D, N and L </w:t>
      </w:r>
      <w:proofErr w:type="spellStart"/>
      <w:r w:rsidR="00BC3DF7">
        <w:rPr>
          <w:rFonts w:asciiTheme="minorHAnsi" w:hAnsiTheme="minorHAnsi"/>
          <w:i/>
          <w:sz w:val="22"/>
          <w:lang w:eastAsia="en-US"/>
        </w:rPr>
        <w:t>Kolceg</w:t>
      </w:r>
      <w:proofErr w:type="spellEnd"/>
      <w:r w:rsidR="00BC3DF7">
        <w:rPr>
          <w:rFonts w:asciiTheme="minorHAnsi" w:hAnsiTheme="minorHAnsi"/>
          <w:i/>
          <w:sz w:val="22"/>
          <w:lang w:eastAsia="en-US"/>
        </w:rPr>
        <w:t>)</w:t>
      </w:r>
    </w:p>
    <w:p w:rsidR="00F620D4" w:rsidRDefault="00F620D4" w:rsidP="00F620D4">
      <w:pPr>
        <w:rPr>
          <w:rFonts w:asciiTheme="minorHAnsi" w:hAnsiTheme="minorHAnsi"/>
          <w:i/>
          <w:sz w:val="22"/>
          <w:lang w:eastAsia="en-US"/>
        </w:rPr>
      </w:pPr>
      <w:r>
        <w:rPr>
          <w:rFonts w:asciiTheme="minorHAnsi" w:hAnsiTheme="minorHAnsi"/>
          <w:i/>
          <w:sz w:val="22"/>
          <w:lang w:eastAsia="en-US"/>
        </w:rPr>
        <w:t>Lancefield Road PSP (C208) – Submission</w:t>
      </w:r>
      <w:r w:rsidR="00DC3C50">
        <w:rPr>
          <w:rFonts w:asciiTheme="minorHAnsi" w:hAnsiTheme="minorHAnsi"/>
          <w:i/>
          <w:sz w:val="22"/>
          <w:lang w:eastAsia="en-US"/>
        </w:rPr>
        <w:t>s</w:t>
      </w:r>
      <w:r>
        <w:rPr>
          <w:rFonts w:asciiTheme="minorHAnsi" w:hAnsiTheme="minorHAnsi"/>
          <w:i/>
          <w:sz w:val="22"/>
          <w:lang w:eastAsia="en-US"/>
        </w:rPr>
        <w:t xml:space="preserve"> </w:t>
      </w:r>
      <w:r w:rsidR="00CE5716">
        <w:rPr>
          <w:rFonts w:asciiTheme="minorHAnsi" w:hAnsiTheme="minorHAnsi"/>
          <w:i/>
          <w:sz w:val="22"/>
          <w:lang w:eastAsia="en-US"/>
        </w:rPr>
        <w:t xml:space="preserve">53 (owner of 280 Lancefield Road); </w:t>
      </w:r>
      <w:r>
        <w:rPr>
          <w:rFonts w:asciiTheme="minorHAnsi" w:hAnsiTheme="minorHAnsi"/>
          <w:i/>
          <w:sz w:val="22"/>
          <w:lang w:eastAsia="en-US"/>
        </w:rPr>
        <w:t>54 (Hume City Council)</w:t>
      </w:r>
      <w:r w:rsidR="00DC3C50">
        <w:rPr>
          <w:rFonts w:asciiTheme="minorHAnsi" w:hAnsiTheme="minorHAnsi"/>
          <w:i/>
          <w:sz w:val="22"/>
          <w:lang w:eastAsia="en-US"/>
        </w:rPr>
        <w:t>; 60 (</w:t>
      </w:r>
      <w:r w:rsidR="00F530CC">
        <w:rPr>
          <w:rFonts w:asciiTheme="minorHAnsi" w:hAnsiTheme="minorHAnsi"/>
          <w:i/>
          <w:sz w:val="22"/>
          <w:lang w:eastAsia="en-US"/>
        </w:rPr>
        <w:t>p</w:t>
      </w:r>
      <w:r w:rsidR="00DC3C50">
        <w:rPr>
          <w:rFonts w:asciiTheme="minorHAnsi" w:hAnsiTheme="minorHAnsi"/>
          <w:i/>
          <w:sz w:val="22"/>
          <w:lang w:eastAsia="en-US"/>
        </w:rPr>
        <w:t>otential developers of 280 Lancefield Road)</w:t>
      </w:r>
    </w:p>
    <w:p w:rsidR="001F7BF5" w:rsidRDefault="0041494D" w:rsidP="005C5A48">
      <w:pPr>
        <w:rPr>
          <w:rFonts w:asciiTheme="minorHAnsi" w:hAnsiTheme="minorHAnsi"/>
          <w:sz w:val="22"/>
          <w:lang w:eastAsia="en-US"/>
        </w:rPr>
      </w:pPr>
      <w:r>
        <w:rPr>
          <w:rFonts w:asciiTheme="minorHAnsi" w:hAnsiTheme="minorHAnsi"/>
          <w:sz w:val="22"/>
          <w:lang w:eastAsia="en-US"/>
        </w:rPr>
        <w:t xml:space="preserve">The </w:t>
      </w:r>
      <w:r w:rsidR="00CD39D9">
        <w:rPr>
          <w:rFonts w:asciiTheme="minorHAnsi" w:hAnsiTheme="minorHAnsi"/>
          <w:sz w:val="22"/>
          <w:lang w:eastAsia="en-US"/>
        </w:rPr>
        <w:t>exhibited PSPs include relatively extensive areas identified as ‘regionally significant landscape values’ on Plan 3 (Future Urban Structure).</w:t>
      </w:r>
      <w:r w:rsidR="00FF0775">
        <w:rPr>
          <w:rFonts w:asciiTheme="minorHAnsi" w:hAnsiTheme="minorHAnsi"/>
          <w:sz w:val="22"/>
          <w:lang w:eastAsia="en-US"/>
        </w:rPr>
        <w:t xml:space="preserve">  These broadly follow the key waterway corridors and sit outside the developable area of the precincts.</w:t>
      </w:r>
    </w:p>
    <w:p w:rsidR="00B264AF" w:rsidRDefault="00BE3169" w:rsidP="005C5A48">
      <w:pPr>
        <w:rPr>
          <w:rFonts w:asciiTheme="minorHAnsi" w:hAnsiTheme="minorHAnsi"/>
          <w:sz w:val="22"/>
          <w:lang w:eastAsia="en-US"/>
        </w:rPr>
      </w:pPr>
      <w:r>
        <w:rPr>
          <w:rFonts w:asciiTheme="minorHAnsi" w:hAnsiTheme="minorHAnsi"/>
          <w:sz w:val="22"/>
          <w:lang w:eastAsia="en-US"/>
        </w:rPr>
        <w:t xml:space="preserve">For exhibition, those areas </w:t>
      </w:r>
      <w:r w:rsidR="004434E3">
        <w:rPr>
          <w:rFonts w:asciiTheme="minorHAnsi" w:hAnsiTheme="minorHAnsi"/>
          <w:sz w:val="22"/>
          <w:lang w:eastAsia="en-US"/>
        </w:rPr>
        <w:t>comprised:</w:t>
      </w:r>
    </w:p>
    <w:p w:rsidR="004434E3" w:rsidRDefault="004434E3" w:rsidP="001F39E5">
      <w:pPr>
        <w:pStyle w:val="ListParagraph"/>
        <w:numPr>
          <w:ilvl w:val="0"/>
          <w:numId w:val="59"/>
        </w:numPr>
      </w:pPr>
      <w:r>
        <w:t xml:space="preserve">land considered to have </w:t>
      </w:r>
      <w:proofErr w:type="gramStart"/>
      <w:r>
        <w:t>particular regional</w:t>
      </w:r>
      <w:proofErr w:type="gramEnd"/>
      <w:r>
        <w:t xml:space="preserve"> landscape significance, including valleys, escarpments and hilltops</w:t>
      </w:r>
      <w:r w:rsidR="00B9277F">
        <w:t xml:space="preserve"> (as the name suggests)</w:t>
      </w:r>
      <w:r>
        <w:t>; and</w:t>
      </w:r>
    </w:p>
    <w:p w:rsidR="004434E3" w:rsidRPr="004434E3" w:rsidRDefault="004434E3" w:rsidP="001F39E5">
      <w:pPr>
        <w:pStyle w:val="ListParagraph"/>
        <w:numPr>
          <w:ilvl w:val="0"/>
          <w:numId w:val="59"/>
        </w:numPr>
      </w:pPr>
      <w:r>
        <w:lastRenderedPageBreak/>
        <w:t>land that would be challenging to develop having regard to a</w:t>
      </w:r>
      <w:r w:rsidR="00625EBC">
        <w:t>ppropriate drainage of the land</w:t>
      </w:r>
      <w:r w:rsidR="00AC046E">
        <w:t>,</w:t>
      </w:r>
      <w:r w:rsidR="00625EBC">
        <w:t xml:space="preserve"> and for which drainage works have not been included in the draft PSPs.</w:t>
      </w:r>
    </w:p>
    <w:p w:rsidR="00C1010A" w:rsidRDefault="00DB2C61" w:rsidP="00A90B30">
      <w:pPr>
        <w:rPr>
          <w:rFonts w:asciiTheme="minorHAnsi" w:hAnsiTheme="minorHAnsi"/>
          <w:sz w:val="22"/>
          <w:lang w:eastAsia="en-US"/>
        </w:rPr>
      </w:pPr>
      <w:r>
        <w:rPr>
          <w:rFonts w:asciiTheme="minorHAnsi" w:hAnsiTheme="minorHAnsi"/>
          <w:sz w:val="22"/>
          <w:lang w:eastAsia="en-US"/>
        </w:rPr>
        <w:t xml:space="preserve">In respect of the first category of land, </w:t>
      </w:r>
      <w:r w:rsidR="003D4A99">
        <w:rPr>
          <w:rFonts w:asciiTheme="minorHAnsi" w:hAnsiTheme="minorHAnsi"/>
          <w:sz w:val="22"/>
          <w:lang w:eastAsia="en-US"/>
        </w:rPr>
        <w:t>to identify these areas the VPA:</w:t>
      </w:r>
    </w:p>
    <w:p w:rsidR="003D4A99" w:rsidRDefault="00C1010A" w:rsidP="00C1010A">
      <w:pPr>
        <w:pStyle w:val="ListParagraph"/>
        <w:numPr>
          <w:ilvl w:val="0"/>
          <w:numId w:val="60"/>
        </w:numPr>
      </w:pPr>
      <w:r>
        <w:t>commenced with the land designated as ‘landscape values’ in the Growth Corridor Plan;</w:t>
      </w:r>
    </w:p>
    <w:p w:rsidR="00824FCA" w:rsidRDefault="00C1010A" w:rsidP="001E7AA7">
      <w:pPr>
        <w:pStyle w:val="ListParagraph"/>
        <w:numPr>
          <w:ilvl w:val="0"/>
          <w:numId w:val="60"/>
        </w:numPr>
      </w:pPr>
      <w:r>
        <w:t>used</w:t>
      </w:r>
      <w:r w:rsidR="00824FCA">
        <w:t xml:space="preserve"> contour plans to obtain ‘break of slope’ information</w:t>
      </w:r>
      <w:r>
        <w:t>; and</w:t>
      </w:r>
      <w:r w:rsidR="00824FCA">
        <w:t xml:space="preserve"> </w:t>
      </w:r>
    </w:p>
    <w:p w:rsidR="00824FCA" w:rsidRDefault="00C1010A" w:rsidP="001E7AA7">
      <w:pPr>
        <w:pStyle w:val="ListParagraph"/>
        <w:numPr>
          <w:ilvl w:val="0"/>
          <w:numId w:val="60"/>
        </w:numPr>
      </w:pPr>
      <w:r>
        <w:t>u</w:t>
      </w:r>
      <w:r w:rsidR="00824FCA">
        <w:t>ndertook a refinement process with Melbourne Water</w:t>
      </w:r>
      <w:r w:rsidR="00D23B2F">
        <w:t xml:space="preserve"> on a reach</w:t>
      </w:r>
      <w:r>
        <w:t>-</w:t>
      </w:r>
      <w:r w:rsidR="00D23B2F">
        <w:t>by</w:t>
      </w:r>
      <w:r>
        <w:t>-</w:t>
      </w:r>
      <w:r w:rsidR="00D23B2F">
        <w:t>reach basis to finalise the plans</w:t>
      </w:r>
      <w:r>
        <w:t>,</w:t>
      </w:r>
      <w:r w:rsidR="00D23B2F">
        <w:t xml:space="preserve"> </w:t>
      </w:r>
      <w:r>
        <w:t>through observations of</w:t>
      </w:r>
      <w:r w:rsidR="00D23B2F">
        <w:t xml:space="preserve"> 3D modelling. </w:t>
      </w:r>
    </w:p>
    <w:p w:rsidR="003D4A99" w:rsidRPr="001E7AA7" w:rsidRDefault="00D23B2F" w:rsidP="00D23B2F">
      <w:pPr>
        <w:rPr>
          <w:rFonts w:asciiTheme="minorHAnsi" w:hAnsiTheme="minorHAnsi"/>
          <w:sz w:val="22"/>
          <w:lang w:eastAsia="en-US"/>
        </w:rPr>
      </w:pPr>
      <w:r w:rsidRPr="001E7AA7">
        <w:rPr>
          <w:rFonts w:asciiTheme="minorHAnsi" w:hAnsiTheme="minorHAnsi"/>
          <w:sz w:val="22"/>
          <w:lang w:eastAsia="en-US"/>
        </w:rPr>
        <w:t xml:space="preserve">This process identified the </w:t>
      </w:r>
      <w:r w:rsidR="00000EC5">
        <w:rPr>
          <w:rFonts w:asciiTheme="minorHAnsi" w:hAnsiTheme="minorHAnsi"/>
          <w:sz w:val="22"/>
          <w:lang w:eastAsia="en-US"/>
        </w:rPr>
        <w:t xml:space="preserve">most important elements of the landscape.  </w:t>
      </w:r>
    </w:p>
    <w:p w:rsidR="00FF0775" w:rsidRDefault="009C3E09" w:rsidP="005C5A48">
      <w:pPr>
        <w:rPr>
          <w:rFonts w:asciiTheme="minorHAnsi" w:hAnsiTheme="minorHAnsi"/>
          <w:sz w:val="22"/>
          <w:lang w:eastAsia="en-US"/>
        </w:rPr>
      </w:pPr>
      <w:r>
        <w:rPr>
          <w:rFonts w:asciiTheme="minorHAnsi" w:hAnsiTheme="minorHAnsi"/>
          <w:sz w:val="22"/>
          <w:lang w:eastAsia="en-US"/>
        </w:rPr>
        <w:t xml:space="preserve">The VPA considers </w:t>
      </w:r>
      <w:r w:rsidR="000B173E">
        <w:rPr>
          <w:rFonts w:asciiTheme="minorHAnsi" w:hAnsiTheme="minorHAnsi"/>
          <w:sz w:val="22"/>
          <w:lang w:eastAsia="en-US"/>
        </w:rPr>
        <w:t xml:space="preserve">the </w:t>
      </w:r>
      <w:r w:rsidR="00377AAF">
        <w:rPr>
          <w:rFonts w:asciiTheme="minorHAnsi" w:hAnsiTheme="minorHAnsi"/>
          <w:sz w:val="22"/>
          <w:lang w:eastAsia="en-US"/>
        </w:rPr>
        <w:t>label</w:t>
      </w:r>
      <w:r w:rsidR="000B173E">
        <w:rPr>
          <w:rFonts w:asciiTheme="minorHAnsi" w:hAnsiTheme="minorHAnsi"/>
          <w:sz w:val="22"/>
          <w:lang w:eastAsia="en-US"/>
        </w:rPr>
        <w:t xml:space="preserve"> ‘regionally significant landscape values’ was not likely to have clearly </w:t>
      </w:r>
      <w:r>
        <w:rPr>
          <w:rFonts w:asciiTheme="minorHAnsi" w:hAnsiTheme="minorHAnsi"/>
          <w:sz w:val="22"/>
          <w:lang w:eastAsia="en-US"/>
        </w:rPr>
        <w:t xml:space="preserve">communicated the second category of land.  Indeed, </w:t>
      </w:r>
      <w:proofErr w:type="gramStart"/>
      <w:r>
        <w:rPr>
          <w:rFonts w:asciiTheme="minorHAnsi" w:hAnsiTheme="minorHAnsi"/>
          <w:sz w:val="22"/>
          <w:lang w:eastAsia="en-US"/>
        </w:rPr>
        <w:t>a</w:t>
      </w:r>
      <w:r w:rsidR="00FF0775">
        <w:rPr>
          <w:rFonts w:asciiTheme="minorHAnsi" w:hAnsiTheme="minorHAnsi"/>
          <w:sz w:val="22"/>
          <w:lang w:eastAsia="en-US"/>
        </w:rPr>
        <w:t xml:space="preserve"> number of</w:t>
      </w:r>
      <w:proofErr w:type="gramEnd"/>
      <w:r w:rsidR="00FF0775">
        <w:rPr>
          <w:rFonts w:asciiTheme="minorHAnsi" w:hAnsiTheme="minorHAnsi"/>
          <w:sz w:val="22"/>
          <w:lang w:eastAsia="en-US"/>
        </w:rPr>
        <w:t xml:space="preserve"> submissions </w:t>
      </w:r>
      <w:r w:rsidR="005B69FF">
        <w:rPr>
          <w:rFonts w:asciiTheme="minorHAnsi" w:hAnsiTheme="minorHAnsi"/>
          <w:sz w:val="22"/>
          <w:lang w:eastAsia="en-US"/>
        </w:rPr>
        <w:t>suggested that the areas had been too broadly defined and included</w:t>
      </w:r>
      <w:r w:rsidR="00FD5413">
        <w:rPr>
          <w:rFonts w:asciiTheme="minorHAnsi" w:hAnsiTheme="minorHAnsi"/>
          <w:sz w:val="22"/>
          <w:lang w:eastAsia="en-US"/>
        </w:rPr>
        <w:t xml:space="preserve"> areas without any clearly evident landscape values requiring protection.</w:t>
      </w:r>
      <w:r w:rsidR="00AC046E">
        <w:rPr>
          <w:rFonts w:asciiTheme="minorHAnsi" w:hAnsiTheme="minorHAnsi"/>
          <w:sz w:val="22"/>
          <w:lang w:eastAsia="en-US"/>
        </w:rPr>
        <w:t xml:space="preserve">  </w:t>
      </w:r>
    </w:p>
    <w:p w:rsidR="00377AAF" w:rsidRDefault="00377AAF" w:rsidP="005C5A48">
      <w:pPr>
        <w:rPr>
          <w:rFonts w:asciiTheme="minorHAnsi" w:hAnsiTheme="minorHAnsi"/>
          <w:sz w:val="22"/>
          <w:lang w:eastAsia="en-US"/>
        </w:rPr>
      </w:pPr>
      <w:r>
        <w:rPr>
          <w:rFonts w:asciiTheme="minorHAnsi" w:hAnsiTheme="minorHAnsi"/>
          <w:sz w:val="22"/>
          <w:lang w:eastAsia="en-US"/>
        </w:rPr>
        <w:t>The VPA and Melbourne Water have subsequently reviewed the areas described as ‘regionally significant landscape values’</w:t>
      </w:r>
      <w:r w:rsidR="0050716B">
        <w:rPr>
          <w:rFonts w:asciiTheme="minorHAnsi" w:hAnsiTheme="minorHAnsi"/>
          <w:sz w:val="22"/>
          <w:lang w:eastAsia="en-US"/>
        </w:rPr>
        <w:t xml:space="preserve"> to separate </w:t>
      </w:r>
      <w:r w:rsidR="00F91098">
        <w:rPr>
          <w:rFonts w:asciiTheme="minorHAnsi" w:hAnsiTheme="minorHAnsi"/>
          <w:sz w:val="22"/>
          <w:lang w:eastAsia="en-US"/>
        </w:rPr>
        <w:t xml:space="preserve">the two categories and more accurately describe the second as ‘land not serviced by </w:t>
      </w:r>
      <w:proofErr w:type="spellStart"/>
      <w:r w:rsidR="00F91098">
        <w:rPr>
          <w:rFonts w:asciiTheme="minorHAnsi" w:hAnsiTheme="minorHAnsi"/>
          <w:sz w:val="22"/>
          <w:lang w:eastAsia="en-US"/>
        </w:rPr>
        <w:t>dss</w:t>
      </w:r>
      <w:proofErr w:type="spellEnd"/>
      <w:r w:rsidR="00F91098">
        <w:rPr>
          <w:rFonts w:asciiTheme="minorHAnsi" w:hAnsiTheme="minorHAnsi"/>
          <w:sz w:val="22"/>
          <w:lang w:eastAsia="en-US"/>
        </w:rPr>
        <w:t xml:space="preserve"> – potentially developable land’.</w:t>
      </w:r>
      <w:r w:rsidR="00B57120">
        <w:rPr>
          <w:rFonts w:asciiTheme="minorHAnsi" w:hAnsiTheme="minorHAnsi"/>
          <w:sz w:val="22"/>
          <w:lang w:eastAsia="en-US"/>
        </w:rPr>
        <w:t xml:space="preserve"> </w:t>
      </w:r>
    </w:p>
    <w:p w:rsidR="00C6183A" w:rsidRDefault="00351802" w:rsidP="005C5A48">
      <w:pPr>
        <w:rPr>
          <w:rFonts w:asciiTheme="minorHAnsi" w:hAnsiTheme="minorHAnsi"/>
          <w:sz w:val="22"/>
          <w:lang w:eastAsia="en-US"/>
        </w:rPr>
      </w:pPr>
      <w:r>
        <w:rPr>
          <w:rFonts w:asciiTheme="minorHAnsi" w:hAnsiTheme="minorHAnsi"/>
          <w:sz w:val="22"/>
          <w:lang w:eastAsia="en-US"/>
        </w:rPr>
        <w:t>The VPA and Melbourne Water have also developed a suit</w:t>
      </w:r>
      <w:r w:rsidR="00D139E7">
        <w:rPr>
          <w:rFonts w:asciiTheme="minorHAnsi" w:hAnsiTheme="minorHAnsi"/>
          <w:sz w:val="22"/>
          <w:lang w:eastAsia="en-US"/>
        </w:rPr>
        <w:t>e</w:t>
      </w:r>
      <w:r>
        <w:rPr>
          <w:rFonts w:asciiTheme="minorHAnsi" w:hAnsiTheme="minorHAnsi"/>
          <w:sz w:val="22"/>
          <w:lang w:eastAsia="en-US"/>
        </w:rPr>
        <w:t xml:space="preserve"> of controls to provide for the potential development of this second category of land.  This will broadly involve</w:t>
      </w:r>
      <w:r w:rsidR="00C6183A">
        <w:rPr>
          <w:rFonts w:asciiTheme="minorHAnsi" w:hAnsiTheme="minorHAnsi"/>
          <w:sz w:val="22"/>
          <w:lang w:eastAsia="en-US"/>
        </w:rPr>
        <w:t xml:space="preserve"> applicants developing a locally responsive drainage solution consistent with both the new controls and existing relevant objectives, requirements and guidelines in the PSPs, and fully funding any drainage works</w:t>
      </w:r>
      <w:r w:rsidR="001F68B9">
        <w:rPr>
          <w:rFonts w:asciiTheme="minorHAnsi" w:hAnsiTheme="minorHAnsi"/>
          <w:sz w:val="22"/>
          <w:lang w:eastAsia="en-US"/>
        </w:rPr>
        <w:t>.</w:t>
      </w:r>
    </w:p>
    <w:p w:rsidR="00970D6A" w:rsidRDefault="00970D6A" w:rsidP="005C5A48">
      <w:pPr>
        <w:rPr>
          <w:rFonts w:asciiTheme="minorHAnsi" w:hAnsiTheme="minorHAnsi"/>
          <w:sz w:val="22"/>
          <w:lang w:eastAsia="en-US"/>
        </w:rPr>
      </w:pPr>
      <w:r>
        <w:rPr>
          <w:rFonts w:asciiTheme="minorHAnsi" w:hAnsiTheme="minorHAnsi"/>
          <w:sz w:val="22"/>
          <w:lang w:eastAsia="en-US"/>
        </w:rPr>
        <w:t>The VPA informed the parties</w:t>
      </w:r>
      <w:r w:rsidR="00C047C4">
        <w:rPr>
          <w:rFonts w:asciiTheme="minorHAnsi" w:hAnsiTheme="minorHAnsi"/>
          <w:sz w:val="22"/>
          <w:lang w:eastAsia="en-US"/>
        </w:rPr>
        <w:t xml:space="preserve"> of this review on 31 July 2017 and circulated:</w:t>
      </w:r>
    </w:p>
    <w:p w:rsidR="00C047C4" w:rsidRDefault="00F470A8" w:rsidP="001F39E5">
      <w:pPr>
        <w:pStyle w:val="ListParagraph"/>
        <w:numPr>
          <w:ilvl w:val="0"/>
          <w:numId w:val="60"/>
        </w:numPr>
      </w:pPr>
      <w:r>
        <w:t>a revised plan for each PSP titled ‘Potentially Developable Land – Land not serviced by Development Services Scheme’ showing:</w:t>
      </w:r>
    </w:p>
    <w:p w:rsidR="00F470A8" w:rsidRDefault="00F470A8" w:rsidP="00F470A8">
      <w:pPr>
        <w:pStyle w:val="ListParagraph"/>
        <w:numPr>
          <w:ilvl w:val="1"/>
          <w:numId w:val="30"/>
        </w:numPr>
      </w:pPr>
      <w:r>
        <w:t>‘stormwater quality treatment assets’;</w:t>
      </w:r>
    </w:p>
    <w:p w:rsidR="00F470A8" w:rsidRDefault="00F470A8" w:rsidP="00F470A8">
      <w:pPr>
        <w:pStyle w:val="ListParagraph"/>
        <w:numPr>
          <w:ilvl w:val="1"/>
          <w:numId w:val="30"/>
        </w:numPr>
      </w:pPr>
      <w:r>
        <w:t>‘waterway corridors’;</w:t>
      </w:r>
    </w:p>
    <w:p w:rsidR="00F470A8" w:rsidRDefault="00F470A8" w:rsidP="00F470A8">
      <w:pPr>
        <w:pStyle w:val="ListParagraph"/>
        <w:numPr>
          <w:ilvl w:val="1"/>
          <w:numId w:val="30"/>
        </w:numPr>
      </w:pPr>
      <w:r>
        <w:t xml:space="preserve">‘land not serviced by </w:t>
      </w:r>
      <w:proofErr w:type="spellStart"/>
      <w:r>
        <w:t>dss</w:t>
      </w:r>
      <w:proofErr w:type="spellEnd"/>
      <w:r>
        <w:t xml:space="preserve"> – undevelopable’; </w:t>
      </w:r>
    </w:p>
    <w:p w:rsidR="00F470A8" w:rsidRDefault="00F470A8" w:rsidP="00F470A8">
      <w:pPr>
        <w:pStyle w:val="ListParagraph"/>
        <w:numPr>
          <w:ilvl w:val="1"/>
          <w:numId w:val="30"/>
        </w:numPr>
      </w:pPr>
      <w:r>
        <w:t>‘break of slope’; and</w:t>
      </w:r>
    </w:p>
    <w:p w:rsidR="00F470A8" w:rsidRDefault="00F470A8" w:rsidP="00F470A8">
      <w:pPr>
        <w:pStyle w:val="ListParagraph"/>
        <w:numPr>
          <w:ilvl w:val="1"/>
          <w:numId w:val="30"/>
        </w:numPr>
      </w:pPr>
      <w:r>
        <w:t xml:space="preserve">‘land not serviced by </w:t>
      </w:r>
      <w:proofErr w:type="spellStart"/>
      <w:r>
        <w:t>dss</w:t>
      </w:r>
      <w:proofErr w:type="spellEnd"/>
      <w:r>
        <w:t xml:space="preserve"> – potentially developable land’</w:t>
      </w:r>
      <w:r w:rsidR="00195A9E">
        <w:t>; and</w:t>
      </w:r>
    </w:p>
    <w:p w:rsidR="00983B2E" w:rsidRDefault="0099227C" w:rsidP="001F39E5">
      <w:pPr>
        <w:pStyle w:val="ListParagraph"/>
        <w:numPr>
          <w:ilvl w:val="0"/>
          <w:numId w:val="60"/>
        </w:numPr>
      </w:pPr>
      <w:r>
        <w:t xml:space="preserve">planning controls </w:t>
      </w:r>
      <w:r w:rsidR="002E7F2A">
        <w:t>proposed for inclusion in the Amendments to apply to this final category.</w:t>
      </w:r>
    </w:p>
    <w:p w:rsidR="00812096" w:rsidRDefault="00812096" w:rsidP="00983B2E">
      <w:pPr>
        <w:rPr>
          <w:rFonts w:asciiTheme="minorHAnsi" w:hAnsiTheme="minorHAnsi"/>
          <w:sz w:val="22"/>
          <w:lang w:eastAsia="en-US"/>
        </w:rPr>
      </w:pPr>
      <w:r>
        <w:rPr>
          <w:rFonts w:asciiTheme="minorHAnsi" w:hAnsiTheme="minorHAnsi"/>
          <w:sz w:val="22"/>
          <w:lang w:eastAsia="en-US"/>
        </w:rPr>
        <w:t>Those documents are included at Appendix 11 to the Part A submission.</w:t>
      </w:r>
    </w:p>
    <w:p w:rsidR="00C047C4" w:rsidRPr="00C047C4" w:rsidRDefault="00D22154" w:rsidP="00983B2E">
      <w:pPr>
        <w:rPr>
          <w:rFonts w:asciiTheme="minorHAnsi" w:hAnsiTheme="minorHAnsi"/>
          <w:sz w:val="22"/>
          <w:lang w:eastAsia="en-US"/>
        </w:rPr>
      </w:pPr>
      <w:r>
        <w:rPr>
          <w:rFonts w:asciiTheme="minorHAnsi" w:hAnsiTheme="minorHAnsi"/>
          <w:sz w:val="22"/>
          <w:lang w:eastAsia="en-US"/>
        </w:rPr>
        <w:t xml:space="preserve">The VPA </w:t>
      </w:r>
      <w:r w:rsidR="00F44312">
        <w:rPr>
          <w:rFonts w:asciiTheme="minorHAnsi" w:hAnsiTheme="minorHAnsi"/>
          <w:sz w:val="22"/>
          <w:lang w:eastAsia="en-US"/>
        </w:rPr>
        <w:t>anticipates that the</w:t>
      </w:r>
      <w:r w:rsidR="00EF64A1">
        <w:rPr>
          <w:rFonts w:asciiTheme="minorHAnsi" w:hAnsiTheme="minorHAnsi"/>
          <w:sz w:val="22"/>
          <w:lang w:eastAsia="en-US"/>
        </w:rPr>
        <w:t xml:space="preserve"> circulated material</w:t>
      </w:r>
      <w:r w:rsidR="00195A9E">
        <w:rPr>
          <w:rFonts w:asciiTheme="minorHAnsi" w:hAnsiTheme="minorHAnsi"/>
          <w:sz w:val="22"/>
          <w:lang w:eastAsia="en-US"/>
        </w:rPr>
        <w:t xml:space="preserve"> will </w:t>
      </w:r>
      <w:r w:rsidR="00EF64A1">
        <w:rPr>
          <w:rFonts w:asciiTheme="minorHAnsi" w:hAnsiTheme="minorHAnsi"/>
          <w:sz w:val="22"/>
          <w:lang w:eastAsia="en-US"/>
        </w:rPr>
        <w:t>result in resolution, or at least clarification</w:t>
      </w:r>
      <w:r w:rsidR="00195A9E">
        <w:rPr>
          <w:rFonts w:asciiTheme="minorHAnsi" w:hAnsiTheme="minorHAnsi"/>
          <w:sz w:val="22"/>
          <w:lang w:eastAsia="en-US"/>
        </w:rPr>
        <w:t>,</w:t>
      </w:r>
      <w:r w:rsidR="00EF64A1">
        <w:rPr>
          <w:rFonts w:asciiTheme="minorHAnsi" w:hAnsiTheme="minorHAnsi"/>
          <w:sz w:val="22"/>
          <w:lang w:eastAsia="en-US"/>
        </w:rPr>
        <w:t xml:space="preserve"> of</w:t>
      </w:r>
      <w:r w:rsidR="00F44312">
        <w:rPr>
          <w:rFonts w:asciiTheme="minorHAnsi" w:hAnsiTheme="minorHAnsi"/>
          <w:sz w:val="22"/>
          <w:lang w:eastAsia="en-US"/>
        </w:rPr>
        <w:t xml:space="preserve"> </w:t>
      </w:r>
      <w:proofErr w:type="gramStart"/>
      <w:r w:rsidR="00F44312">
        <w:rPr>
          <w:rFonts w:asciiTheme="minorHAnsi" w:hAnsiTheme="minorHAnsi"/>
          <w:sz w:val="22"/>
          <w:lang w:eastAsia="en-US"/>
        </w:rPr>
        <w:t>a number of</w:t>
      </w:r>
      <w:proofErr w:type="gramEnd"/>
      <w:r w:rsidR="00F44312">
        <w:rPr>
          <w:rFonts w:asciiTheme="minorHAnsi" w:hAnsiTheme="minorHAnsi"/>
          <w:sz w:val="22"/>
          <w:lang w:eastAsia="en-US"/>
        </w:rPr>
        <w:t xml:space="preserve"> submissions relating to regionally significant landscape values.  Where parties have reviewed the new </w:t>
      </w:r>
      <w:proofErr w:type="gramStart"/>
      <w:r w:rsidR="00F44312">
        <w:rPr>
          <w:rFonts w:asciiTheme="minorHAnsi" w:hAnsiTheme="minorHAnsi"/>
          <w:sz w:val="22"/>
          <w:lang w:eastAsia="en-US"/>
        </w:rPr>
        <w:t>material</w:t>
      </w:r>
      <w:proofErr w:type="gramEnd"/>
      <w:r w:rsidR="00F44312">
        <w:rPr>
          <w:rFonts w:asciiTheme="minorHAnsi" w:hAnsiTheme="minorHAnsi"/>
          <w:sz w:val="22"/>
          <w:lang w:eastAsia="en-US"/>
        </w:rPr>
        <w:t xml:space="preserve"> and concluded that their submissions </w:t>
      </w:r>
      <w:r w:rsidR="00D1430A">
        <w:rPr>
          <w:rFonts w:asciiTheme="minorHAnsi" w:hAnsiTheme="minorHAnsi"/>
          <w:sz w:val="22"/>
          <w:lang w:eastAsia="en-US"/>
        </w:rPr>
        <w:t xml:space="preserve">remain unresolved, the VPA can work further with </w:t>
      </w:r>
      <w:r w:rsidR="00B64478">
        <w:rPr>
          <w:rFonts w:asciiTheme="minorHAnsi" w:hAnsiTheme="minorHAnsi"/>
          <w:sz w:val="22"/>
          <w:lang w:eastAsia="en-US"/>
        </w:rPr>
        <w:t>these parties and address any final matters in closing submissions.</w:t>
      </w:r>
      <w:r w:rsidR="00F44312">
        <w:rPr>
          <w:rFonts w:asciiTheme="minorHAnsi" w:hAnsiTheme="minorHAnsi"/>
          <w:sz w:val="22"/>
          <w:lang w:eastAsia="en-US"/>
        </w:rPr>
        <w:t xml:space="preserve">  </w:t>
      </w:r>
      <w:r w:rsidR="002E7F2A" w:rsidRPr="00983B2E">
        <w:rPr>
          <w:rFonts w:asciiTheme="minorHAnsi" w:hAnsiTheme="minorHAnsi"/>
          <w:sz w:val="22"/>
          <w:lang w:eastAsia="en-US"/>
        </w:rPr>
        <w:t xml:space="preserve"> </w:t>
      </w:r>
    </w:p>
    <w:p w:rsidR="009006CB" w:rsidRPr="008A324C" w:rsidRDefault="009006CB" w:rsidP="009006CB">
      <w:pPr>
        <w:pStyle w:val="Heading2"/>
        <w:rPr>
          <w:rFonts w:asciiTheme="minorHAnsi" w:hAnsiTheme="minorHAnsi"/>
          <w:b/>
        </w:rPr>
      </w:pPr>
      <w:bookmarkStart w:id="21" w:name="_Toc491027657"/>
      <w:r w:rsidRPr="008A324C">
        <w:rPr>
          <w:rFonts w:asciiTheme="minorHAnsi" w:hAnsiTheme="minorHAnsi"/>
          <w:b/>
        </w:rPr>
        <w:lastRenderedPageBreak/>
        <w:t>Drainage</w:t>
      </w:r>
      <w:r w:rsidR="0075248C" w:rsidRPr="008A324C">
        <w:rPr>
          <w:rFonts w:asciiTheme="minorHAnsi" w:hAnsiTheme="minorHAnsi"/>
          <w:b/>
        </w:rPr>
        <w:t xml:space="preserve"> and waterway overview</w:t>
      </w:r>
      <w:bookmarkEnd w:id="21"/>
      <w:r w:rsidR="0075248C" w:rsidRPr="008A324C">
        <w:rPr>
          <w:rFonts w:asciiTheme="minorHAnsi" w:hAnsiTheme="minorHAnsi"/>
          <w:b/>
        </w:rPr>
        <w:t xml:space="preserve"> </w:t>
      </w:r>
    </w:p>
    <w:p w:rsidR="009E2351" w:rsidRDefault="009E2351" w:rsidP="009E2351">
      <w:pPr>
        <w:rPr>
          <w:rFonts w:asciiTheme="minorHAnsi" w:hAnsiTheme="minorHAnsi"/>
          <w:i/>
          <w:sz w:val="22"/>
          <w:lang w:eastAsia="en-US"/>
        </w:rPr>
      </w:pPr>
      <w:r w:rsidRPr="0053033D">
        <w:rPr>
          <w:rFonts w:asciiTheme="minorHAnsi" w:hAnsiTheme="minorHAnsi"/>
          <w:i/>
          <w:sz w:val="22"/>
          <w:lang w:eastAsia="en-US"/>
        </w:rPr>
        <w:t>Sunbury South PSP (C207) – Submission</w:t>
      </w:r>
      <w:r w:rsidR="00EC1882">
        <w:rPr>
          <w:rFonts w:asciiTheme="minorHAnsi" w:hAnsiTheme="minorHAnsi"/>
          <w:i/>
          <w:sz w:val="22"/>
          <w:lang w:eastAsia="en-US"/>
        </w:rPr>
        <w:t>s</w:t>
      </w:r>
      <w:r>
        <w:rPr>
          <w:rFonts w:asciiTheme="minorHAnsi" w:hAnsiTheme="minorHAnsi"/>
          <w:i/>
          <w:sz w:val="22"/>
          <w:lang w:eastAsia="en-US"/>
        </w:rPr>
        <w:t xml:space="preserve"> 23 (N and R Isles)</w:t>
      </w:r>
      <w:r w:rsidR="00EC1882">
        <w:rPr>
          <w:rFonts w:asciiTheme="minorHAnsi" w:hAnsiTheme="minorHAnsi"/>
          <w:i/>
          <w:sz w:val="22"/>
          <w:lang w:eastAsia="en-US"/>
        </w:rPr>
        <w:t xml:space="preserve">; </w:t>
      </w:r>
      <w:r w:rsidR="00AD3F2B">
        <w:rPr>
          <w:rFonts w:asciiTheme="minorHAnsi" w:hAnsiTheme="minorHAnsi"/>
          <w:i/>
          <w:sz w:val="22"/>
          <w:lang w:eastAsia="en-US"/>
        </w:rPr>
        <w:t>24 (E Brogan</w:t>
      </w:r>
      <w:r w:rsidR="002600A9">
        <w:rPr>
          <w:rFonts w:asciiTheme="minorHAnsi" w:hAnsiTheme="minorHAnsi"/>
          <w:i/>
          <w:sz w:val="22"/>
          <w:lang w:eastAsia="en-US"/>
        </w:rPr>
        <w:t xml:space="preserve">); </w:t>
      </w:r>
      <w:r w:rsidR="00EC1882">
        <w:rPr>
          <w:rFonts w:asciiTheme="minorHAnsi" w:hAnsiTheme="minorHAnsi"/>
          <w:i/>
          <w:sz w:val="22"/>
          <w:lang w:eastAsia="en-US"/>
        </w:rPr>
        <w:t xml:space="preserve">83 (T Dance) </w:t>
      </w:r>
      <w:r w:rsidRPr="0053033D">
        <w:rPr>
          <w:rFonts w:asciiTheme="minorHAnsi" w:hAnsiTheme="minorHAnsi"/>
          <w:i/>
          <w:sz w:val="22"/>
          <w:lang w:eastAsia="en-US"/>
        </w:rPr>
        <w:t xml:space="preserve"> </w:t>
      </w:r>
    </w:p>
    <w:p w:rsidR="009E2351" w:rsidRDefault="009E2351" w:rsidP="009E2351">
      <w:pPr>
        <w:rPr>
          <w:rFonts w:asciiTheme="minorHAnsi" w:hAnsiTheme="minorHAnsi"/>
          <w:i/>
          <w:sz w:val="22"/>
          <w:lang w:eastAsia="en-US"/>
        </w:rPr>
      </w:pPr>
      <w:r>
        <w:rPr>
          <w:rFonts w:asciiTheme="minorHAnsi" w:hAnsiTheme="minorHAnsi"/>
          <w:i/>
          <w:sz w:val="22"/>
          <w:lang w:eastAsia="en-US"/>
        </w:rPr>
        <w:t>Lancefield Road PSP (C208) – Submission</w:t>
      </w:r>
      <w:r w:rsidR="00EC1882">
        <w:rPr>
          <w:rFonts w:asciiTheme="minorHAnsi" w:hAnsiTheme="minorHAnsi"/>
          <w:i/>
          <w:sz w:val="22"/>
          <w:lang w:eastAsia="en-US"/>
        </w:rPr>
        <w:t>s</w:t>
      </w:r>
      <w:r>
        <w:rPr>
          <w:rFonts w:asciiTheme="minorHAnsi" w:hAnsiTheme="minorHAnsi"/>
          <w:i/>
          <w:sz w:val="22"/>
          <w:lang w:eastAsia="en-US"/>
        </w:rPr>
        <w:t xml:space="preserve"> </w:t>
      </w:r>
      <w:r w:rsidR="00536606">
        <w:rPr>
          <w:rFonts w:asciiTheme="minorHAnsi" w:hAnsiTheme="minorHAnsi"/>
          <w:i/>
          <w:sz w:val="22"/>
          <w:lang w:eastAsia="en-US"/>
        </w:rPr>
        <w:t>19 (N and R Isles)</w:t>
      </w:r>
      <w:r w:rsidR="00B5026C">
        <w:rPr>
          <w:rFonts w:asciiTheme="minorHAnsi" w:hAnsiTheme="minorHAnsi"/>
          <w:i/>
          <w:sz w:val="22"/>
          <w:lang w:eastAsia="en-US"/>
        </w:rPr>
        <w:t xml:space="preserve">; </w:t>
      </w:r>
      <w:r w:rsidR="00AD3F2B">
        <w:rPr>
          <w:rFonts w:asciiTheme="minorHAnsi" w:hAnsiTheme="minorHAnsi"/>
          <w:i/>
          <w:sz w:val="22"/>
          <w:lang w:eastAsia="en-US"/>
        </w:rPr>
        <w:t>24 (E Brogan</w:t>
      </w:r>
      <w:r w:rsidR="002600A9">
        <w:rPr>
          <w:rFonts w:asciiTheme="minorHAnsi" w:hAnsiTheme="minorHAnsi"/>
          <w:i/>
          <w:sz w:val="22"/>
          <w:lang w:eastAsia="en-US"/>
        </w:rPr>
        <w:t xml:space="preserve">); </w:t>
      </w:r>
      <w:r w:rsidR="00B5026C">
        <w:rPr>
          <w:rFonts w:asciiTheme="minorHAnsi" w:hAnsiTheme="minorHAnsi"/>
          <w:i/>
          <w:sz w:val="22"/>
          <w:lang w:eastAsia="en-US"/>
        </w:rPr>
        <w:t>84 (T Dance)</w:t>
      </w:r>
    </w:p>
    <w:p w:rsidR="00564B5F" w:rsidRDefault="00F30897" w:rsidP="00564B5F">
      <w:pPr>
        <w:rPr>
          <w:rFonts w:asciiTheme="minorHAnsi" w:hAnsiTheme="minorHAnsi"/>
          <w:sz w:val="22"/>
          <w:szCs w:val="22"/>
          <w:lang w:eastAsia="en-US"/>
        </w:rPr>
      </w:pPr>
      <w:r>
        <w:rPr>
          <w:rFonts w:asciiTheme="minorHAnsi" w:hAnsiTheme="minorHAnsi"/>
          <w:sz w:val="22"/>
          <w:szCs w:val="22"/>
          <w:lang w:eastAsia="en-US"/>
        </w:rPr>
        <w:t>S</w:t>
      </w:r>
      <w:r w:rsidR="00C6414D">
        <w:rPr>
          <w:rFonts w:asciiTheme="minorHAnsi" w:hAnsiTheme="minorHAnsi"/>
          <w:sz w:val="22"/>
          <w:szCs w:val="22"/>
          <w:lang w:eastAsia="en-US"/>
        </w:rPr>
        <w:t xml:space="preserve">everal </w:t>
      </w:r>
      <w:r w:rsidR="00BF35B0">
        <w:rPr>
          <w:rFonts w:asciiTheme="minorHAnsi" w:hAnsiTheme="minorHAnsi"/>
          <w:sz w:val="22"/>
          <w:szCs w:val="22"/>
          <w:lang w:eastAsia="en-US"/>
        </w:rPr>
        <w:t>Sunbury resident submitters</w:t>
      </w:r>
      <w:r w:rsidR="00FE3BD1">
        <w:rPr>
          <w:rFonts w:asciiTheme="minorHAnsi" w:hAnsiTheme="minorHAnsi"/>
          <w:sz w:val="22"/>
          <w:szCs w:val="22"/>
          <w:lang w:eastAsia="en-US"/>
        </w:rPr>
        <w:t xml:space="preserve"> have expressed concern in relation to the approach</w:t>
      </w:r>
      <w:r w:rsidR="00CF18E1">
        <w:rPr>
          <w:rFonts w:asciiTheme="minorHAnsi" w:hAnsiTheme="minorHAnsi"/>
          <w:sz w:val="22"/>
          <w:szCs w:val="22"/>
          <w:lang w:eastAsia="en-US"/>
        </w:rPr>
        <w:t xml:space="preserve"> in the Amendments</w:t>
      </w:r>
      <w:r w:rsidR="00FE3BD1">
        <w:rPr>
          <w:rFonts w:asciiTheme="minorHAnsi" w:hAnsiTheme="minorHAnsi"/>
          <w:sz w:val="22"/>
          <w:szCs w:val="22"/>
          <w:lang w:eastAsia="en-US"/>
        </w:rPr>
        <w:t xml:space="preserve"> to drainage and waterways.</w:t>
      </w:r>
      <w:r w:rsidR="00264454">
        <w:rPr>
          <w:rFonts w:asciiTheme="minorHAnsi" w:hAnsiTheme="minorHAnsi"/>
          <w:sz w:val="22"/>
          <w:szCs w:val="22"/>
          <w:lang w:eastAsia="en-US"/>
        </w:rPr>
        <w:t xml:space="preserve">  This approach, including Melbourne Water’s role, is summarised below.</w:t>
      </w:r>
    </w:p>
    <w:p w:rsidR="00027F98" w:rsidRDefault="007046CF" w:rsidP="00564B5F">
      <w:pPr>
        <w:rPr>
          <w:rFonts w:asciiTheme="minorHAnsi" w:hAnsiTheme="minorHAnsi"/>
          <w:b/>
          <w:i/>
          <w:sz w:val="22"/>
          <w:szCs w:val="22"/>
          <w:lang w:eastAsia="en-US"/>
        </w:rPr>
      </w:pPr>
      <w:r>
        <w:rPr>
          <w:rFonts w:asciiTheme="minorHAnsi" w:hAnsiTheme="minorHAnsi"/>
          <w:b/>
          <w:i/>
          <w:sz w:val="22"/>
          <w:szCs w:val="22"/>
          <w:lang w:eastAsia="en-US"/>
        </w:rPr>
        <w:t>Melbourne Water involvement</w:t>
      </w:r>
    </w:p>
    <w:p w:rsidR="005728BD" w:rsidRDefault="00FA662C" w:rsidP="00564B5F">
      <w:pPr>
        <w:rPr>
          <w:rFonts w:asciiTheme="minorHAnsi" w:hAnsiTheme="minorHAnsi"/>
          <w:i/>
          <w:sz w:val="22"/>
          <w:szCs w:val="22"/>
          <w:lang w:eastAsia="en-US"/>
        </w:rPr>
      </w:pPr>
      <w:r>
        <w:rPr>
          <w:rFonts w:asciiTheme="minorHAnsi" w:hAnsiTheme="minorHAnsi"/>
          <w:sz w:val="22"/>
          <w:szCs w:val="22"/>
          <w:lang w:eastAsia="en-US"/>
        </w:rPr>
        <w:t xml:space="preserve">Melbourne Water </w:t>
      </w:r>
      <w:r w:rsidR="000D4A12">
        <w:rPr>
          <w:rFonts w:asciiTheme="minorHAnsi" w:hAnsiTheme="minorHAnsi"/>
          <w:sz w:val="22"/>
          <w:szCs w:val="22"/>
          <w:lang w:eastAsia="en-US"/>
        </w:rPr>
        <w:t xml:space="preserve">is the Waterway, Floodplain and Regional Drainage Management Authority for the Port Phillip and Western Port Bay catchments, as defined in Part 10 of the </w:t>
      </w:r>
      <w:r w:rsidR="000D4A12">
        <w:rPr>
          <w:rFonts w:asciiTheme="minorHAnsi" w:hAnsiTheme="minorHAnsi"/>
          <w:i/>
          <w:sz w:val="22"/>
          <w:szCs w:val="22"/>
          <w:lang w:eastAsia="en-US"/>
        </w:rPr>
        <w:t>Water Act 1989.</w:t>
      </w:r>
    </w:p>
    <w:p w:rsidR="000D4A12" w:rsidRPr="000D4A12" w:rsidRDefault="00A5602A" w:rsidP="00564B5F">
      <w:pPr>
        <w:rPr>
          <w:rFonts w:asciiTheme="minorHAnsi" w:hAnsiTheme="minorHAnsi"/>
          <w:sz w:val="22"/>
          <w:szCs w:val="22"/>
          <w:lang w:eastAsia="en-US"/>
        </w:rPr>
      </w:pPr>
      <w:r>
        <w:rPr>
          <w:rFonts w:asciiTheme="minorHAnsi" w:hAnsiTheme="minorHAnsi"/>
          <w:sz w:val="22"/>
          <w:szCs w:val="22"/>
          <w:lang w:eastAsia="en-US"/>
        </w:rPr>
        <w:t>The VPA has been working closely with Melbourne Water as an agency in the PSP process.</w:t>
      </w:r>
    </w:p>
    <w:p w:rsidR="007046CF" w:rsidRDefault="007046CF" w:rsidP="00564B5F">
      <w:pPr>
        <w:rPr>
          <w:rFonts w:asciiTheme="minorHAnsi" w:hAnsiTheme="minorHAnsi"/>
          <w:b/>
          <w:i/>
          <w:sz w:val="22"/>
          <w:szCs w:val="22"/>
          <w:lang w:eastAsia="en-US"/>
        </w:rPr>
      </w:pPr>
      <w:r>
        <w:rPr>
          <w:rFonts w:asciiTheme="minorHAnsi" w:hAnsiTheme="minorHAnsi"/>
          <w:b/>
          <w:i/>
          <w:sz w:val="22"/>
          <w:szCs w:val="22"/>
          <w:lang w:eastAsia="en-US"/>
        </w:rPr>
        <w:t>Waterways within the PSP areas</w:t>
      </w:r>
    </w:p>
    <w:p w:rsidR="00AB2ED3" w:rsidRDefault="00A5602A" w:rsidP="00564B5F">
      <w:pPr>
        <w:rPr>
          <w:rFonts w:asciiTheme="minorHAnsi" w:hAnsiTheme="minorHAnsi"/>
          <w:sz w:val="22"/>
          <w:szCs w:val="22"/>
          <w:lang w:eastAsia="en-US"/>
        </w:rPr>
      </w:pPr>
      <w:r>
        <w:rPr>
          <w:rFonts w:asciiTheme="minorHAnsi" w:hAnsiTheme="minorHAnsi"/>
          <w:sz w:val="22"/>
          <w:szCs w:val="22"/>
          <w:lang w:eastAsia="en-US"/>
        </w:rPr>
        <w:t xml:space="preserve">There are two major waterways located within </w:t>
      </w:r>
      <w:r w:rsidR="00E63D47">
        <w:rPr>
          <w:rFonts w:asciiTheme="minorHAnsi" w:hAnsiTheme="minorHAnsi"/>
          <w:sz w:val="22"/>
          <w:szCs w:val="22"/>
          <w:lang w:eastAsia="en-US"/>
        </w:rPr>
        <w:t xml:space="preserve">the </w:t>
      </w:r>
      <w:r>
        <w:rPr>
          <w:rFonts w:asciiTheme="minorHAnsi" w:hAnsiTheme="minorHAnsi"/>
          <w:sz w:val="22"/>
          <w:szCs w:val="22"/>
          <w:lang w:eastAsia="en-US"/>
        </w:rPr>
        <w:t xml:space="preserve">PSP areas: Jacksons Creek and Emu Creek.  </w:t>
      </w:r>
    </w:p>
    <w:p w:rsidR="00A5602A" w:rsidRPr="00A5602A" w:rsidRDefault="00A5602A" w:rsidP="00AB2ED3">
      <w:pPr>
        <w:rPr>
          <w:rFonts w:asciiTheme="minorHAnsi" w:hAnsiTheme="minorHAnsi"/>
          <w:sz w:val="22"/>
          <w:szCs w:val="22"/>
          <w:lang w:eastAsia="en-US"/>
        </w:rPr>
      </w:pPr>
      <w:r>
        <w:rPr>
          <w:rFonts w:asciiTheme="minorHAnsi" w:hAnsiTheme="minorHAnsi"/>
          <w:sz w:val="22"/>
          <w:szCs w:val="22"/>
          <w:lang w:eastAsia="en-US"/>
        </w:rPr>
        <w:t xml:space="preserve">Both are </w:t>
      </w:r>
      <w:r w:rsidR="00AB2ED3">
        <w:rPr>
          <w:rFonts w:asciiTheme="minorHAnsi" w:hAnsiTheme="minorHAnsi"/>
          <w:sz w:val="22"/>
          <w:szCs w:val="22"/>
          <w:lang w:eastAsia="en-US"/>
        </w:rPr>
        <w:t>major waterways</w:t>
      </w:r>
      <w:r w:rsidR="00942AE7">
        <w:rPr>
          <w:rFonts w:asciiTheme="minorHAnsi" w:hAnsiTheme="minorHAnsi"/>
          <w:sz w:val="22"/>
          <w:szCs w:val="22"/>
          <w:lang w:eastAsia="en-US"/>
        </w:rPr>
        <w:t xml:space="preserve"> with catchment</w:t>
      </w:r>
      <w:r w:rsidR="00F92EED">
        <w:rPr>
          <w:rFonts w:asciiTheme="minorHAnsi" w:hAnsiTheme="minorHAnsi"/>
          <w:sz w:val="22"/>
          <w:szCs w:val="22"/>
          <w:lang w:eastAsia="en-US"/>
        </w:rPr>
        <w:t xml:space="preserve">s </w:t>
      </w:r>
      <w:r w:rsidR="00942AE7">
        <w:rPr>
          <w:rFonts w:asciiTheme="minorHAnsi" w:hAnsiTheme="minorHAnsi"/>
          <w:sz w:val="22"/>
          <w:szCs w:val="22"/>
          <w:lang w:eastAsia="en-US"/>
        </w:rPr>
        <w:t>upstream of the Lancefield Road PSP</w:t>
      </w:r>
      <w:r w:rsidR="00AB2ED3">
        <w:rPr>
          <w:rFonts w:asciiTheme="minorHAnsi" w:hAnsiTheme="minorHAnsi"/>
          <w:sz w:val="22"/>
          <w:szCs w:val="22"/>
          <w:lang w:eastAsia="en-US"/>
        </w:rPr>
        <w:t xml:space="preserve">.  Jacksons Creek has a catchment </w:t>
      </w:r>
      <w:r w:rsidR="00942AE7">
        <w:rPr>
          <w:rFonts w:asciiTheme="minorHAnsi" w:hAnsiTheme="minorHAnsi"/>
          <w:sz w:val="22"/>
          <w:szCs w:val="22"/>
          <w:lang w:eastAsia="en-US"/>
        </w:rPr>
        <w:t xml:space="preserve">of greater than 25,700 hectares.  </w:t>
      </w:r>
      <w:r w:rsidRPr="00A5602A">
        <w:rPr>
          <w:rFonts w:asciiTheme="minorHAnsi" w:hAnsiTheme="minorHAnsi"/>
          <w:sz w:val="22"/>
          <w:szCs w:val="22"/>
          <w:lang w:eastAsia="en-US"/>
        </w:rPr>
        <w:t xml:space="preserve">Emu Creek </w:t>
      </w:r>
      <w:r w:rsidR="00942AE7">
        <w:rPr>
          <w:rFonts w:asciiTheme="minorHAnsi" w:hAnsiTheme="minorHAnsi"/>
          <w:sz w:val="22"/>
          <w:szCs w:val="22"/>
          <w:lang w:eastAsia="en-US"/>
        </w:rPr>
        <w:t>has</w:t>
      </w:r>
      <w:r w:rsidRPr="00A5602A">
        <w:rPr>
          <w:rFonts w:asciiTheme="minorHAnsi" w:hAnsiTheme="minorHAnsi"/>
          <w:sz w:val="22"/>
          <w:szCs w:val="22"/>
          <w:lang w:eastAsia="en-US"/>
        </w:rPr>
        <w:t xml:space="preserve"> a catchment </w:t>
      </w:r>
      <w:r w:rsidR="00E84AFC">
        <w:rPr>
          <w:rFonts w:asciiTheme="minorHAnsi" w:hAnsiTheme="minorHAnsi"/>
          <w:sz w:val="22"/>
          <w:szCs w:val="22"/>
          <w:lang w:eastAsia="en-US"/>
        </w:rPr>
        <w:t>greater than</w:t>
      </w:r>
      <w:r w:rsidRPr="00A5602A">
        <w:rPr>
          <w:rFonts w:asciiTheme="minorHAnsi" w:hAnsiTheme="minorHAnsi"/>
          <w:sz w:val="22"/>
          <w:szCs w:val="22"/>
          <w:lang w:eastAsia="en-US"/>
        </w:rPr>
        <w:t xml:space="preserve"> 15,700 </w:t>
      </w:r>
      <w:r w:rsidR="00E84AFC">
        <w:rPr>
          <w:rFonts w:asciiTheme="minorHAnsi" w:hAnsiTheme="minorHAnsi"/>
          <w:sz w:val="22"/>
          <w:szCs w:val="22"/>
          <w:lang w:eastAsia="en-US"/>
        </w:rPr>
        <w:t>hectares.</w:t>
      </w:r>
    </w:p>
    <w:p w:rsidR="00A5602A" w:rsidRPr="00A5602A" w:rsidRDefault="00A5602A" w:rsidP="00A5602A">
      <w:pPr>
        <w:rPr>
          <w:rFonts w:asciiTheme="minorHAnsi" w:hAnsiTheme="minorHAnsi"/>
          <w:sz w:val="22"/>
          <w:szCs w:val="22"/>
          <w:lang w:eastAsia="en-US"/>
        </w:rPr>
      </w:pPr>
      <w:r w:rsidRPr="00A5602A">
        <w:rPr>
          <w:rFonts w:asciiTheme="minorHAnsi" w:hAnsiTheme="minorHAnsi"/>
          <w:sz w:val="22"/>
          <w:szCs w:val="22"/>
          <w:lang w:eastAsia="en-US"/>
        </w:rPr>
        <w:t xml:space="preserve">Each of these major waterways has an extensive tributary system within the Amendment areas. </w:t>
      </w:r>
    </w:p>
    <w:p w:rsidR="007046CF" w:rsidRDefault="003D19AD" w:rsidP="00A5602A">
      <w:pPr>
        <w:rPr>
          <w:rFonts w:asciiTheme="minorHAnsi" w:hAnsiTheme="minorHAnsi"/>
          <w:b/>
          <w:i/>
          <w:sz w:val="22"/>
          <w:szCs w:val="22"/>
          <w:lang w:eastAsia="en-US"/>
        </w:rPr>
      </w:pPr>
      <w:r>
        <w:rPr>
          <w:rFonts w:asciiTheme="minorHAnsi" w:hAnsiTheme="minorHAnsi"/>
          <w:b/>
          <w:i/>
          <w:sz w:val="22"/>
          <w:szCs w:val="22"/>
          <w:lang w:eastAsia="en-US"/>
        </w:rPr>
        <w:t>Development Services Schemes</w:t>
      </w:r>
    </w:p>
    <w:p w:rsidR="00C7704D" w:rsidRPr="00C7704D" w:rsidRDefault="00C7704D" w:rsidP="00C7704D">
      <w:pPr>
        <w:rPr>
          <w:rFonts w:asciiTheme="minorHAnsi" w:hAnsiTheme="minorHAnsi"/>
          <w:sz w:val="22"/>
          <w:szCs w:val="22"/>
          <w:lang w:eastAsia="en-US"/>
        </w:rPr>
      </w:pPr>
      <w:r w:rsidRPr="00C7704D">
        <w:rPr>
          <w:rFonts w:asciiTheme="minorHAnsi" w:hAnsiTheme="minorHAnsi"/>
          <w:sz w:val="22"/>
          <w:szCs w:val="22"/>
          <w:lang w:eastAsia="en-US"/>
        </w:rPr>
        <w:t xml:space="preserve">Melbourne Water </w:t>
      </w:r>
      <w:proofErr w:type="gramStart"/>
      <w:r>
        <w:rPr>
          <w:rFonts w:asciiTheme="minorHAnsi" w:hAnsiTheme="minorHAnsi"/>
          <w:sz w:val="22"/>
          <w:szCs w:val="22"/>
          <w:lang w:eastAsia="en-US"/>
        </w:rPr>
        <w:t>designs</w:t>
      </w:r>
      <w:proofErr w:type="gramEnd"/>
      <w:r>
        <w:rPr>
          <w:rFonts w:asciiTheme="minorHAnsi" w:hAnsiTheme="minorHAnsi"/>
          <w:sz w:val="22"/>
          <w:szCs w:val="22"/>
          <w:lang w:eastAsia="en-US"/>
        </w:rPr>
        <w:t xml:space="preserve"> Development Services Schemes (</w:t>
      </w:r>
      <w:r>
        <w:rPr>
          <w:rFonts w:asciiTheme="minorHAnsi" w:hAnsiTheme="minorHAnsi"/>
          <w:b/>
          <w:sz w:val="22"/>
          <w:szCs w:val="22"/>
          <w:lang w:eastAsia="en-US"/>
        </w:rPr>
        <w:t>DSSs</w:t>
      </w:r>
      <w:r>
        <w:rPr>
          <w:rFonts w:asciiTheme="minorHAnsi" w:hAnsiTheme="minorHAnsi"/>
          <w:sz w:val="22"/>
          <w:szCs w:val="22"/>
          <w:lang w:eastAsia="en-US"/>
        </w:rPr>
        <w:t>)</w:t>
      </w:r>
      <w:r w:rsidRPr="00C7704D">
        <w:rPr>
          <w:rFonts w:asciiTheme="minorHAnsi" w:hAnsiTheme="minorHAnsi"/>
          <w:sz w:val="22"/>
          <w:szCs w:val="22"/>
          <w:lang w:eastAsia="en-US"/>
        </w:rPr>
        <w:t xml:space="preserve"> to masterplan the drainage and waterway infrastructure required to service future urban development. </w:t>
      </w:r>
      <w:r w:rsidR="00D60E22">
        <w:rPr>
          <w:rFonts w:asciiTheme="minorHAnsi" w:hAnsiTheme="minorHAnsi"/>
          <w:sz w:val="22"/>
          <w:szCs w:val="22"/>
          <w:lang w:eastAsia="en-US"/>
        </w:rPr>
        <w:t xml:space="preserve"> </w:t>
      </w:r>
      <w:r w:rsidRPr="00C7704D">
        <w:rPr>
          <w:rFonts w:asciiTheme="minorHAnsi" w:hAnsiTheme="minorHAnsi"/>
          <w:sz w:val="22"/>
          <w:szCs w:val="22"/>
          <w:lang w:eastAsia="en-US"/>
        </w:rPr>
        <w:t>There are more than 200 DSS</w:t>
      </w:r>
      <w:r w:rsidR="00D60E22">
        <w:rPr>
          <w:rFonts w:asciiTheme="minorHAnsi" w:hAnsiTheme="minorHAnsi"/>
          <w:sz w:val="22"/>
          <w:szCs w:val="22"/>
          <w:lang w:eastAsia="en-US"/>
        </w:rPr>
        <w:t>s across g</w:t>
      </w:r>
      <w:r w:rsidRPr="00C7704D">
        <w:rPr>
          <w:rFonts w:asciiTheme="minorHAnsi" w:hAnsiTheme="minorHAnsi"/>
          <w:sz w:val="22"/>
          <w:szCs w:val="22"/>
          <w:lang w:eastAsia="en-US"/>
        </w:rPr>
        <w:t>reater Melbourne.</w:t>
      </w:r>
    </w:p>
    <w:p w:rsidR="00C7704D" w:rsidRPr="00C7704D" w:rsidRDefault="00C7704D" w:rsidP="00C7704D">
      <w:pPr>
        <w:rPr>
          <w:rFonts w:asciiTheme="minorHAnsi" w:hAnsiTheme="minorHAnsi"/>
          <w:sz w:val="22"/>
          <w:szCs w:val="22"/>
          <w:lang w:eastAsia="en-US"/>
        </w:rPr>
      </w:pPr>
      <w:r w:rsidRPr="00C7704D">
        <w:rPr>
          <w:rFonts w:asciiTheme="minorHAnsi" w:hAnsiTheme="minorHAnsi"/>
          <w:sz w:val="22"/>
          <w:szCs w:val="22"/>
          <w:lang w:eastAsia="en-US"/>
        </w:rPr>
        <w:t>A DSS is a catchment</w:t>
      </w:r>
      <w:r w:rsidR="001B0A01">
        <w:rPr>
          <w:rFonts w:asciiTheme="minorHAnsi" w:hAnsiTheme="minorHAnsi"/>
          <w:sz w:val="22"/>
          <w:szCs w:val="22"/>
          <w:lang w:eastAsia="en-US"/>
        </w:rPr>
        <w:t>-</w:t>
      </w:r>
      <w:r w:rsidRPr="00C7704D">
        <w:rPr>
          <w:rFonts w:asciiTheme="minorHAnsi" w:hAnsiTheme="minorHAnsi"/>
          <w:sz w:val="22"/>
          <w:szCs w:val="22"/>
          <w:lang w:eastAsia="en-US"/>
        </w:rPr>
        <w:t>based, conceptual masterplan of drainage infrastructure and a pricing arrangement (contribution rates) t</w:t>
      </w:r>
      <w:r w:rsidR="005522A7">
        <w:rPr>
          <w:rFonts w:asciiTheme="minorHAnsi" w:hAnsiTheme="minorHAnsi"/>
          <w:sz w:val="22"/>
          <w:szCs w:val="22"/>
          <w:lang w:eastAsia="en-US"/>
        </w:rPr>
        <w:t>o fund the construction of the</w:t>
      </w:r>
      <w:r w:rsidRPr="00C7704D">
        <w:rPr>
          <w:rFonts w:asciiTheme="minorHAnsi" w:hAnsiTheme="minorHAnsi"/>
          <w:sz w:val="22"/>
          <w:szCs w:val="22"/>
          <w:lang w:eastAsia="en-US"/>
        </w:rPr>
        <w:t xml:space="preserve"> assets. </w:t>
      </w:r>
      <w:r w:rsidR="004748B8">
        <w:rPr>
          <w:rFonts w:asciiTheme="minorHAnsi" w:hAnsiTheme="minorHAnsi"/>
          <w:sz w:val="22"/>
          <w:szCs w:val="22"/>
          <w:lang w:eastAsia="en-US"/>
        </w:rPr>
        <w:t xml:space="preserve"> </w:t>
      </w:r>
      <w:r w:rsidRPr="00C7704D">
        <w:rPr>
          <w:rFonts w:asciiTheme="minorHAnsi" w:hAnsiTheme="minorHAnsi"/>
          <w:sz w:val="22"/>
          <w:szCs w:val="22"/>
          <w:lang w:eastAsia="en-US"/>
        </w:rPr>
        <w:t xml:space="preserve">There </w:t>
      </w:r>
      <w:proofErr w:type="gramStart"/>
      <w:r w:rsidRPr="00C7704D">
        <w:rPr>
          <w:rFonts w:asciiTheme="minorHAnsi" w:hAnsiTheme="minorHAnsi"/>
          <w:sz w:val="22"/>
          <w:szCs w:val="22"/>
          <w:lang w:eastAsia="en-US"/>
        </w:rPr>
        <w:t>are</w:t>
      </w:r>
      <w:proofErr w:type="gramEnd"/>
      <w:r w:rsidRPr="00C7704D">
        <w:rPr>
          <w:rFonts w:asciiTheme="minorHAnsi" w:hAnsiTheme="minorHAnsi"/>
          <w:sz w:val="22"/>
          <w:szCs w:val="22"/>
          <w:lang w:eastAsia="en-US"/>
        </w:rPr>
        <w:t xml:space="preserve"> a total of ten DSS</w:t>
      </w:r>
      <w:r w:rsidR="004748B8">
        <w:rPr>
          <w:rFonts w:asciiTheme="minorHAnsi" w:hAnsiTheme="minorHAnsi"/>
          <w:sz w:val="22"/>
          <w:szCs w:val="22"/>
          <w:lang w:eastAsia="en-US"/>
        </w:rPr>
        <w:t>s</w:t>
      </w:r>
      <w:r w:rsidRPr="00C7704D">
        <w:rPr>
          <w:rFonts w:asciiTheme="minorHAnsi" w:hAnsiTheme="minorHAnsi"/>
          <w:sz w:val="22"/>
          <w:szCs w:val="22"/>
          <w:lang w:eastAsia="en-US"/>
        </w:rPr>
        <w:t xml:space="preserve"> across the two amendment areas.</w:t>
      </w:r>
    </w:p>
    <w:p w:rsidR="00C7704D" w:rsidRPr="00C7704D" w:rsidRDefault="00C7704D" w:rsidP="00C7704D">
      <w:pPr>
        <w:rPr>
          <w:rFonts w:asciiTheme="minorHAnsi" w:hAnsiTheme="minorHAnsi"/>
          <w:sz w:val="22"/>
          <w:szCs w:val="22"/>
          <w:lang w:eastAsia="en-US"/>
        </w:rPr>
      </w:pPr>
      <w:r w:rsidRPr="00C7704D">
        <w:rPr>
          <w:rFonts w:asciiTheme="minorHAnsi" w:hAnsiTheme="minorHAnsi"/>
          <w:sz w:val="22"/>
          <w:szCs w:val="22"/>
          <w:lang w:eastAsia="en-US"/>
        </w:rPr>
        <w:t xml:space="preserve">Contributions for each DSS are calculated so </w:t>
      </w:r>
      <w:r w:rsidR="005522A7">
        <w:rPr>
          <w:rFonts w:asciiTheme="minorHAnsi" w:hAnsiTheme="minorHAnsi"/>
          <w:sz w:val="22"/>
          <w:szCs w:val="22"/>
          <w:lang w:eastAsia="en-US"/>
        </w:rPr>
        <w:t xml:space="preserve">that </w:t>
      </w:r>
      <w:r w:rsidRPr="00C7704D">
        <w:rPr>
          <w:rFonts w:asciiTheme="minorHAnsi" w:hAnsiTheme="minorHAnsi"/>
          <w:sz w:val="22"/>
          <w:szCs w:val="22"/>
          <w:lang w:eastAsia="en-US"/>
        </w:rPr>
        <w:t xml:space="preserve">the income derived from contributions </w:t>
      </w:r>
      <w:r w:rsidR="005522A7">
        <w:rPr>
          <w:rFonts w:asciiTheme="minorHAnsi" w:hAnsiTheme="minorHAnsi"/>
          <w:sz w:val="22"/>
          <w:szCs w:val="22"/>
          <w:lang w:eastAsia="en-US"/>
        </w:rPr>
        <w:t>equals</w:t>
      </w:r>
      <w:r w:rsidRPr="00C7704D">
        <w:rPr>
          <w:rFonts w:asciiTheme="minorHAnsi" w:hAnsiTheme="minorHAnsi"/>
          <w:sz w:val="22"/>
          <w:szCs w:val="22"/>
          <w:lang w:eastAsia="en-US"/>
        </w:rPr>
        <w:t xml:space="preserve"> the planned expenditure over the expected life of a scheme.</w:t>
      </w:r>
    </w:p>
    <w:p w:rsidR="00C7704D" w:rsidRPr="00C7704D" w:rsidRDefault="00C7704D" w:rsidP="00C7704D">
      <w:pPr>
        <w:rPr>
          <w:rFonts w:asciiTheme="minorHAnsi" w:hAnsiTheme="minorHAnsi"/>
          <w:sz w:val="22"/>
          <w:szCs w:val="22"/>
          <w:lang w:eastAsia="en-US"/>
        </w:rPr>
      </w:pPr>
      <w:r w:rsidRPr="00C7704D">
        <w:rPr>
          <w:rFonts w:asciiTheme="minorHAnsi" w:hAnsiTheme="minorHAnsi"/>
          <w:sz w:val="22"/>
          <w:szCs w:val="22"/>
          <w:lang w:eastAsia="en-US"/>
        </w:rPr>
        <w:t>DSS work</w:t>
      </w:r>
      <w:r w:rsidR="00484B88">
        <w:rPr>
          <w:rFonts w:asciiTheme="minorHAnsi" w:hAnsiTheme="minorHAnsi"/>
          <w:sz w:val="22"/>
          <w:szCs w:val="22"/>
          <w:lang w:eastAsia="en-US"/>
        </w:rPr>
        <w:t>s are constructed by developer</w:t>
      </w:r>
      <w:r w:rsidR="00CF7327">
        <w:rPr>
          <w:rFonts w:asciiTheme="minorHAnsi" w:hAnsiTheme="minorHAnsi"/>
          <w:sz w:val="22"/>
          <w:szCs w:val="22"/>
          <w:lang w:eastAsia="en-US"/>
        </w:rPr>
        <w:t>s</w:t>
      </w:r>
      <w:r w:rsidR="00484B88">
        <w:rPr>
          <w:rFonts w:asciiTheme="minorHAnsi" w:hAnsiTheme="minorHAnsi"/>
          <w:sz w:val="22"/>
          <w:szCs w:val="22"/>
          <w:lang w:eastAsia="en-US"/>
        </w:rPr>
        <w:t xml:space="preserve">, </w:t>
      </w:r>
      <w:r w:rsidRPr="00C7704D">
        <w:rPr>
          <w:rFonts w:asciiTheme="minorHAnsi" w:hAnsiTheme="minorHAnsi"/>
          <w:sz w:val="22"/>
          <w:szCs w:val="22"/>
          <w:lang w:eastAsia="en-US"/>
        </w:rPr>
        <w:t>usu</w:t>
      </w:r>
      <w:r w:rsidR="00484B88">
        <w:rPr>
          <w:rFonts w:asciiTheme="minorHAnsi" w:hAnsiTheme="minorHAnsi"/>
          <w:sz w:val="22"/>
          <w:szCs w:val="22"/>
          <w:lang w:eastAsia="en-US"/>
        </w:rPr>
        <w:t>ally at the time of subdivision.  D</w:t>
      </w:r>
      <w:r w:rsidRPr="00C7704D">
        <w:rPr>
          <w:rFonts w:asciiTheme="minorHAnsi" w:hAnsiTheme="minorHAnsi"/>
          <w:sz w:val="22"/>
          <w:szCs w:val="22"/>
          <w:lang w:eastAsia="en-US"/>
        </w:rPr>
        <w:t>evelopers who are required to construct scheme works are reimburs</w:t>
      </w:r>
      <w:r w:rsidR="00784147">
        <w:rPr>
          <w:rFonts w:asciiTheme="minorHAnsi" w:hAnsiTheme="minorHAnsi"/>
          <w:sz w:val="22"/>
          <w:szCs w:val="22"/>
          <w:lang w:eastAsia="en-US"/>
        </w:rPr>
        <w:t xml:space="preserve">ed </w:t>
      </w:r>
      <w:r w:rsidRPr="00C7704D">
        <w:rPr>
          <w:rFonts w:asciiTheme="minorHAnsi" w:hAnsiTheme="minorHAnsi"/>
          <w:sz w:val="22"/>
          <w:szCs w:val="22"/>
          <w:lang w:eastAsia="en-US"/>
        </w:rPr>
        <w:t>according to the DSS from the contributions received in the scheme.</w:t>
      </w:r>
    </w:p>
    <w:p w:rsidR="00C7704D" w:rsidRPr="00C7704D" w:rsidRDefault="00C7704D" w:rsidP="00C7704D">
      <w:pPr>
        <w:rPr>
          <w:rFonts w:asciiTheme="minorHAnsi" w:hAnsiTheme="minorHAnsi"/>
          <w:sz w:val="22"/>
          <w:szCs w:val="22"/>
          <w:lang w:eastAsia="en-US"/>
        </w:rPr>
      </w:pPr>
      <w:r w:rsidRPr="00C7704D">
        <w:rPr>
          <w:rFonts w:asciiTheme="minorHAnsi" w:hAnsiTheme="minorHAnsi"/>
          <w:sz w:val="22"/>
          <w:szCs w:val="22"/>
          <w:lang w:eastAsia="en-US"/>
        </w:rPr>
        <w:lastRenderedPageBreak/>
        <w:t xml:space="preserve">A common set of objectives and hydraulic and environmental performance criteria are incorporated into the design of </w:t>
      </w:r>
      <w:r w:rsidR="00CE4BA6">
        <w:rPr>
          <w:rFonts w:asciiTheme="minorHAnsi" w:hAnsiTheme="minorHAnsi"/>
          <w:sz w:val="22"/>
          <w:szCs w:val="22"/>
          <w:lang w:eastAsia="en-US"/>
        </w:rPr>
        <w:t xml:space="preserve">DSSs.  These are outlined in </w:t>
      </w:r>
      <w:r w:rsidRPr="00CE4BA6">
        <w:rPr>
          <w:rFonts w:asciiTheme="minorHAnsi" w:hAnsiTheme="minorHAnsi"/>
          <w:i/>
          <w:sz w:val="22"/>
          <w:szCs w:val="22"/>
          <w:lang w:eastAsia="en-US"/>
        </w:rPr>
        <w:t>Principles for Provision of Waterway and Drai</w:t>
      </w:r>
      <w:r w:rsidR="00CE4BA6" w:rsidRPr="00CE4BA6">
        <w:rPr>
          <w:rFonts w:asciiTheme="minorHAnsi" w:hAnsiTheme="minorHAnsi"/>
          <w:i/>
          <w:sz w:val="22"/>
          <w:szCs w:val="22"/>
          <w:lang w:eastAsia="en-US"/>
        </w:rPr>
        <w:t>nage Services for Urban Growth</w:t>
      </w:r>
      <w:r w:rsidR="00074ECF">
        <w:rPr>
          <w:rFonts w:asciiTheme="minorHAnsi" w:hAnsiTheme="minorHAnsi"/>
          <w:i/>
          <w:sz w:val="22"/>
          <w:szCs w:val="22"/>
          <w:lang w:eastAsia="en-US"/>
        </w:rPr>
        <w:t xml:space="preserve"> </w:t>
      </w:r>
      <w:r w:rsidR="00074ECF">
        <w:rPr>
          <w:rFonts w:asciiTheme="minorHAnsi" w:hAnsiTheme="minorHAnsi"/>
          <w:sz w:val="22"/>
          <w:szCs w:val="22"/>
          <w:lang w:eastAsia="en-US"/>
        </w:rPr>
        <w:t>and include</w:t>
      </w:r>
      <w:r w:rsidR="005B1CE1">
        <w:rPr>
          <w:rFonts w:asciiTheme="minorHAnsi" w:hAnsiTheme="minorHAnsi"/>
          <w:sz w:val="22"/>
          <w:szCs w:val="22"/>
          <w:lang w:eastAsia="en-US"/>
        </w:rPr>
        <w:t xml:space="preserve"> the following</w:t>
      </w:r>
      <w:r w:rsidR="00CE4BA6">
        <w:rPr>
          <w:rFonts w:asciiTheme="minorHAnsi" w:hAnsiTheme="minorHAnsi"/>
          <w:sz w:val="22"/>
          <w:szCs w:val="22"/>
          <w:lang w:eastAsia="en-US"/>
        </w:rPr>
        <w:t>:</w:t>
      </w:r>
      <w:r w:rsidR="006E2749">
        <w:rPr>
          <w:rStyle w:val="FootnoteReference"/>
          <w:rFonts w:asciiTheme="minorHAnsi" w:hAnsiTheme="minorHAnsi"/>
          <w:sz w:val="22"/>
          <w:szCs w:val="22"/>
          <w:lang w:eastAsia="en-US"/>
        </w:rPr>
        <w:footnoteReference w:id="103"/>
      </w:r>
    </w:p>
    <w:p w:rsidR="00C7704D" w:rsidRPr="00C7704D" w:rsidRDefault="005B1CE1" w:rsidP="001F39E5">
      <w:pPr>
        <w:pStyle w:val="ListParagraph"/>
        <w:numPr>
          <w:ilvl w:val="0"/>
          <w:numId w:val="60"/>
        </w:numPr>
      </w:pPr>
      <w:r>
        <w:t>W</w:t>
      </w:r>
      <w:r w:rsidR="00C7704D" w:rsidRPr="00C7704D">
        <w:t xml:space="preserve">ater quality </w:t>
      </w:r>
      <w:r>
        <w:t>will be treated</w:t>
      </w:r>
      <w:r w:rsidR="00C7704D" w:rsidRPr="00C7704D">
        <w:t xml:space="preserve"> to </w:t>
      </w:r>
      <w:r w:rsidR="00074ECF">
        <w:t>best practice</w:t>
      </w:r>
      <w:r w:rsidR="00C7704D" w:rsidRPr="00C7704D">
        <w:t xml:space="preserve"> in accordance with </w:t>
      </w:r>
      <w:r w:rsidR="00C7704D" w:rsidRPr="00074ECF">
        <w:rPr>
          <w:i/>
        </w:rPr>
        <w:t>Best Practice Stormwater Management Guidelines</w:t>
      </w:r>
      <w:r>
        <w:t>.</w:t>
      </w:r>
      <w:r w:rsidR="00074ECF">
        <w:rPr>
          <w:rStyle w:val="FootnoteReference"/>
        </w:rPr>
        <w:footnoteReference w:id="104"/>
      </w:r>
      <w:r w:rsidR="00C7704D" w:rsidRPr="00C7704D">
        <w:t xml:space="preserve"> </w:t>
      </w:r>
    </w:p>
    <w:p w:rsidR="00C7704D" w:rsidRPr="00C7704D" w:rsidRDefault="005B1CE1" w:rsidP="001F39E5">
      <w:pPr>
        <w:pStyle w:val="ListParagraph"/>
        <w:numPr>
          <w:ilvl w:val="0"/>
          <w:numId w:val="60"/>
        </w:numPr>
      </w:pPr>
      <w:r>
        <w:t>A</w:t>
      </w:r>
      <w:r w:rsidR="00C7704D" w:rsidRPr="00C7704D">
        <w:t xml:space="preserve">ll new developments </w:t>
      </w:r>
      <w:r>
        <w:t xml:space="preserve">will </w:t>
      </w:r>
      <w:r w:rsidR="00C7704D" w:rsidRPr="00C7704D">
        <w:t xml:space="preserve">achieve current flood protection standards, </w:t>
      </w:r>
      <w:r w:rsidR="00DC5348">
        <w:t xml:space="preserve">generally being </w:t>
      </w:r>
      <w:r w:rsidR="00C7704D" w:rsidRPr="00C7704D">
        <w:t>1-in-</w:t>
      </w:r>
      <w:proofErr w:type="gramStart"/>
      <w:r w:rsidR="00C7704D" w:rsidRPr="00C7704D">
        <w:t>100 year</w:t>
      </w:r>
      <w:proofErr w:type="gramEnd"/>
      <w:r w:rsidR="00C7704D" w:rsidRPr="00C7704D">
        <w:t xml:space="preserve"> flood protection</w:t>
      </w:r>
      <w:r>
        <w:t>.</w:t>
      </w:r>
      <w:r w:rsidR="00C7704D" w:rsidRPr="00C7704D">
        <w:t xml:space="preserve"> </w:t>
      </w:r>
    </w:p>
    <w:p w:rsidR="00C7704D" w:rsidRPr="00C7704D" w:rsidRDefault="005B1CE1" w:rsidP="001F39E5">
      <w:pPr>
        <w:pStyle w:val="ListParagraph"/>
        <w:numPr>
          <w:ilvl w:val="0"/>
          <w:numId w:val="60"/>
        </w:numPr>
      </w:pPr>
      <w:r>
        <w:t>T</w:t>
      </w:r>
      <w:r w:rsidR="00193DF2">
        <w:t>he minor drainage system will</w:t>
      </w:r>
      <w:r w:rsidR="00C7704D" w:rsidRPr="00C7704D">
        <w:t xml:space="preserve"> have a capacity to cater for a 1-in-</w:t>
      </w:r>
      <w:proofErr w:type="gramStart"/>
      <w:r w:rsidR="00C7704D" w:rsidRPr="00C7704D">
        <w:t>5 year</w:t>
      </w:r>
      <w:proofErr w:type="gramEnd"/>
      <w:r w:rsidR="00C7704D" w:rsidRPr="00C7704D">
        <w:t xml:space="preserve"> storm event</w:t>
      </w:r>
      <w:r>
        <w:t>.</w:t>
      </w:r>
    </w:p>
    <w:p w:rsidR="00C7704D" w:rsidRPr="00C7704D" w:rsidRDefault="005B1CE1" w:rsidP="001F39E5">
      <w:pPr>
        <w:pStyle w:val="ListParagraph"/>
        <w:numPr>
          <w:ilvl w:val="0"/>
          <w:numId w:val="60"/>
        </w:numPr>
      </w:pPr>
      <w:r>
        <w:t>A</w:t>
      </w:r>
      <w:r w:rsidR="00C7704D" w:rsidRPr="00C7704D">
        <w:t>ssets are designed to a standard to the satisfacti</w:t>
      </w:r>
      <w:r w:rsidR="008A5B3F">
        <w:t xml:space="preserve">on of the ultimate asset owner, </w:t>
      </w:r>
      <w:r w:rsidR="00C7704D" w:rsidRPr="00C7704D">
        <w:t>usua</w:t>
      </w:r>
      <w:r>
        <w:t>lly Council or Melbourne Water.</w:t>
      </w:r>
    </w:p>
    <w:p w:rsidR="00C7704D" w:rsidRPr="00C7704D" w:rsidRDefault="005B1CE1" w:rsidP="001F39E5">
      <w:pPr>
        <w:pStyle w:val="ListParagraph"/>
        <w:numPr>
          <w:ilvl w:val="0"/>
          <w:numId w:val="60"/>
        </w:numPr>
      </w:pPr>
      <w:r>
        <w:t>A</w:t>
      </w:r>
      <w:r w:rsidR="00C7704D" w:rsidRPr="00C7704D">
        <w:t>ll landowners will receive</w:t>
      </w:r>
      <w:r w:rsidR="008A5B3F">
        <w:t xml:space="preserve"> an equivalent level of service</w:t>
      </w:r>
      <w:r>
        <w:t>.</w:t>
      </w:r>
    </w:p>
    <w:p w:rsidR="00C7704D" w:rsidRPr="00C7704D" w:rsidRDefault="005B1CE1" w:rsidP="001F39E5">
      <w:pPr>
        <w:pStyle w:val="ListParagraph"/>
        <w:numPr>
          <w:ilvl w:val="0"/>
          <w:numId w:val="60"/>
        </w:numPr>
      </w:pPr>
      <w:r>
        <w:t>A</w:t>
      </w:r>
      <w:r w:rsidR="00C7704D" w:rsidRPr="00C7704D">
        <w:t xml:space="preserve"> robust consultation process will govern the creation of </w:t>
      </w:r>
      <w:r>
        <w:t>DSSs.</w:t>
      </w:r>
      <w:r w:rsidR="00C7704D" w:rsidRPr="00C7704D">
        <w:t xml:space="preserve"> </w:t>
      </w:r>
    </w:p>
    <w:p w:rsidR="00C7704D" w:rsidRPr="00C7704D" w:rsidRDefault="005B1CE1" w:rsidP="001F39E5">
      <w:pPr>
        <w:pStyle w:val="ListParagraph"/>
        <w:numPr>
          <w:ilvl w:val="0"/>
          <w:numId w:val="60"/>
        </w:numPr>
      </w:pPr>
      <w:r>
        <w:t>T</w:t>
      </w:r>
      <w:r w:rsidR="00C7704D" w:rsidRPr="00C7704D">
        <w:t>he environmental, social (including heritage) and economic site</w:t>
      </w:r>
      <w:r>
        <w:t>-</w:t>
      </w:r>
      <w:r w:rsidR="00C7704D" w:rsidRPr="00C7704D">
        <w:t>specific and system</w:t>
      </w:r>
      <w:r>
        <w:t>-</w:t>
      </w:r>
      <w:r w:rsidR="00C7704D" w:rsidRPr="00C7704D">
        <w:t>wide values of waterways</w:t>
      </w:r>
      <w:r>
        <w:t xml:space="preserve"> will be protected</w:t>
      </w:r>
      <w:r w:rsidR="00C7704D" w:rsidRPr="00C7704D">
        <w:t xml:space="preserve">. </w:t>
      </w:r>
    </w:p>
    <w:p w:rsidR="00C7704D" w:rsidRDefault="00C7704D" w:rsidP="001F39E5">
      <w:pPr>
        <w:pStyle w:val="ListParagraph"/>
        <w:numPr>
          <w:ilvl w:val="0"/>
          <w:numId w:val="60"/>
        </w:numPr>
        <w:rPr>
          <w:rFonts w:ascii="Verdana" w:hAnsi="Verdana" w:cs="Interstate-Light"/>
          <w:sz w:val="20"/>
          <w:szCs w:val="20"/>
        </w:rPr>
      </w:pPr>
      <w:r w:rsidRPr="00C7704D">
        <w:t>DSS</w:t>
      </w:r>
      <w:r w:rsidR="00292800">
        <w:t>s</w:t>
      </w:r>
      <w:r w:rsidRPr="00C7704D">
        <w:t xml:space="preserve"> should propose infrastructure to service development that is optimal in terms of cost and performance.</w:t>
      </w:r>
    </w:p>
    <w:p w:rsidR="00A3537C" w:rsidRDefault="00A3537C" w:rsidP="00564B5F">
      <w:pPr>
        <w:rPr>
          <w:rFonts w:asciiTheme="minorHAnsi" w:hAnsiTheme="minorHAnsi"/>
          <w:sz w:val="22"/>
          <w:szCs w:val="22"/>
          <w:lang w:eastAsia="en-US"/>
        </w:rPr>
      </w:pPr>
      <w:r>
        <w:rPr>
          <w:rFonts w:asciiTheme="minorHAnsi" w:hAnsiTheme="minorHAnsi"/>
          <w:sz w:val="22"/>
          <w:szCs w:val="22"/>
          <w:lang w:eastAsia="en-US"/>
        </w:rPr>
        <w:t xml:space="preserve">DSSs are a conceptual design and provide for flexibility at functional design, subject to </w:t>
      </w:r>
      <w:r w:rsidR="0087416A">
        <w:rPr>
          <w:rFonts w:asciiTheme="minorHAnsi" w:hAnsiTheme="minorHAnsi"/>
          <w:sz w:val="22"/>
          <w:szCs w:val="22"/>
          <w:lang w:eastAsia="en-US"/>
        </w:rPr>
        <w:t xml:space="preserve">achievement of </w:t>
      </w:r>
      <w:r>
        <w:rPr>
          <w:rFonts w:asciiTheme="minorHAnsi" w:hAnsiTheme="minorHAnsi"/>
          <w:sz w:val="22"/>
          <w:szCs w:val="22"/>
          <w:lang w:eastAsia="en-US"/>
        </w:rPr>
        <w:t>the DSS design objectives</w:t>
      </w:r>
      <w:r w:rsidR="0087416A">
        <w:rPr>
          <w:rFonts w:asciiTheme="minorHAnsi" w:hAnsiTheme="minorHAnsi"/>
          <w:sz w:val="22"/>
          <w:szCs w:val="22"/>
          <w:lang w:eastAsia="en-US"/>
        </w:rPr>
        <w:t>.</w:t>
      </w:r>
    </w:p>
    <w:p w:rsidR="00A54F54" w:rsidRPr="00A3537C" w:rsidRDefault="00A54F54" w:rsidP="00564B5F">
      <w:pPr>
        <w:rPr>
          <w:rFonts w:asciiTheme="minorHAnsi" w:hAnsiTheme="minorHAnsi"/>
          <w:sz w:val="22"/>
          <w:szCs w:val="22"/>
          <w:lang w:eastAsia="en-US"/>
        </w:rPr>
      </w:pPr>
      <w:r>
        <w:rPr>
          <w:rFonts w:asciiTheme="minorHAnsi" w:hAnsiTheme="minorHAnsi"/>
          <w:sz w:val="22"/>
          <w:szCs w:val="22"/>
          <w:lang w:eastAsia="en-US"/>
        </w:rPr>
        <w:t>The design of DSSs is informed and guided by scientifically rigorous and industry-accepted reference documents.  These include:</w:t>
      </w:r>
    </w:p>
    <w:p w:rsidR="00A54F54" w:rsidRPr="00A54F54" w:rsidRDefault="00A54F54" w:rsidP="001F39E5">
      <w:pPr>
        <w:pStyle w:val="ListParagraph"/>
        <w:numPr>
          <w:ilvl w:val="0"/>
          <w:numId w:val="60"/>
        </w:numPr>
      </w:pPr>
      <w:r w:rsidRPr="001046A7">
        <w:rPr>
          <w:i/>
        </w:rPr>
        <w:t>Wetland Design Manual: design, construction and establishment of Wetlands</w:t>
      </w:r>
      <w:r w:rsidRPr="00A54F54">
        <w:t xml:space="preserve"> (Melbourne Water</w:t>
      </w:r>
      <w:r w:rsidR="00965E8E">
        <w:t>,</w:t>
      </w:r>
      <w:r w:rsidRPr="00A54F54">
        <w:t xml:space="preserve"> 2017)</w:t>
      </w:r>
      <w:r w:rsidR="00965E8E">
        <w:t>;</w:t>
      </w:r>
    </w:p>
    <w:p w:rsidR="00A54F54" w:rsidRPr="00A54F54" w:rsidRDefault="00A54F54" w:rsidP="001F39E5">
      <w:pPr>
        <w:pStyle w:val="ListParagraph"/>
        <w:numPr>
          <w:ilvl w:val="0"/>
          <w:numId w:val="60"/>
        </w:numPr>
      </w:pPr>
      <w:r w:rsidRPr="00965E8E">
        <w:rPr>
          <w:i/>
        </w:rPr>
        <w:t>Healthy Waterways Strategy: A Melbourne Water strategy for managing rivers, estuaries and wetlands</w:t>
      </w:r>
      <w:r w:rsidRPr="00A54F54">
        <w:t xml:space="preserve"> (Melbourne Water</w:t>
      </w:r>
      <w:r w:rsidR="00965E8E">
        <w:t>,</w:t>
      </w:r>
      <w:r w:rsidRPr="00A54F54">
        <w:t xml:space="preserve"> 2013)</w:t>
      </w:r>
      <w:r w:rsidR="00965E8E">
        <w:t>;</w:t>
      </w:r>
    </w:p>
    <w:p w:rsidR="00A54F54" w:rsidRPr="00A54F54" w:rsidRDefault="00A54F54" w:rsidP="001F39E5">
      <w:pPr>
        <w:pStyle w:val="ListParagraph"/>
        <w:numPr>
          <w:ilvl w:val="0"/>
          <w:numId w:val="60"/>
        </w:numPr>
      </w:pPr>
      <w:r w:rsidRPr="00965E8E">
        <w:rPr>
          <w:i/>
        </w:rPr>
        <w:t>MUSIC Guidelines: input parameters and modelling approaches for MUSIC users in Melbourne Water’s service area</w:t>
      </w:r>
      <w:r w:rsidRPr="00A54F54">
        <w:t xml:space="preserve"> (Melbourne Water</w:t>
      </w:r>
      <w:r w:rsidR="00965E8E">
        <w:t>,</w:t>
      </w:r>
      <w:r w:rsidRPr="00A54F54">
        <w:t xml:space="preserve"> 2016)</w:t>
      </w:r>
      <w:r w:rsidR="00965E8E">
        <w:t>;</w:t>
      </w:r>
    </w:p>
    <w:p w:rsidR="00A54F54" w:rsidRPr="00A54F54" w:rsidRDefault="00A54F54" w:rsidP="001F39E5">
      <w:pPr>
        <w:pStyle w:val="ListParagraph"/>
        <w:numPr>
          <w:ilvl w:val="0"/>
          <w:numId w:val="60"/>
        </w:numPr>
      </w:pPr>
      <w:r w:rsidRPr="00965E8E">
        <w:rPr>
          <w:i/>
        </w:rPr>
        <w:t>Waterway Corridors: guidelines for greenfield development areas within the Port Philip and Westernport Region</w:t>
      </w:r>
      <w:r w:rsidRPr="00A54F54">
        <w:t xml:space="preserve"> (Melbourne Water</w:t>
      </w:r>
      <w:r w:rsidR="00965E8E">
        <w:t>,</w:t>
      </w:r>
      <w:r w:rsidRPr="00A54F54">
        <w:t xml:space="preserve"> 2013)</w:t>
      </w:r>
      <w:r w:rsidR="00965E8E">
        <w:t>;</w:t>
      </w:r>
    </w:p>
    <w:p w:rsidR="00A54F54" w:rsidRPr="00A54F54" w:rsidRDefault="00965E8E" w:rsidP="001F39E5">
      <w:pPr>
        <w:pStyle w:val="ListParagraph"/>
        <w:numPr>
          <w:ilvl w:val="0"/>
          <w:numId w:val="60"/>
        </w:numPr>
      </w:pPr>
      <w:r>
        <w:t xml:space="preserve">support resources </w:t>
      </w:r>
      <w:r w:rsidR="00A54F54" w:rsidRPr="00A54F54">
        <w:t xml:space="preserve">available from the Melbourne Water </w:t>
      </w:r>
      <w:r>
        <w:t>‘Planning and Building’ website; and</w:t>
      </w:r>
      <w:r w:rsidR="00A54F54" w:rsidRPr="00A54F54">
        <w:t xml:space="preserve"> </w:t>
      </w:r>
    </w:p>
    <w:p w:rsidR="00A54F54" w:rsidRPr="00A54F54" w:rsidRDefault="00965E8E" w:rsidP="001F39E5">
      <w:pPr>
        <w:pStyle w:val="ListParagraph"/>
        <w:numPr>
          <w:ilvl w:val="0"/>
          <w:numId w:val="60"/>
        </w:numPr>
      </w:pPr>
      <w:r>
        <w:t>o</w:t>
      </w:r>
      <w:r w:rsidR="00A54F54" w:rsidRPr="00A54F54">
        <w:t>thers as appropriate to specific sites</w:t>
      </w:r>
      <w:r>
        <w:t>.</w:t>
      </w:r>
    </w:p>
    <w:p w:rsidR="00092658" w:rsidRPr="00092658" w:rsidRDefault="00092658" w:rsidP="00092658">
      <w:pPr>
        <w:rPr>
          <w:rFonts w:asciiTheme="minorHAnsi" w:hAnsiTheme="minorHAnsi"/>
          <w:sz w:val="22"/>
          <w:szCs w:val="22"/>
          <w:lang w:eastAsia="en-US"/>
        </w:rPr>
      </w:pPr>
      <w:r w:rsidRPr="00092658">
        <w:rPr>
          <w:rFonts w:asciiTheme="minorHAnsi" w:hAnsiTheme="minorHAnsi"/>
          <w:sz w:val="22"/>
          <w:szCs w:val="22"/>
          <w:lang w:eastAsia="en-US"/>
        </w:rPr>
        <w:t>Melbourne Water routinely undertakes background investigations to understand the site</w:t>
      </w:r>
      <w:r w:rsidR="00362A18">
        <w:rPr>
          <w:rFonts w:asciiTheme="minorHAnsi" w:hAnsiTheme="minorHAnsi"/>
          <w:sz w:val="22"/>
          <w:szCs w:val="22"/>
          <w:lang w:eastAsia="en-US"/>
        </w:rPr>
        <w:t>-</w:t>
      </w:r>
      <w:r w:rsidRPr="00092658">
        <w:rPr>
          <w:rFonts w:asciiTheme="minorHAnsi" w:hAnsiTheme="minorHAnsi"/>
          <w:sz w:val="22"/>
          <w:szCs w:val="22"/>
          <w:lang w:eastAsia="en-US"/>
        </w:rPr>
        <w:t>specific waterway form, values and conditions for those waterways contained within</w:t>
      </w:r>
      <w:r w:rsidR="0020481B">
        <w:rPr>
          <w:rFonts w:asciiTheme="minorHAnsi" w:hAnsiTheme="minorHAnsi"/>
          <w:sz w:val="22"/>
          <w:szCs w:val="22"/>
          <w:lang w:eastAsia="en-US"/>
        </w:rPr>
        <w:t xml:space="preserve"> a</w:t>
      </w:r>
      <w:r w:rsidRPr="00092658">
        <w:rPr>
          <w:rFonts w:asciiTheme="minorHAnsi" w:hAnsiTheme="minorHAnsi"/>
          <w:sz w:val="22"/>
          <w:szCs w:val="22"/>
          <w:lang w:eastAsia="en-US"/>
        </w:rPr>
        <w:t xml:space="preserve"> proposed DSS. </w:t>
      </w:r>
      <w:r w:rsidR="0020481B">
        <w:rPr>
          <w:rFonts w:asciiTheme="minorHAnsi" w:hAnsiTheme="minorHAnsi"/>
          <w:sz w:val="22"/>
          <w:szCs w:val="22"/>
          <w:lang w:eastAsia="en-US"/>
        </w:rPr>
        <w:t xml:space="preserve"> </w:t>
      </w:r>
      <w:r w:rsidRPr="00092658">
        <w:rPr>
          <w:rFonts w:asciiTheme="minorHAnsi" w:hAnsiTheme="minorHAnsi"/>
          <w:sz w:val="22"/>
          <w:szCs w:val="22"/>
          <w:lang w:eastAsia="en-US"/>
        </w:rPr>
        <w:t xml:space="preserve">These studies inform the design of the DSS. </w:t>
      </w:r>
    </w:p>
    <w:p w:rsidR="007046CF" w:rsidRDefault="00917139" w:rsidP="00564B5F">
      <w:pPr>
        <w:rPr>
          <w:rFonts w:asciiTheme="minorHAnsi" w:hAnsiTheme="minorHAnsi"/>
          <w:b/>
          <w:i/>
          <w:sz w:val="22"/>
          <w:szCs w:val="22"/>
          <w:lang w:eastAsia="en-US"/>
        </w:rPr>
      </w:pPr>
      <w:r>
        <w:rPr>
          <w:rFonts w:asciiTheme="minorHAnsi" w:hAnsiTheme="minorHAnsi"/>
          <w:b/>
          <w:i/>
          <w:sz w:val="22"/>
          <w:szCs w:val="22"/>
          <w:lang w:eastAsia="en-US"/>
        </w:rPr>
        <w:lastRenderedPageBreak/>
        <w:t>DSSs for the Sunbury South and Lancefield Road precincts</w:t>
      </w:r>
    </w:p>
    <w:p w:rsidR="00C2716C" w:rsidRPr="00C2716C" w:rsidRDefault="00C2716C" w:rsidP="00C2716C">
      <w:pPr>
        <w:rPr>
          <w:rFonts w:asciiTheme="minorHAnsi" w:hAnsiTheme="minorHAnsi"/>
          <w:sz w:val="22"/>
          <w:szCs w:val="22"/>
          <w:lang w:eastAsia="en-US"/>
        </w:rPr>
      </w:pPr>
      <w:r w:rsidRPr="00C2716C">
        <w:rPr>
          <w:rFonts w:asciiTheme="minorHAnsi" w:hAnsiTheme="minorHAnsi"/>
          <w:sz w:val="22"/>
          <w:szCs w:val="22"/>
          <w:lang w:eastAsia="en-US"/>
        </w:rPr>
        <w:t>Melbourne Water has been working with other agencies and authorities</w:t>
      </w:r>
      <w:r w:rsidR="00E140E2">
        <w:rPr>
          <w:rFonts w:asciiTheme="minorHAnsi" w:hAnsiTheme="minorHAnsi"/>
          <w:sz w:val="22"/>
          <w:szCs w:val="22"/>
          <w:lang w:eastAsia="en-US"/>
        </w:rPr>
        <w:t>,</w:t>
      </w:r>
      <w:r w:rsidRPr="00C2716C">
        <w:rPr>
          <w:rFonts w:asciiTheme="minorHAnsi" w:hAnsiTheme="minorHAnsi"/>
          <w:sz w:val="22"/>
          <w:szCs w:val="22"/>
          <w:lang w:eastAsia="en-US"/>
        </w:rPr>
        <w:t xml:space="preserve"> </w:t>
      </w:r>
      <w:r w:rsidR="00E140E2">
        <w:rPr>
          <w:rFonts w:asciiTheme="minorHAnsi" w:hAnsiTheme="minorHAnsi"/>
          <w:sz w:val="22"/>
          <w:szCs w:val="22"/>
          <w:lang w:eastAsia="en-US"/>
        </w:rPr>
        <w:t>including the VPA,</w:t>
      </w:r>
      <w:r w:rsidRPr="00C2716C">
        <w:rPr>
          <w:rFonts w:asciiTheme="minorHAnsi" w:hAnsiTheme="minorHAnsi"/>
          <w:sz w:val="22"/>
          <w:szCs w:val="22"/>
          <w:lang w:eastAsia="en-US"/>
        </w:rPr>
        <w:t xml:space="preserve"> since 2014 to design DSS</w:t>
      </w:r>
      <w:r w:rsidR="004F003D">
        <w:rPr>
          <w:rFonts w:asciiTheme="minorHAnsi" w:hAnsiTheme="minorHAnsi"/>
          <w:sz w:val="22"/>
          <w:szCs w:val="22"/>
          <w:lang w:eastAsia="en-US"/>
        </w:rPr>
        <w:t>s that respond to requirements in the Sunbury South and Lancefield Road areas, including in relation to planning controls, transport infrastructure alignment</w:t>
      </w:r>
      <w:r w:rsidR="00A50D7B">
        <w:rPr>
          <w:rFonts w:asciiTheme="minorHAnsi" w:hAnsiTheme="minorHAnsi"/>
          <w:sz w:val="22"/>
          <w:szCs w:val="22"/>
          <w:lang w:eastAsia="en-US"/>
        </w:rPr>
        <w:t>,</w:t>
      </w:r>
      <w:r w:rsidR="004F003D">
        <w:rPr>
          <w:rFonts w:asciiTheme="minorHAnsi" w:hAnsiTheme="minorHAnsi"/>
          <w:sz w:val="22"/>
          <w:szCs w:val="22"/>
          <w:lang w:eastAsia="en-US"/>
        </w:rPr>
        <w:t xml:space="preserve"> and conservation areas.</w:t>
      </w:r>
    </w:p>
    <w:p w:rsidR="00C2716C" w:rsidRPr="00DA5D3C" w:rsidRDefault="00C2716C" w:rsidP="00DA5D3C">
      <w:pPr>
        <w:rPr>
          <w:rFonts w:asciiTheme="minorHAnsi" w:hAnsiTheme="minorHAnsi"/>
          <w:sz w:val="22"/>
          <w:szCs w:val="22"/>
          <w:lang w:eastAsia="en-US"/>
        </w:rPr>
      </w:pPr>
      <w:r w:rsidRPr="00DA5D3C">
        <w:rPr>
          <w:rFonts w:asciiTheme="minorHAnsi" w:hAnsiTheme="minorHAnsi"/>
          <w:sz w:val="22"/>
          <w:szCs w:val="22"/>
          <w:lang w:eastAsia="en-US"/>
        </w:rPr>
        <w:t xml:space="preserve">The topography of the Sunbury area within the </w:t>
      </w:r>
      <w:r w:rsidR="005C63B7">
        <w:rPr>
          <w:rFonts w:asciiTheme="minorHAnsi" w:hAnsiTheme="minorHAnsi"/>
          <w:sz w:val="22"/>
          <w:szCs w:val="22"/>
          <w:lang w:eastAsia="en-US"/>
        </w:rPr>
        <w:t>precincts</w:t>
      </w:r>
      <w:r w:rsidRPr="00DA5D3C">
        <w:rPr>
          <w:rFonts w:asciiTheme="minorHAnsi" w:hAnsiTheme="minorHAnsi"/>
          <w:sz w:val="22"/>
          <w:szCs w:val="22"/>
          <w:lang w:eastAsia="en-US"/>
        </w:rPr>
        <w:t xml:space="preserve"> is generally characterised by stee</w:t>
      </w:r>
      <w:r w:rsidR="00A50D7B">
        <w:rPr>
          <w:rFonts w:asciiTheme="minorHAnsi" w:hAnsiTheme="minorHAnsi"/>
          <w:sz w:val="22"/>
          <w:szCs w:val="22"/>
          <w:lang w:eastAsia="en-US"/>
        </w:rPr>
        <w:t>p terraced escarpments and well-</w:t>
      </w:r>
      <w:r w:rsidRPr="00DA5D3C">
        <w:rPr>
          <w:rFonts w:asciiTheme="minorHAnsi" w:hAnsiTheme="minorHAnsi"/>
          <w:sz w:val="22"/>
          <w:szCs w:val="22"/>
          <w:lang w:eastAsia="en-US"/>
        </w:rPr>
        <w:t>incised waterway tributaries.</w:t>
      </w:r>
    </w:p>
    <w:p w:rsidR="00C2716C" w:rsidRPr="00DA5D3C" w:rsidRDefault="00C2716C" w:rsidP="00DA5D3C">
      <w:pPr>
        <w:rPr>
          <w:rFonts w:asciiTheme="minorHAnsi" w:hAnsiTheme="minorHAnsi"/>
          <w:sz w:val="22"/>
          <w:szCs w:val="22"/>
          <w:lang w:eastAsia="en-US"/>
        </w:rPr>
      </w:pPr>
      <w:r w:rsidRPr="00DA5D3C">
        <w:rPr>
          <w:rFonts w:asciiTheme="minorHAnsi" w:hAnsiTheme="minorHAnsi"/>
          <w:sz w:val="22"/>
          <w:szCs w:val="22"/>
          <w:lang w:eastAsia="en-US"/>
        </w:rPr>
        <w:t>The unique and sensitive environment of the greater Sunbury region resulted in numerous background investigations for the region being conducted by Melbourne W</w:t>
      </w:r>
      <w:r w:rsidR="00DA5D3C">
        <w:rPr>
          <w:rFonts w:asciiTheme="minorHAnsi" w:hAnsiTheme="minorHAnsi"/>
          <w:sz w:val="22"/>
          <w:szCs w:val="22"/>
          <w:lang w:eastAsia="en-US"/>
        </w:rPr>
        <w:t>ater and the VPA. These include:</w:t>
      </w:r>
    </w:p>
    <w:p w:rsidR="00C2716C" w:rsidRPr="00401CCC" w:rsidRDefault="00C2716C" w:rsidP="001F39E5">
      <w:pPr>
        <w:pStyle w:val="ListParagraph"/>
        <w:numPr>
          <w:ilvl w:val="0"/>
          <w:numId w:val="60"/>
        </w:numPr>
      </w:pPr>
      <w:r w:rsidRPr="00401CCC">
        <w:rPr>
          <w:i/>
        </w:rPr>
        <w:t xml:space="preserve">Final Assessment: riparian vegetation and geomorphology in the Sunbury growth area </w:t>
      </w:r>
      <w:r w:rsidRPr="00401CCC">
        <w:t>(Alluvium</w:t>
      </w:r>
      <w:r w:rsidR="00401CCC">
        <w:t>,</w:t>
      </w:r>
      <w:r w:rsidR="00734CA9">
        <w:t xml:space="preserve"> October 2014) – T</w:t>
      </w:r>
      <w:r w:rsidRPr="00401CCC">
        <w:t xml:space="preserve">his study assessed the fluvial geomorphology, riparian vegetation, cultural heritage and habitat values of tributaries within the Sunbury DSS areas. </w:t>
      </w:r>
      <w:r w:rsidR="004808A9">
        <w:t xml:space="preserve"> It</w:t>
      </w:r>
      <w:r w:rsidRPr="00401CCC">
        <w:t xml:space="preserve"> assigned both a geomorphic value and vegetation value to each reach of tributary within the study area. </w:t>
      </w:r>
    </w:p>
    <w:p w:rsidR="00C2716C" w:rsidRPr="00401CCC" w:rsidRDefault="00C2716C" w:rsidP="001F39E5">
      <w:pPr>
        <w:pStyle w:val="ListParagraph"/>
        <w:numPr>
          <w:ilvl w:val="0"/>
          <w:numId w:val="60"/>
        </w:numPr>
      </w:pPr>
      <w:r w:rsidRPr="00401CCC">
        <w:rPr>
          <w:i/>
        </w:rPr>
        <w:t>Erosion analysis classification for waterways around Sunbury</w:t>
      </w:r>
      <w:r w:rsidRPr="00401CCC">
        <w:t xml:space="preserve"> (Alluvium February 2015) – </w:t>
      </w:r>
      <w:r w:rsidR="006558F9">
        <w:t>T</w:t>
      </w:r>
      <w:r w:rsidRPr="00401CCC">
        <w:t xml:space="preserve">his study identified those tributaries which required more detailed erosion potential analysis. </w:t>
      </w:r>
    </w:p>
    <w:p w:rsidR="00C2716C" w:rsidRPr="00401CCC" w:rsidRDefault="00C2716C" w:rsidP="001F39E5">
      <w:pPr>
        <w:pStyle w:val="ListParagraph"/>
        <w:numPr>
          <w:ilvl w:val="0"/>
          <w:numId w:val="60"/>
        </w:numPr>
      </w:pPr>
      <w:r w:rsidRPr="00401CCC">
        <w:rPr>
          <w:i/>
        </w:rPr>
        <w:t>EPI and volumetric results, groups 1, 2 &amp; 3</w:t>
      </w:r>
      <w:r w:rsidRPr="00401CCC">
        <w:t xml:space="preserve"> </w:t>
      </w:r>
      <w:r w:rsidR="006558F9">
        <w:t>(Alluvium May 2015) – T</w:t>
      </w:r>
      <w:r w:rsidRPr="00401CCC">
        <w:t xml:space="preserve">his study identified a series of drainage options for flow management to preserve the physical integrity and manage the risk of large-scale erosion of waterways within the study area. </w:t>
      </w:r>
    </w:p>
    <w:p w:rsidR="00C2716C" w:rsidRPr="00401CCC" w:rsidRDefault="00C2716C" w:rsidP="001F39E5">
      <w:pPr>
        <w:pStyle w:val="ListParagraph"/>
        <w:numPr>
          <w:ilvl w:val="0"/>
          <w:numId w:val="60"/>
        </w:numPr>
      </w:pPr>
      <w:r w:rsidRPr="00401CCC">
        <w:rPr>
          <w:i/>
        </w:rPr>
        <w:t>Assessment of stormwater management challenges around Sunbury</w:t>
      </w:r>
      <w:r w:rsidRPr="00401CCC">
        <w:t xml:space="preserve"> </w:t>
      </w:r>
      <w:r w:rsidR="006558F9">
        <w:t>(Alluvium June 2015) – T</w:t>
      </w:r>
      <w:r w:rsidRPr="00401CCC">
        <w:t xml:space="preserve">his study, </w:t>
      </w:r>
      <w:proofErr w:type="gramStart"/>
      <w:r w:rsidRPr="00401CCC">
        <w:t>through the use of</w:t>
      </w:r>
      <w:proofErr w:type="gramEnd"/>
      <w:r w:rsidRPr="00401CCC">
        <w:t xml:space="preserve"> several case studies, investigated the level of risk of erosion to tributaries from stormwater runoff and identified appropriate DSS design objectives. </w:t>
      </w:r>
    </w:p>
    <w:p w:rsidR="00C2716C" w:rsidRPr="00E224CE" w:rsidRDefault="00C2716C" w:rsidP="00E224CE">
      <w:pPr>
        <w:rPr>
          <w:rFonts w:asciiTheme="minorHAnsi" w:hAnsiTheme="minorHAnsi"/>
          <w:b/>
          <w:i/>
          <w:sz w:val="22"/>
          <w:szCs w:val="22"/>
          <w:lang w:eastAsia="en-US"/>
        </w:rPr>
      </w:pPr>
      <w:r w:rsidRPr="00E224CE">
        <w:rPr>
          <w:rFonts w:asciiTheme="minorHAnsi" w:hAnsiTheme="minorHAnsi"/>
          <w:b/>
          <w:i/>
          <w:sz w:val="22"/>
          <w:szCs w:val="22"/>
          <w:lang w:eastAsia="en-US"/>
        </w:rPr>
        <w:t xml:space="preserve">Preliminary </w:t>
      </w:r>
      <w:r w:rsidR="00001C3E" w:rsidRPr="00E224CE">
        <w:rPr>
          <w:rFonts w:asciiTheme="minorHAnsi" w:hAnsiTheme="minorHAnsi"/>
          <w:b/>
          <w:i/>
          <w:sz w:val="22"/>
          <w:szCs w:val="22"/>
          <w:lang w:eastAsia="en-US"/>
        </w:rPr>
        <w:t>DSSs</w:t>
      </w:r>
    </w:p>
    <w:p w:rsidR="00E972A6" w:rsidRDefault="00E972A6" w:rsidP="00001C3E">
      <w:pPr>
        <w:rPr>
          <w:rFonts w:asciiTheme="minorHAnsi" w:hAnsiTheme="minorHAnsi"/>
          <w:sz w:val="22"/>
          <w:szCs w:val="22"/>
          <w:lang w:eastAsia="en-US"/>
        </w:rPr>
      </w:pPr>
      <w:r>
        <w:rPr>
          <w:rFonts w:asciiTheme="minorHAnsi" w:hAnsiTheme="minorHAnsi"/>
          <w:sz w:val="22"/>
          <w:szCs w:val="22"/>
          <w:lang w:eastAsia="en-US"/>
        </w:rPr>
        <w:t xml:space="preserve">Melbourne Water engaged </w:t>
      </w:r>
      <w:proofErr w:type="spellStart"/>
      <w:r>
        <w:rPr>
          <w:rFonts w:asciiTheme="minorHAnsi" w:hAnsiTheme="minorHAnsi"/>
          <w:sz w:val="22"/>
          <w:szCs w:val="22"/>
          <w:lang w:eastAsia="en-US"/>
        </w:rPr>
        <w:t>Engeny</w:t>
      </w:r>
      <w:proofErr w:type="spellEnd"/>
      <w:r>
        <w:rPr>
          <w:rFonts w:asciiTheme="minorHAnsi" w:hAnsiTheme="minorHAnsi"/>
          <w:sz w:val="22"/>
          <w:szCs w:val="22"/>
          <w:lang w:eastAsia="en-US"/>
        </w:rPr>
        <w:t xml:space="preserve"> Water Management and Alluvium in respect of the </w:t>
      </w:r>
      <w:r w:rsidR="00F06E4A">
        <w:rPr>
          <w:rFonts w:asciiTheme="minorHAnsi" w:hAnsiTheme="minorHAnsi"/>
          <w:sz w:val="22"/>
          <w:szCs w:val="22"/>
          <w:lang w:eastAsia="en-US"/>
        </w:rPr>
        <w:t xml:space="preserve">Lancefield </w:t>
      </w:r>
      <w:r>
        <w:rPr>
          <w:rFonts w:asciiTheme="minorHAnsi" w:hAnsiTheme="minorHAnsi"/>
          <w:sz w:val="22"/>
          <w:szCs w:val="22"/>
          <w:lang w:eastAsia="en-US"/>
        </w:rPr>
        <w:t>Road PSP and Sunbury South PSP respectively, to prepare the proposed DSSs, based on Melbourne Water’s requirements, the scientific investigations and industry-accepted reference documents.</w:t>
      </w:r>
    </w:p>
    <w:p w:rsidR="00C2716C" w:rsidRDefault="00C2716C" w:rsidP="00001C3E">
      <w:pPr>
        <w:rPr>
          <w:rFonts w:asciiTheme="minorHAnsi" w:hAnsiTheme="minorHAnsi"/>
          <w:sz w:val="22"/>
          <w:szCs w:val="22"/>
          <w:lang w:eastAsia="en-US"/>
        </w:rPr>
      </w:pPr>
      <w:proofErr w:type="spellStart"/>
      <w:r w:rsidRPr="00001C3E">
        <w:rPr>
          <w:rFonts w:asciiTheme="minorHAnsi" w:hAnsiTheme="minorHAnsi"/>
          <w:sz w:val="22"/>
          <w:szCs w:val="22"/>
          <w:lang w:eastAsia="en-US"/>
        </w:rPr>
        <w:t>Engeny</w:t>
      </w:r>
      <w:proofErr w:type="spellEnd"/>
      <w:r w:rsidRPr="00001C3E">
        <w:rPr>
          <w:rFonts w:asciiTheme="minorHAnsi" w:hAnsiTheme="minorHAnsi"/>
          <w:sz w:val="22"/>
          <w:szCs w:val="22"/>
          <w:lang w:eastAsia="en-US"/>
        </w:rPr>
        <w:t xml:space="preserve"> Consulting and Alluvium Consulting (Lancefield Road and Sunbury South respectively) were engaged to prepare the proposed DSS based on Melbourne Water DSS requirements from rigorous scientific investigations and industry accepted reference documents.</w:t>
      </w:r>
    </w:p>
    <w:p w:rsidR="007F6B33" w:rsidRPr="007F6B33" w:rsidRDefault="007F6B33" w:rsidP="00001C3E">
      <w:pPr>
        <w:rPr>
          <w:rFonts w:asciiTheme="minorHAnsi" w:hAnsiTheme="minorHAnsi"/>
          <w:sz w:val="22"/>
          <w:szCs w:val="22"/>
          <w:lang w:eastAsia="en-US"/>
        </w:rPr>
      </w:pPr>
      <w:r>
        <w:rPr>
          <w:rFonts w:asciiTheme="minorHAnsi" w:hAnsiTheme="minorHAnsi"/>
          <w:sz w:val="22"/>
          <w:szCs w:val="22"/>
          <w:lang w:eastAsia="en-US"/>
        </w:rPr>
        <w:t xml:space="preserve">The VPA provided the </w:t>
      </w:r>
      <w:r>
        <w:rPr>
          <w:rFonts w:asciiTheme="minorHAnsi" w:hAnsiTheme="minorHAnsi"/>
          <w:i/>
          <w:sz w:val="22"/>
          <w:szCs w:val="22"/>
          <w:lang w:eastAsia="en-US"/>
        </w:rPr>
        <w:t xml:space="preserve">Draft DSS Water Quality Assets and Waterway Corridors Over Exhibited Future Urban Structure </w:t>
      </w:r>
      <w:r>
        <w:rPr>
          <w:rFonts w:asciiTheme="minorHAnsi" w:hAnsiTheme="minorHAnsi"/>
          <w:sz w:val="22"/>
          <w:szCs w:val="22"/>
          <w:lang w:eastAsia="en-US"/>
        </w:rPr>
        <w:t xml:space="preserve">to landowners and </w:t>
      </w:r>
      <w:r w:rsidR="00641625">
        <w:rPr>
          <w:rFonts w:asciiTheme="minorHAnsi" w:hAnsiTheme="minorHAnsi"/>
          <w:sz w:val="22"/>
          <w:szCs w:val="22"/>
          <w:lang w:eastAsia="en-US"/>
        </w:rPr>
        <w:t>relevant submitters by letter dated 27 J</w:t>
      </w:r>
      <w:r w:rsidR="00CB578A">
        <w:rPr>
          <w:rFonts w:asciiTheme="minorHAnsi" w:hAnsiTheme="minorHAnsi"/>
          <w:sz w:val="22"/>
          <w:szCs w:val="22"/>
          <w:lang w:eastAsia="en-US"/>
        </w:rPr>
        <w:t>une</w:t>
      </w:r>
      <w:r w:rsidR="00641625">
        <w:rPr>
          <w:rFonts w:asciiTheme="minorHAnsi" w:hAnsiTheme="minorHAnsi"/>
          <w:sz w:val="22"/>
          <w:szCs w:val="22"/>
          <w:lang w:eastAsia="en-US"/>
        </w:rPr>
        <w:t xml:space="preserve"> 2017.  These plans show the conceptual location of assets for each PSP.</w:t>
      </w:r>
    </w:p>
    <w:p w:rsidR="00CF18E1" w:rsidRDefault="00CF18E1" w:rsidP="00564B5F">
      <w:pPr>
        <w:rPr>
          <w:rFonts w:asciiTheme="minorHAnsi" w:hAnsiTheme="minorHAnsi"/>
          <w:sz w:val="22"/>
          <w:szCs w:val="22"/>
          <w:lang w:eastAsia="en-US"/>
        </w:rPr>
      </w:pPr>
      <w:r>
        <w:rPr>
          <w:rFonts w:asciiTheme="minorHAnsi" w:hAnsiTheme="minorHAnsi"/>
          <w:sz w:val="22"/>
          <w:szCs w:val="22"/>
          <w:lang w:eastAsia="en-US"/>
        </w:rPr>
        <w:lastRenderedPageBreak/>
        <w:t xml:space="preserve">The VPA </w:t>
      </w:r>
      <w:r w:rsidR="00027F98">
        <w:rPr>
          <w:rFonts w:asciiTheme="minorHAnsi" w:hAnsiTheme="minorHAnsi"/>
          <w:sz w:val="22"/>
          <w:szCs w:val="22"/>
          <w:lang w:eastAsia="en-US"/>
        </w:rPr>
        <w:t xml:space="preserve">also </w:t>
      </w:r>
      <w:r>
        <w:rPr>
          <w:rFonts w:asciiTheme="minorHAnsi" w:hAnsiTheme="minorHAnsi"/>
          <w:sz w:val="22"/>
          <w:szCs w:val="22"/>
          <w:lang w:eastAsia="en-US"/>
        </w:rPr>
        <w:t xml:space="preserve">relies on the expert evidence of Dr Blackham, Mr Gilmore and Mr Clemson in relation to drainage matters.  </w:t>
      </w:r>
    </w:p>
    <w:p w:rsidR="00EA582E" w:rsidRPr="008A324C" w:rsidRDefault="00545227" w:rsidP="00545227">
      <w:pPr>
        <w:pStyle w:val="Heading2"/>
        <w:rPr>
          <w:rFonts w:asciiTheme="minorHAnsi" w:hAnsiTheme="minorHAnsi"/>
          <w:b/>
        </w:rPr>
      </w:pPr>
      <w:bookmarkStart w:id="22" w:name="_Toc491027658"/>
      <w:r w:rsidRPr="008A324C">
        <w:rPr>
          <w:rFonts w:asciiTheme="minorHAnsi" w:hAnsiTheme="minorHAnsi"/>
          <w:b/>
        </w:rPr>
        <w:t xml:space="preserve">Concept plans </w:t>
      </w:r>
      <w:r w:rsidR="00B955D3" w:rsidRPr="008A324C">
        <w:rPr>
          <w:rFonts w:asciiTheme="minorHAnsi" w:hAnsiTheme="minorHAnsi"/>
          <w:b/>
        </w:rPr>
        <w:t xml:space="preserve">and </w:t>
      </w:r>
      <w:r w:rsidR="00D10D68">
        <w:rPr>
          <w:rFonts w:asciiTheme="minorHAnsi" w:hAnsiTheme="minorHAnsi"/>
          <w:b/>
        </w:rPr>
        <w:t>additional cross-sections</w:t>
      </w:r>
      <w:bookmarkEnd w:id="22"/>
      <w:r w:rsidR="00B955D3" w:rsidRPr="008A324C">
        <w:rPr>
          <w:rFonts w:asciiTheme="minorHAnsi" w:hAnsiTheme="minorHAnsi"/>
          <w:b/>
        </w:rPr>
        <w:t xml:space="preserve"> </w:t>
      </w:r>
    </w:p>
    <w:p w:rsidR="00F77312" w:rsidRDefault="00F77312" w:rsidP="00F77312">
      <w:pPr>
        <w:rPr>
          <w:rFonts w:asciiTheme="minorHAnsi" w:hAnsiTheme="minorHAnsi"/>
          <w:i/>
          <w:sz w:val="22"/>
          <w:lang w:eastAsia="en-US"/>
        </w:rPr>
      </w:pPr>
      <w:r>
        <w:rPr>
          <w:rFonts w:asciiTheme="minorHAnsi" w:hAnsiTheme="minorHAnsi"/>
          <w:i/>
          <w:sz w:val="22"/>
          <w:lang w:eastAsia="en-US"/>
        </w:rPr>
        <w:t>Sunbury South PSP (C207) – Submissions</w:t>
      </w:r>
      <w:r w:rsidR="00AD3F2B">
        <w:rPr>
          <w:rFonts w:asciiTheme="minorHAnsi" w:hAnsiTheme="minorHAnsi"/>
          <w:i/>
          <w:sz w:val="22"/>
          <w:lang w:eastAsia="en-US"/>
        </w:rPr>
        <w:t xml:space="preserve"> 24 (E Brogan</w:t>
      </w:r>
      <w:r w:rsidR="005376C3">
        <w:rPr>
          <w:rFonts w:asciiTheme="minorHAnsi" w:hAnsiTheme="minorHAnsi"/>
          <w:i/>
          <w:sz w:val="22"/>
          <w:lang w:eastAsia="en-US"/>
        </w:rPr>
        <w:t>);</w:t>
      </w:r>
      <w:r>
        <w:rPr>
          <w:rFonts w:asciiTheme="minorHAnsi" w:hAnsiTheme="minorHAnsi"/>
          <w:i/>
          <w:sz w:val="22"/>
          <w:lang w:eastAsia="en-US"/>
        </w:rPr>
        <w:t xml:space="preserve"> </w:t>
      </w:r>
      <w:r w:rsidR="002D0A72">
        <w:rPr>
          <w:rFonts w:asciiTheme="minorHAnsi" w:hAnsiTheme="minorHAnsi"/>
          <w:i/>
          <w:sz w:val="22"/>
          <w:lang w:eastAsia="en-US"/>
        </w:rPr>
        <w:t xml:space="preserve">48 (R and R </w:t>
      </w:r>
      <w:proofErr w:type="spellStart"/>
      <w:r w:rsidR="002D0A72">
        <w:rPr>
          <w:rFonts w:asciiTheme="minorHAnsi" w:hAnsiTheme="minorHAnsi"/>
          <w:i/>
          <w:sz w:val="22"/>
          <w:lang w:eastAsia="en-US"/>
        </w:rPr>
        <w:t>Mezzatesta</w:t>
      </w:r>
      <w:proofErr w:type="spellEnd"/>
      <w:r w:rsidR="002D0A72">
        <w:rPr>
          <w:rFonts w:asciiTheme="minorHAnsi" w:hAnsiTheme="minorHAnsi"/>
          <w:i/>
          <w:sz w:val="22"/>
          <w:lang w:eastAsia="en-US"/>
        </w:rPr>
        <w:t xml:space="preserve">); </w:t>
      </w:r>
      <w:r w:rsidR="00C90BF9">
        <w:rPr>
          <w:rFonts w:asciiTheme="minorHAnsi" w:hAnsiTheme="minorHAnsi"/>
          <w:i/>
          <w:sz w:val="22"/>
          <w:lang w:eastAsia="en-US"/>
        </w:rPr>
        <w:t>56 (SB Capital)</w:t>
      </w:r>
      <w:r w:rsidR="005376C3">
        <w:rPr>
          <w:rFonts w:asciiTheme="minorHAnsi" w:hAnsiTheme="minorHAnsi"/>
          <w:i/>
          <w:sz w:val="22"/>
          <w:lang w:eastAsia="en-US"/>
        </w:rPr>
        <w:t>;</w:t>
      </w:r>
      <w:r w:rsidR="00C90BF9">
        <w:rPr>
          <w:rFonts w:asciiTheme="minorHAnsi" w:hAnsiTheme="minorHAnsi"/>
          <w:i/>
          <w:sz w:val="22"/>
          <w:lang w:eastAsia="en-US"/>
        </w:rPr>
        <w:t xml:space="preserve"> </w:t>
      </w:r>
      <w:r>
        <w:rPr>
          <w:rFonts w:asciiTheme="minorHAnsi" w:hAnsiTheme="minorHAnsi"/>
          <w:i/>
          <w:sz w:val="22"/>
          <w:lang w:eastAsia="en-US"/>
        </w:rPr>
        <w:t>57 (Hume City Council);</w:t>
      </w:r>
      <w:r w:rsidR="00607070">
        <w:rPr>
          <w:rFonts w:asciiTheme="minorHAnsi" w:hAnsiTheme="minorHAnsi"/>
          <w:i/>
          <w:sz w:val="22"/>
          <w:lang w:eastAsia="en-US"/>
        </w:rPr>
        <w:t xml:space="preserve"> </w:t>
      </w:r>
      <w:r w:rsidR="007C585C">
        <w:rPr>
          <w:rFonts w:asciiTheme="minorHAnsi" w:hAnsiTheme="minorHAnsi"/>
          <w:i/>
          <w:sz w:val="22"/>
          <w:lang w:eastAsia="en-US"/>
        </w:rPr>
        <w:t xml:space="preserve">75 (Capitol Property Group); </w:t>
      </w:r>
      <w:r w:rsidR="0074480B">
        <w:rPr>
          <w:rFonts w:asciiTheme="minorHAnsi" w:hAnsiTheme="minorHAnsi"/>
          <w:i/>
          <w:sz w:val="22"/>
          <w:lang w:eastAsia="en-US"/>
        </w:rPr>
        <w:t>84 (</w:t>
      </w:r>
      <w:proofErr w:type="spellStart"/>
      <w:r w:rsidR="0074480B">
        <w:rPr>
          <w:rFonts w:asciiTheme="minorHAnsi" w:hAnsiTheme="minorHAnsi"/>
          <w:i/>
          <w:sz w:val="22"/>
          <w:lang w:eastAsia="en-US"/>
        </w:rPr>
        <w:t>Kolceg</w:t>
      </w:r>
      <w:proofErr w:type="spellEnd"/>
      <w:r w:rsidR="0074480B">
        <w:rPr>
          <w:rFonts w:asciiTheme="minorHAnsi" w:hAnsiTheme="minorHAnsi"/>
          <w:i/>
          <w:sz w:val="22"/>
          <w:lang w:eastAsia="en-US"/>
        </w:rPr>
        <w:t xml:space="preserve"> Family); 85 (I, D, N and L </w:t>
      </w:r>
      <w:proofErr w:type="spellStart"/>
      <w:r w:rsidR="0074480B">
        <w:rPr>
          <w:rFonts w:asciiTheme="minorHAnsi" w:hAnsiTheme="minorHAnsi"/>
          <w:i/>
          <w:sz w:val="22"/>
          <w:lang w:eastAsia="en-US"/>
        </w:rPr>
        <w:t>Kolceg</w:t>
      </w:r>
      <w:proofErr w:type="spellEnd"/>
      <w:r w:rsidR="0074480B">
        <w:rPr>
          <w:rFonts w:asciiTheme="minorHAnsi" w:hAnsiTheme="minorHAnsi"/>
          <w:i/>
          <w:sz w:val="22"/>
          <w:lang w:eastAsia="en-US"/>
        </w:rPr>
        <w:t xml:space="preserve">); </w:t>
      </w:r>
      <w:r w:rsidR="00607070">
        <w:rPr>
          <w:rFonts w:asciiTheme="minorHAnsi" w:hAnsiTheme="minorHAnsi"/>
          <w:i/>
          <w:sz w:val="22"/>
          <w:lang w:eastAsia="en-US"/>
        </w:rPr>
        <w:t>89 (</w:t>
      </w:r>
      <w:proofErr w:type="spellStart"/>
      <w:r w:rsidR="00607070">
        <w:rPr>
          <w:rFonts w:asciiTheme="minorHAnsi" w:hAnsiTheme="minorHAnsi"/>
          <w:i/>
          <w:sz w:val="22"/>
          <w:lang w:eastAsia="en-US"/>
        </w:rPr>
        <w:t>Oreana</w:t>
      </w:r>
      <w:proofErr w:type="spellEnd"/>
      <w:r w:rsidR="00607070">
        <w:rPr>
          <w:rFonts w:asciiTheme="minorHAnsi" w:hAnsiTheme="minorHAnsi"/>
          <w:i/>
          <w:sz w:val="22"/>
          <w:lang w:eastAsia="en-US"/>
        </w:rPr>
        <w:t xml:space="preserve"> Project Management Pty Ltd)</w:t>
      </w:r>
      <w:r>
        <w:rPr>
          <w:rFonts w:asciiTheme="minorHAnsi" w:hAnsiTheme="minorHAnsi"/>
          <w:i/>
          <w:sz w:val="22"/>
          <w:lang w:eastAsia="en-US"/>
        </w:rPr>
        <w:t xml:space="preserve"> </w:t>
      </w:r>
    </w:p>
    <w:p w:rsidR="00412EF8" w:rsidRDefault="00412EF8" w:rsidP="00412EF8">
      <w:pPr>
        <w:rPr>
          <w:rFonts w:asciiTheme="minorHAnsi" w:hAnsiTheme="minorHAnsi"/>
          <w:i/>
          <w:sz w:val="22"/>
          <w:lang w:eastAsia="en-US"/>
        </w:rPr>
      </w:pPr>
      <w:r>
        <w:rPr>
          <w:rFonts w:asciiTheme="minorHAnsi" w:hAnsiTheme="minorHAnsi"/>
          <w:i/>
          <w:sz w:val="22"/>
          <w:lang w:eastAsia="en-US"/>
        </w:rPr>
        <w:t>Lancefield Road PSP (C208) – Submission</w:t>
      </w:r>
      <w:r w:rsidR="00F124F3">
        <w:rPr>
          <w:rFonts w:asciiTheme="minorHAnsi" w:hAnsiTheme="minorHAnsi"/>
          <w:i/>
          <w:sz w:val="22"/>
          <w:lang w:eastAsia="en-US"/>
        </w:rPr>
        <w:t>s</w:t>
      </w:r>
      <w:r>
        <w:rPr>
          <w:rFonts w:asciiTheme="minorHAnsi" w:hAnsiTheme="minorHAnsi"/>
          <w:i/>
          <w:sz w:val="22"/>
          <w:lang w:eastAsia="en-US"/>
        </w:rPr>
        <w:t xml:space="preserve"> </w:t>
      </w:r>
      <w:r w:rsidR="00AD3F2B">
        <w:rPr>
          <w:rFonts w:asciiTheme="minorHAnsi" w:hAnsiTheme="minorHAnsi"/>
          <w:i/>
          <w:sz w:val="22"/>
          <w:lang w:eastAsia="en-US"/>
        </w:rPr>
        <w:t>17 (E Brogan</w:t>
      </w:r>
      <w:r w:rsidR="005376C3">
        <w:rPr>
          <w:rFonts w:asciiTheme="minorHAnsi" w:hAnsiTheme="minorHAnsi"/>
          <w:i/>
          <w:sz w:val="22"/>
          <w:lang w:eastAsia="en-US"/>
        </w:rPr>
        <w:t xml:space="preserve">); </w:t>
      </w:r>
      <w:r>
        <w:rPr>
          <w:rFonts w:asciiTheme="minorHAnsi" w:hAnsiTheme="minorHAnsi"/>
          <w:i/>
          <w:sz w:val="22"/>
          <w:lang w:eastAsia="en-US"/>
        </w:rPr>
        <w:t>54 (Hume City Council)</w:t>
      </w:r>
      <w:r w:rsidR="00F124F3">
        <w:rPr>
          <w:rFonts w:asciiTheme="minorHAnsi" w:hAnsiTheme="minorHAnsi"/>
          <w:i/>
          <w:sz w:val="22"/>
          <w:lang w:eastAsia="en-US"/>
        </w:rPr>
        <w:t>; 56 (295 Lancefield Road JV Pty Ltd)</w:t>
      </w:r>
      <w:r w:rsidR="002D6C82">
        <w:rPr>
          <w:rFonts w:asciiTheme="minorHAnsi" w:hAnsiTheme="minorHAnsi"/>
          <w:i/>
          <w:sz w:val="22"/>
          <w:lang w:eastAsia="en-US"/>
        </w:rPr>
        <w:t>; 91 (</w:t>
      </w:r>
      <w:proofErr w:type="spellStart"/>
      <w:r w:rsidR="002D6C82">
        <w:rPr>
          <w:rFonts w:asciiTheme="minorHAnsi" w:hAnsiTheme="minorHAnsi"/>
          <w:i/>
          <w:sz w:val="22"/>
          <w:lang w:eastAsia="en-US"/>
        </w:rPr>
        <w:t>Foschia</w:t>
      </w:r>
      <w:proofErr w:type="spellEnd"/>
      <w:r w:rsidR="002D6C82">
        <w:rPr>
          <w:rFonts w:asciiTheme="minorHAnsi" w:hAnsiTheme="minorHAnsi"/>
          <w:i/>
          <w:sz w:val="22"/>
          <w:lang w:eastAsia="en-US"/>
        </w:rPr>
        <w:t xml:space="preserve"> Family)</w:t>
      </w:r>
    </w:p>
    <w:p w:rsidR="00E469C1" w:rsidRDefault="00E469C1" w:rsidP="00E469C1">
      <w:pPr>
        <w:rPr>
          <w:rFonts w:asciiTheme="minorHAnsi" w:hAnsiTheme="minorHAnsi"/>
          <w:sz w:val="22"/>
          <w:szCs w:val="22"/>
          <w:lang w:eastAsia="en-US"/>
        </w:rPr>
      </w:pPr>
      <w:r w:rsidRPr="00E469C1">
        <w:rPr>
          <w:rFonts w:asciiTheme="minorHAnsi" w:hAnsiTheme="minorHAnsi"/>
          <w:sz w:val="22"/>
          <w:szCs w:val="22"/>
          <w:lang w:eastAsia="en-US"/>
        </w:rPr>
        <w:t>The exhibited PSPs contained concept plans for town centres and residential areas where the VPA deemed that additional guidance may be needed due to topographical challenges or site constraints</w:t>
      </w:r>
      <w:r w:rsidR="00833BA2">
        <w:rPr>
          <w:rFonts w:asciiTheme="minorHAnsi" w:hAnsiTheme="minorHAnsi"/>
          <w:sz w:val="22"/>
          <w:szCs w:val="22"/>
          <w:lang w:eastAsia="en-US"/>
        </w:rPr>
        <w:t>,</w:t>
      </w:r>
      <w:r w:rsidRPr="00E469C1">
        <w:rPr>
          <w:rFonts w:asciiTheme="minorHAnsi" w:hAnsiTheme="minorHAnsi"/>
          <w:sz w:val="22"/>
          <w:szCs w:val="22"/>
          <w:lang w:eastAsia="en-US"/>
        </w:rPr>
        <w:t xml:space="preserve"> such as land fragmentation or access. </w:t>
      </w:r>
    </w:p>
    <w:p w:rsidR="006C7C81" w:rsidRDefault="00833BA2" w:rsidP="00412EF8">
      <w:pPr>
        <w:rPr>
          <w:rFonts w:asciiTheme="minorHAnsi" w:hAnsiTheme="minorHAnsi"/>
          <w:sz w:val="22"/>
          <w:szCs w:val="22"/>
          <w:lang w:eastAsia="en-US"/>
        </w:rPr>
      </w:pPr>
      <w:r>
        <w:rPr>
          <w:rFonts w:asciiTheme="minorHAnsi" w:hAnsiTheme="minorHAnsi"/>
          <w:sz w:val="22"/>
          <w:szCs w:val="22"/>
          <w:lang w:eastAsia="en-US"/>
        </w:rPr>
        <w:t>The VPA received submissions in relati</w:t>
      </w:r>
      <w:r w:rsidR="00B257C1">
        <w:rPr>
          <w:rFonts w:asciiTheme="minorHAnsi" w:hAnsiTheme="minorHAnsi"/>
          <w:sz w:val="22"/>
          <w:szCs w:val="22"/>
          <w:lang w:eastAsia="en-US"/>
        </w:rPr>
        <w:t xml:space="preserve">on to each of the concept plans, including from Council.  </w:t>
      </w:r>
    </w:p>
    <w:p w:rsidR="00605880" w:rsidRDefault="00833BA2" w:rsidP="00605880">
      <w:pPr>
        <w:rPr>
          <w:rFonts w:asciiTheme="minorHAnsi" w:hAnsiTheme="minorHAnsi"/>
          <w:sz w:val="22"/>
          <w:szCs w:val="22"/>
          <w:lang w:eastAsia="en-US"/>
        </w:rPr>
      </w:pPr>
      <w:r>
        <w:rPr>
          <w:rFonts w:asciiTheme="minorHAnsi" w:hAnsiTheme="minorHAnsi"/>
          <w:sz w:val="22"/>
          <w:szCs w:val="22"/>
          <w:lang w:eastAsia="en-US"/>
        </w:rPr>
        <w:t>The VPA has now revised those concept plans in re</w:t>
      </w:r>
      <w:r w:rsidR="002A0C8D">
        <w:rPr>
          <w:rFonts w:asciiTheme="minorHAnsi" w:hAnsiTheme="minorHAnsi"/>
          <w:sz w:val="22"/>
          <w:szCs w:val="22"/>
          <w:lang w:eastAsia="en-US"/>
        </w:rPr>
        <w:t xml:space="preserve">sponse to submissions and further consultation. </w:t>
      </w:r>
      <w:r w:rsidR="00605880">
        <w:rPr>
          <w:rFonts w:asciiTheme="minorHAnsi" w:hAnsiTheme="minorHAnsi"/>
          <w:sz w:val="22"/>
          <w:szCs w:val="22"/>
          <w:lang w:eastAsia="en-US"/>
        </w:rPr>
        <w:t xml:space="preserve">The VPA has worked productively with affected submitters in relation to these plans and will continue to do so.  </w:t>
      </w:r>
    </w:p>
    <w:p w:rsidR="00347B6B" w:rsidRDefault="00533EB8" w:rsidP="00412EF8">
      <w:pPr>
        <w:rPr>
          <w:rFonts w:asciiTheme="minorHAnsi" w:hAnsiTheme="minorHAnsi"/>
          <w:sz w:val="22"/>
          <w:szCs w:val="22"/>
          <w:lang w:eastAsia="en-US"/>
        </w:rPr>
      </w:pPr>
      <w:r>
        <w:rPr>
          <w:rFonts w:asciiTheme="minorHAnsi" w:hAnsiTheme="minorHAnsi"/>
          <w:sz w:val="22"/>
          <w:szCs w:val="22"/>
          <w:lang w:eastAsia="en-US"/>
        </w:rPr>
        <w:t xml:space="preserve">Council is calling Julia Bell of David Lock Associates on urban design in relation to the exhibited and revised concept plans.   </w:t>
      </w:r>
    </w:p>
    <w:p w:rsidR="00545227" w:rsidRPr="00024F84" w:rsidRDefault="00B85B7B" w:rsidP="00545227">
      <w:pPr>
        <w:pStyle w:val="Heading3"/>
        <w:rPr>
          <w:rFonts w:asciiTheme="minorHAnsi" w:hAnsiTheme="minorHAnsi"/>
          <w:b/>
        </w:rPr>
      </w:pPr>
      <w:r>
        <w:rPr>
          <w:rFonts w:asciiTheme="minorHAnsi" w:hAnsiTheme="minorHAnsi"/>
          <w:b/>
        </w:rPr>
        <w:t>Redstone Hill Major Town Centre Concept Plan</w:t>
      </w:r>
    </w:p>
    <w:p w:rsidR="00B85B7B" w:rsidRPr="00B85B7B" w:rsidRDefault="00B85B7B" w:rsidP="00B85B7B">
      <w:pPr>
        <w:rPr>
          <w:rFonts w:asciiTheme="minorHAnsi" w:hAnsiTheme="minorHAnsi"/>
          <w:sz w:val="22"/>
          <w:szCs w:val="22"/>
          <w:lang w:eastAsia="en-US"/>
        </w:rPr>
      </w:pPr>
      <w:r w:rsidRPr="00B85B7B">
        <w:rPr>
          <w:rFonts w:asciiTheme="minorHAnsi" w:hAnsiTheme="minorHAnsi"/>
          <w:sz w:val="22"/>
          <w:szCs w:val="22"/>
          <w:lang w:eastAsia="en-US"/>
        </w:rPr>
        <w:t xml:space="preserve">The </w:t>
      </w:r>
      <w:r>
        <w:rPr>
          <w:rFonts w:asciiTheme="minorHAnsi" w:hAnsiTheme="minorHAnsi"/>
          <w:sz w:val="22"/>
          <w:szCs w:val="22"/>
          <w:lang w:eastAsia="en-US"/>
        </w:rPr>
        <w:t xml:space="preserve">revised </w:t>
      </w:r>
      <w:r w:rsidRPr="00B85B7B">
        <w:rPr>
          <w:rFonts w:asciiTheme="minorHAnsi" w:hAnsiTheme="minorHAnsi"/>
          <w:sz w:val="22"/>
          <w:szCs w:val="22"/>
          <w:lang w:eastAsia="en-US"/>
        </w:rPr>
        <w:t>concept plan for the Redstone</w:t>
      </w:r>
      <w:r w:rsidR="00BF5E46">
        <w:rPr>
          <w:rFonts w:asciiTheme="minorHAnsi" w:hAnsiTheme="minorHAnsi"/>
          <w:sz w:val="22"/>
          <w:szCs w:val="22"/>
          <w:lang w:eastAsia="en-US"/>
        </w:rPr>
        <w:t xml:space="preserve"> Hill</w:t>
      </w:r>
      <w:r w:rsidRPr="00B85B7B">
        <w:rPr>
          <w:rFonts w:asciiTheme="minorHAnsi" w:hAnsiTheme="minorHAnsi"/>
          <w:sz w:val="22"/>
          <w:szCs w:val="22"/>
          <w:lang w:eastAsia="en-US"/>
        </w:rPr>
        <w:t xml:space="preserve"> Major Town Centre </w:t>
      </w:r>
      <w:r>
        <w:rPr>
          <w:rFonts w:asciiTheme="minorHAnsi" w:hAnsiTheme="minorHAnsi"/>
          <w:sz w:val="22"/>
          <w:szCs w:val="22"/>
          <w:lang w:eastAsia="en-US"/>
        </w:rPr>
        <w:t xml:space="preserve">incorporates </w:t>
      </w:r>
      <w:proofErr w:type="gramStart"/>
      <w:r>
        <w:rPr>
          <w:rFonts w:asciiTheme="minorHAnsi" w:hAnsiTheme="minorHAnsi"/>
          <w:sz w:val="22"/>
          <w:szCs w:val="22"/>
          <w:lang w:eastAsia="en-US"/>
        </w:rPr>
        <w:t>a number of</w:t>
      </w:r>
      <w:proofErr w:type="gramEnd"/>
      <w:r w:rsidRPr="00B85B7B">
        <w:rPr>
          <w:rFonts w:asciiTheme="minorHAnsi" w:hAnsiTheme="minorHAnsi"/>
          <w:sz w:val="22"/>
          <w:szCs w:val="22"/>
          <w:lang w:eastAsia="en-US"/>
        </w:rPr>
        <w:t xml:space="preserve"> relatively </w:t>
      </w:r>
      <w:r>
        <w:rPr>
          <w:rFonts w:asciiTheme="minorHAnsi" w:hAnsiTheme="minorHAnsi"/>
          <w:sz w:val="22"/>
          <w:szCs w:val="22"/>
          <w:lang w:eastAsia="en-US"/>
        </w:rPr>
        <w:t>minor changes in response to submissions.  These</w:t>
      </w:r>
      <w:r w:rsidR="00D034CD">
        <w:rPr>
          <w:rFonts w:asciiTheme="minorHAnsi" w:hAnsiTheme="minorHAnsi"/>
          <w:sz w:val="22"/>
          <w:szCs w:val="22"/>
          <w:lang w:eastAsia="en-US"/>
        </w:rPr>
        <w:t>:</w:t>
      </w:r>
    </w:p>
    <w:p w:rsidR="00B85B7B" w:rsidRDefault="004F229C" w:rsidP="00B85B7B">
      <w:pPr>
        <w:pStyle w:val="ListParagraph"/>
        <w:numPr>
          <w:ilvl w:val="0"/>
          <w:numId w:val="21"/>
        </w:numPr>
      </w:pPr>
      <w:r>
        <w:t>i</w:t>
      </w:r>
      <w:r w:rsidR="00B85B7B">
        <w:t>ncorporate a central indicative public transport interchange on the main connector road through the centre connecting to Sunbury Road</w:t>
      </w:r>
      <w:r w:rsidR="00155A2B">
        <w:t>;</w:t>
      </w:r>
    </w:p>
    <w:p w:rsidR="00B85B7B" w:rsidRDefault="00155A2B" w:rsidP="00B85B7B">
      <w:pPr>
        <w:pStyle w:val="ListParagraph"/>
        <w:numPr>
          <w:ilvl w:val="0"/>
          <w:numId w:val="21"/>
        </w:numPr>
      </w:pPr>
      <w:r>
        <w:t>adjust</w:t>
      </w:r>
      <w:r w:rsidR="00B85B7B">
        <w:t xml:space="preserve"> development footprints to respond to </w:t>
      </w:r>
      <w:r>
        <w:t>the revised draft DSS;</w:t>
      </w:r>
    </w:p>
    <w:p w:rsidR="00B85B7B" w:rsidRDefault="00155A2B" w:rsidP="00B85B7B">
      <w:pPr>
        <w:pStyle w:val="ListParagraph"/>
        <w:numPr>
          <w:ilvl w:val="0"/>
          <w:numId w:val="21"/>
        </w:numPr>
      </w:pPr>
      <w:r>
        <w:t>remove</w:t>
      </w:r>
      <w:r w:rsidR="00B85B7B">
        <w:t xml:space="preserve"> direct connections to the centre from the propose</w:t>
      </w:r>
      <w:r>
        <w:t>d service roads on Sunbury Road; and</w:t>
      </w:r>
    </w:p>
    <w:p w:rsidR="00B85B7B" w:rsidRDefault="004F1B6D" w:rsidP="00B85B7B">
      <w:pPr>
        <w:pStyle w:val="ListParagraph"/>
        <w:numPr>
          <w:ilvl w:val="0"/>
          <w:numId w:val="21"/>
        </w:numPr>
      </w:pPr>
      <w:r>
        <w:t>nominate</w:t>
      </w:r>
      <w:r w:rsidR="00155A2B">
        <w:t xml:space="preserve"> a single c</w:t>
      </w:r>
      <w:r w:rsidR="00B85B7B">
        <w:t xml:space="preserve">ommunity </w:t>
      </w:r>
      <w:r w:rsidR="00155A2B">
        <w:t>c</w:t>
      </w:r>
      <w:r w:rsidR="00B85B7B">
        <w:t>entre site, rather than three separate options.</w:t>
      </w:r>
    </w:p>
    <w:p w:rsidR="00FE40DE" w:rsidRPr="006B45B0" w:rsidRDefault="00FE40DE" w:rsidP="006B45B0">
      <w:pPr>
        <w:pStyle w:val="Heading3"/>
        <w:rPr>
          <w:rFonts w:asciiTheme="minorHAnsi" w:hAnsiTheme="minorHAnsi"/>
          <w:b/>
        </w:rPr>
      </w:pPr>
      <w:r w:rsidRPr="006B45B0">
        <w:rPr>
          <w:rFonts w:asciiTheme="minorHAnsi" w:hAnsiTheme="minorHAnsi"/>
          <w:b/>
        </w:rPr>
        <w:t>Harpers Creek Local Town Centre Concept Plan</w:t>
      </w:r>
    </w:p>
    <w:p w:rsidR="006B45B0" w:rsidRPr="006B45B0" w:rsidRDefault="006B45B0" w:rsidP="006B45B0">
      <w:pPr>
        <w:rPr>
          <w:rFonts w:asciiTheme="minorHAnsi" w:hAnsiTheme="minorHAnsi"/>
          <w:sz w:val="22"/>
          <w:szCs w:val="22"/>
          <w:lang w:eastAsia="en-US"/>
        </w:rPr>
      </w:pPr>
      <w:r w:rsidRPr="006B45B0">
        <w:rPr>
          <w:rFonts w:asciiTheme="minorHAnsi" w:hAnsiTheme="minorHAnsi"/>
          <w:sz w:val="22"/>
          <w:szCs w:val="22"/>
          <w:lang w:eastAsia="en-US"/>
        </w:rPr>
        <w:t xml:space="preserve">This concept plan was not exhibited with the same level of detail as other concept plans within the PSP. </w:t>
      </w:r>
      <w:r>
        <w:rPr>
          <w:rFonts w:asciiTheme="minorHAnsi" w:hAnsiTheme="minorHAnsi"/>
          <w:sz w:val="22"/>
          <w:szCs w:val="22"/>
          <w:lang w:eastAsia="en-US"/>
        </w:rPr>
        <w:t xml:space="preserve"> It</w:t>
      </w:r>
      <w:r w:rsidRPr="006B45B0">
        <w:rPr>
          <w:rFonts w:asciiTheme="minorHAnsi" w:hAnsiTheme="minorHAnsi"/>
          <w:sz w:val="22"/>
          <w:szCs w:val="22"/>
          <w:lang w:eastAsia="en-US"/>
        </w:rPr>
        <w:t xml:space="preserve"> has </w:t>
      </w:r>
      <w:r>
        <w:rPr>
          <w:rFonts w:asciiTheme="minorHAnsi" w:hAnsiTheme="minorHAnsi"/>
          <w:sz w:val="22"/>
          <w:szCs w:val="22"/>
          <w:lang w:eastAsia="en-US"/>
        </w:rPr>
        <w:t>now</w:t>
      </w:r>
      <w:r w:rsidR="00DE5F2E">
        <w:rPr>
          <w:rFonts w:asciiTheme="minorHAnsi" w:hAnsiTheme="minorHAnsi"/>
          <w:sz w:val="22"/>
          <w:szCs w:val="22"/>
          <w:lang w:eastAsia="en-US"/>
        </w:rPr>
        <w:t xml:space="preserve"> </w:t>
      </w:r>
      <w:r w:rsidRPr="006B45B0">
        <w:rPr>
          <w:rFonts w:asciiTheme="minorHAnsi" w:hAnsiTheme="minorHAnsi"/>
          <w:sz w:val="22"/>
          <w:szCs w:val="22"/>
          <w:lang w:eastAsia="en-US"/>
        </w:rPr>
        <w:t>been refined to:</w:t>
      </w:r>
    </w:p>
    <w:p w:rsidR="006B45B0" w:rsidRDefault="00332346" w:rsidP="00DE5F2E">
      <w:pPr>
        <w:pStyle w:val="ListParagraph"/>
        <w:numPr>
          <w:ilvl w:val="0"/>
          <w:numId w:val="21"/>
        </w:numPr>
      </w:pPr>
      <w:r>
        <w:t xml:space="preserve">provide further </w:t>
      </w:r>
      <w:r w:rsidR="00DE5F2E">
        <w:t>d</w:t>
      </w:r>
      <w:r w:rsidR="006B45B0">
        <w:t>etail</w:t>
      </w:r>
      <w:r>
        <w:t xml:space="preserve"> on</w:t>
      </w:r>
      <w:r w:rsidR="006B45B0">
        <w:t xml:space="preserve"> the location of land uses, including indicative location of the supermarket and retail uses, car parking and access and the town squar</w:t>
      </w:r>
      <w:r w:rsidR="00DE5F2E">
        <w:t>e, as well as active frontages;</w:t>
      </w:r>
    </w:p>
    <w:p w:rsidR="006B45B0" w:rsidRDefault="00DE5F2E" w:rsidP="00DE5F2E">
      <w:pPr>
        <w:pStyle w:val="ListParagraph"/>
        <w:numPr>
          <w:ilvl w:val="0"/>
          <w:numId w:val="21"/>
        </w:numPr>
      </w:pPr>
      <w:r>
        <w:t>l</w:t>
      </w:r>
      <w:r w:rsidR="006B45B0">
        <w:t>imit the government primary school to be shown over t</w:t>
      </w:r>
      <w:r>
        <w:t>wo allotments rather than three;</w:t>
      </w:r>
      <w:r w:rsidR="006B45B0">
        <w:t xml:space="preserve"> </w:t>
      </w:r>
    </w:p>
    <w:p w:rsidR="006B45B0" w:rsidRPr="00DE5F2E" w:rsidRDefault="00DE5F2E" w:rsidP="00DE5F2E">
      <w:pPr>
        <w:pStyle w:val="ListParagraph"/>
        <w:numPr>
          <w:ilvl w:val="0"/>
          <w:numId w:val="21"/>
        </w:numPr>
      </w:pPr>
      <w:r>
        <w:lastRenderedPageBreak/>
        <w:t>r</w:t>
      </w:r>
      <w:r w:rsidR="006B45B0">
        <w:t xml:space="preserve">e-position the community facility to </w:t>
      </w:r>
      <w:proofErr w:type="gramStart"/>
      <w:r w:rsidR="006B45B0">
        <w:t>be located in</w:t>
      </w:r>
      <w:proofErr w:type="gramEnd"/>
      <w:r w:rsidR="006B45B0">
        <w:t xml:space="preserve"> to the south of the government </w:t>
      </w:r>
      <w:r w:rsidR="006B45B0" w:rsidRPr="00DE5F2E">
        <w:t xml:space="preserve">primary school, to enable a community hub to develop </w:t>
      </w:r>
      <w:r w:rsidRPr="00DE5F2E">
        <w:t>in proximity to the town square; and</w:t>
      </w:r>
    </w:p>
    <w:p w:rsidR="006B45B0" w:rsidRPr="00DE5F2E" w:rsidRDefault="00DE5F2E" w:rsidP="006B45B0">
      <w:pPr>
        <w:pStyle w:val="ListParagraph"/>
        <w:numPr>
          <w:ilvl w:val="0"/>
          <w:numId w:val="21"/>
        </w:numPr>
      </w:pPr>
      <w:r w:rsidRPr="00DE5F2E">
        <w:t>b</w:t>
      </w:r>
      <w:r w:rsidR="006B45B0" w:rsidRPr="00DE5F2E">
        <w:t xml:space="preserve">etter respond to site constraints such as waterways and topography, while having regard </w:t>
      </w:r>
      <w:r w:rsidR="00A344F4">
        <w:t xml:space="preserve">to </w:t>
      </w:r>
      <w:r w:rsidR="006B45B0" w:rsidRPr="00DE5F2E">
        <w:t xml:space="preserve">existing property boundaries. </w:t>
      </w:r>
    </w:p>
    <w:p w:rsidR="00A74793" w:rsidRPr="00A74793" w:rsidRDefault="00A74793" w:rsidP="00A74793">
      <w:pPr>
        <w:pStyle w:val="Heading3"/>
        <w:rPr>
          <w:rFonts w:asciiTheme="minorHAnsi" w:hAnsiTheme="minorHAnsi"/>
          <w:b/>
        </w:rPr>
      </w:pPr>
      <w:r w:rsidRPr="00A74793">
        <w:rPr>
          <w:rFonts w:asciiTheme="minorHAnsi" w:hAnsiTheme="minorHAnsi"/>
          <w:b/>
        </w:rPr>
        <w:t>Emu Creek Local Town Centre Concept Plan</w:t>
      </w:r>
    </w:p>
    <w:p w:rsidR="00A74793" w:rsidRPr="00A74793" w:rsidRDefault="00A74793" w:rsidP="00A74793">
      <w:pPr>
        <w:rPr>
          <w:rFonts w:asciiTheme="minorHAnsi" w:hAnsiTheme="minorHAnsi"/>
          <w:sz w:val="22"/>
          <w:szCs w:val="22"/>
          <w:lang w:eastAsia="en-US"/>
        </w:rPr>
      </w:pPr>
      <w:r>
        <w:rPr>
          <w:rFonts w:asciiTheme="minorHAnsi" w:hAnsiTheme="minorHAnsi"/>
          <w:sz w:val="22"/>
          <w:szCs w:val="22"/>
          <w:lang w:eastAsia="en-US"/>
        </w:rPr>
        <w:t xml:space="preserve">Council’s submission raised concerns in relation to </w:t>
      </w:r>
      <w:r w:rsidRPr="00A74793">
        <w:rPr>
          <w:rFonts w:asciiTheme="minorHAnsi" w:hAnsiTheme="minorHAnsi"/>
          <w:sz w:val="22"/>
          <w:szCs w:val="22"/>
          <w:lang w:eastAsia="en-US"/>
        </w:rPr>
        <w:t>the</w:t>
      </w:r>
      <w:r>
        <w:rPr>
          <w:rFonts w:asciiTheme="minorHAnsi" w:hAnsiTheme="minorHAnsi"/>
          <w:sz w:val="22"/>
          <w:szCs w:val="22"/>
          <w:lang w:eastAsia="en-US"/>
        </w:rPr>
        <w:t xml:space="preserve"> </w:t>
      </w:r>
      <w:r w:rsidRPr="00A74793">
        <w:rPr>
          <w:rFonts w:asciiTheme="minorHAnsi" w:hAnsiTheme="minorHAnsi"/>
          <w:sz w:val="22"/>
          <w:szCs w:val="22"/>
          <w:lang w:eastAsia="en-US"/>
        </w:rPr>
        <w:t>street alignment with the Emu Creek L</w:t>
      </w:r>
      <w:r>
        <w:rPr>
          <w:rFonts w:asciiTheme="minorHAnsi" w:hAnsiTheme="minorHAnsi"/>
          <w:sz w:val="22"/>
          <w:szCs w:val="22"/>
          <w:lang w:eastAsia="en-US"/>
        </w:rPr>
        <w:t xml:space="preserve">ocal </w:t>
      </w:r>
      <w:r w:rsidRPr="00A74793">
        <w:rPr>
          <w:rFonts w:asciiTheme="minorHAnsi" w:hAnsiTheme="minorHAnsi"/>
          <w:sz w:val="22"/>
          <w:szCs w:val="22"/>
          <w:lang w:eastAsia="en-US"/>
        </w:rPr>
        <w:t>T</w:t>
      </w:r>
      <w:r>
        <w:rPr>
          <w:rFonts w:asciiTheme="minorHAnsi" w:hAnsiTheme="minorHAnsi"/>
          <w:sz w:val="22"/>
          <w:szCs w:val="22"/>
          <w:lang w:eastAsia="en-US"/>
        </w:rPr>
        <w:t xml:space="preserve">own </w:t>
      </w:r>
      <w:r w:rsidRPr="00A74793">
        <w:rPr>
          <w:rFonts w:asciiTheme="minorHAnsi" w:hAnsiTheme="minorHAnsi"/>
          <w:sz w:val="22"/>
          <w:szCs w:val="22"/>
          <w:lang w:eastAsia="en-US"/>
        </w:rPr>
        <w:t>C</w:t>
      </w:r>
      <w:r>
        <w:rPr>
          <w:rFonts w:asciiTheme="minorHAnsi" w:hAnsiTheme="minorHAnsi"/>
          <w:sz w:val="22"/>
          <w:szCs w:val="22"/>
          <w:lang w:eastAsia="en-US"/>
        </w:rPr>
        <w:t>entre</w:t>
      </w:r>
      <w:r w:rsidRPr="00A74793">
        <w:rPr>
          <w:rFonts w:asciiTheme="minorHAnsi" w:hAnsiTheme="minorHAnsi"/>
          <w:sz w:val="22"/>
          <w:szCs w:val="22"/>
          <w:lang w:eastAsia="en-US"/>
        </w:rPr>
        <w:t xml:space="preserve">, </w:t>
      </w:r>
      <w:r>
        <w:rPr>
          <w:rFonts w:asciiTheme="minorHAnsi" w:hAnsiTheme="minorHAnsi"/>
          <w:sz w:val="22"/>
          <w:szCs w:val="22"/>
          <w:lang w:eastAsia="en-US"/>
        </w:rPr>
        <w:t>and the spread of the</w:t>
      </w:r>
      <w:r w:rsidRPr="00A74793">
        <w:rPr>
          <w:rFonts w:asciiTheme="minorHAnsi" w:hAnsiTheme="minorHAnsi"/>
          <w:sz w:val="22"/>
          <w:szCs w:val="22"/>
          <w:lang w:eastAsia="en-US"/>
        </w:rPr>
        <w:t xml:space="preserve"> main street activity across multiple streets. </w:t>
      </w:r>
      <w:r>
        <w:rPr>
          <w:rFonts w:asciiTheme="minorHAnsi" w:hAnsiTheme="minorHAnsi"/>
          <w:sz w:val="22"/>
          <w:szCs w:val="22"/>
          <w:lang w:eastAsia="en-US"/>
        </w:rPr>
        <w:t xml:space="preserve"> The c</w:t>
      </w:r>
      <w:r w:rsidRPr="00A74793">
        <w:rPr>
          <w:rFonts w:asciiTheme="minorHAnsi" w:hAnsiTheme="minorHAnsi"/>
          <w:sz w:val="22"/>
          <w:szCs w:val="22"/>
          <w:lang w:eastAsia="en-US"/>
        </w:rPr>
        <w:t xml:space="preserve">oncept </w:t>
      </w:r>
      <w:r>
        <w:rPr>
          <w:rFonts w:asciiTheme="minorHAnsi" w:hAnsiTheme="minorHAnsi"/>
          <w:sz w:val="22"/>
          <w:szCs w:val="22"/>
          <w:lang w:eastAsia="en-US"/>
        </w:rPr>
        <w:t>p</w:t>
      </w:r>
      <w:r w:rsidRPr="00A74793">
        <w:rPr>
          <w:rFonts w:asciiTheme="minorHAnsi" w:hAnsiTheme="minorHAnsi"/>
          <w:sz w:val="22"/>
          <w:szCs w:val="22"/>
          <w:lang w:eastAsia="en-US"/>
        </w:rPr>
        <w:t xml:space="preserve">lan has </w:t>
      </w:r>
      <w:r>
        <w:rPr>
          <w:rFonts w:asciiTheme="minorHAnsi" w:hAnsiTheme="minorHAnsi"/>
          <w:sz w:val="22"/>
          <w:szCs w:val="22"/>
          <w:lang w:eastAsia="en-US"/>
        </w:rPr>
        <w:t>accordingly been reconfigured</w:t>
      </w:r>
      <w:r w:rsidRPr="00A74793">
        <w:rPr>
          <w:rFonts w:asciiTheme="minorHAnsi" w:hAnsiTheme="minorHAnsi"/>
          <w:sz w:val="22"/>
          <w:szCs w:val="22"/>
          <w:lang w:eastAsia="en-US"/>
        </w:rPr>
        <w:t xml:space="preserve"> to:</w:t>
      </w:r>
    </w:p>
    <w:p w:rsidR="00A74793" w:rsidRDefault="00A74793" w:rsidP="00A74793">
      <w:pPr>
        <w:pStyle w:val="ListParagraph"/>
        <w:numPr>
          <w:ilvl w:val="0"/>
          <w:numId w:val="21"/>
        </w:numPr>
      </w:pPr>
      <w:r>
        <w:t>consolidate the primary retail ‘main street’ environment of the centre on to a single street;</w:t>
      </w:r>
    </w:p>
    <w:p w:rsidR="00A74793" w:rsidRDefault="00A74793" w:rsidP="00A74793">
      <w:pPr>
        <w:pStyle w:val="ListParagraph"/>
        <w:numPr>
          <w:ilvl w:val="0"/>
          <w:numId w:val="21"/>
        </w:numPr>
      </w:pPr>
      <w:r>
        <w:t xml:space="preserve">straighten the alignment of the main street to take better advantage of key view lines; </w:t>
      </w:r>
    </w:p>
    <w:p w:rsidR="00A74793" w:rsidRDefault="00A74793" w:rsidP="00A74793">
      <w:pPr>
        <w:pStyle w:val="ListParagraph"/>
        <w:numPr>
          <w:ilvl w:val="0"/>
          <w:numId w:val="21"/>
        </w:numPr>
      </w:pPr>
      <w:r>
        <w:t>relocate the community centre to the north of the main street adjacent the town square; and</w:t>
      </w:r>
    </w:p>
    <w:p w:rsidR="00A74793" w:rsidRDefault="00A74793" w:rsidP="00A74793">
      <w:pPr>
        <w:pStyle w:val="ListParagraph"/>
        <w:numPr>
          <w:ilvl w:val="0"/>
          <w:numId w:val="21"/>
        </w:numPr>
      </w:pPr>
      <w:r>
        <w:t>respond to the revised draft DSS.</w:t>
      </w:r>
    </w:p>
    <w:p w:rsidR="00A74793" w:rsidRPr="00CE125F" w:rsidRDefault="00A74793" w:rsidP="00A74793">
      <w:pPr>
        <w:rPr>
          <w:rFonts w:asciiTheme="minorHAnsi" w:hAnsiTheme="minorHAnsi"/>
          <w:sz w:val="22"/>
          <w:szCs w:val="22"/>
          <w:lang w:eastAsia="en-US"/>
        </w:rPr>
      </w:pPr>
      <w:r w:rsidRPr="00CE125F">
        <w:rPr>
          <w:rFonts w:asciiTheme="minorHAnsi" w:hAnsiTheme="minorHAnsi"/>
          <w:sz w:val="22"/>
          <w:szCs w:val="22"/>
          <w:lang w:eastAsia="en-US"/>
        </w:rPr>
        <w:t xml:space="preserve">The changes to the concept plan have minor implications for </w:t>
      </w:r>
      <w:r w:rsidR="00CE125F">
        <w:rPr>
          <w:rFonts w:asciiTheme="minorHAnsi" w:hAnsiTheme="minorHAnsi"/>
          <w:sz w:val="22"/>
          <w:szCs w:val="22"/>
          <w:lang w:eastAsia="en-US"/>
        </w:rPr>
        <w:t xml:space="preserve">the section 96A planning permit application by </w:t>
      </w:r>
      <w:proofErr w:type="spellStart"/>
      <w:r w:rsidR="00CE125F">
        <w:rPr>
          <w:rFonts w:asciiTheme="minorHAnsi" w:hAnsiTheme="minorHAnsi"/>
          <w:sz w:val="22"/>
          <w:szCs w:val="22"/>
          <w:lang w:eastAsia="en-US"/>
        </w:rPr>
        <w:t>Wincity</w:t>
      </w:r>
      <w:proofErr w:type="spellEnd"/>
      <w:r w:rsidR="00CE125F">
        <w:rPr>
          <w:rFonts w:asciiTheme="minorHAnsi" w:hAnsiTheme="minorHAnsi"/>
          <w:sz w:val="22"/>
          <w:szCs w:val="22"/>
          <w:lang w:eastAsia="en-US"/>
        </w:rPr>
        <w:t xml:space="preserve">.  </w:t>
      </w:r>
      <w:proofErr w:type="spellStart"/>
      <w:r w:rsidRPr="00CE125F">
        <w:rPr>
          <w:rFonts w:asciiTheme="minorHAnsi" w:hAnsiTheme="minorHAnsi"/>
          <w:sz w:val="22"/>
          <w:szCs w:val="22"/>
          <w:lang w:eastAsia="en-US"/>
        </w:rPr>
        <w:t>W</w:t>
      </w:r>
      <w:r w:rsidR="006258A1">
        <w:rPr>
          <w:rFonts w:asciiTheme="minorHAnsi" w:hAnsiTheme="minorHAnsi"/>
          <w:sz w:val="22"/>
          <w:szCs w:val="22"/>
          <w:lang w:eastAsia="en-US"/>
        </w:rPr>
        <w:t>inCity</w:t>
      </w:r>
      <w:proofErr w:type="spellEnd"/>
      <w:r w:rsidR="006258A1">
        <w:rPr>
          <w:rFonts w:asciiTheme="minorHAnsi" w:hAnsiTheme="minorHAnsi"/>
          <w:sz w:val="22"/>
          <w:szCs w:val="22"/>
          <w:lang w:eastAsia="en-US"/>
        </w:rPr>
        <w:t xml:space="preserve"> has been consulted on tho</w:t>
      </w:r>
      <w:r w:rsidRPr="00CE125F">
        <w:rPr>
          <w:rFonts w:asciiTheme="minorHAnsi" w:hAnsiTheme="minorHAnsi"/>
          <w:sz w:val="22"/>
          <w:szCs w:val="22"/>
          <w:lang w:eastAsia="en-US"/>
        </w:rPr>
        <w:t>se changes and the VPA understand</w:t>
      </w:r>
      <w:r w:rsidR="002D5DA7">
        <w:rPr>
          <w:rFonts w:asciiTheme="minorHAnsi" w:hAnsiTheme="minorHAnsi"/>
          <w:sz w:val="22"/>
          <w:szCs w:val="22"/>
          <w:lang w:eastAsia="en-US"/>
        </w:rPr>
        <w:t>s</w:t>
      </w:r>
      <w:r w:rsidRPr="00CE125F">
        <w:rPr>
          <w:rFonts w:asciiTheme="minorHAnsi" w:hAnsiTheme="minorHAnsi"/>
          <w:sz w:val="22"/>
          <w:szCs w:val="22"/>
          <w:lang w:eastAsia="en-US"/>
        </w:rPr>
        <w:t xml:space="preserve"> </w:t>
      </w:r>
      <w:proofErr w:type="spellStart"/>
      <w:r w:rsidR="00C277B4">
        <w:rPr>
          <w:rFonts w:asciiTheme="minorHAnsi" w:hAnsiTheme="minorHAnsi"/>
          <w:sz w:val="22"/>
          <w:szCs w:val="22"/>
          <w:lang w:eastAsia="en-US"/>
        </w:rPr>
        <w:t>Wincity</w:t>
      </w:r>
      <w:proofErr w:type="spellEnd"/>
      <w:r w:rsidR="00C277B4">
        <w:rPr>
          <w:rFonts w:asciiTheme="minorHAnsi" w:hAnsiTheme="minorHAnsi"/>
          <w:sz w:val="22"/>
          <w:szCs w:val="22"/>
          <w:lang w:eastAsia="en-US"/>
        </w:rPr>
        <w:t xml:space="preserve"> </w:t>
      </w:r>
      <w:r w:rsidRPr="00CE125F">
        <w:rPr>
          <w:rFonts w:asciiTheme="minorHAnsi" w:hAnsiTheme="minorHAnsi"/>
          <w:sz w:val="22"/>
          <w:szCs w:val="22"/>
          <w:lang w:eastAsia="en-US"/>
        </w:rPr>
        <w:t>will</w:t>
      </w:r>
      <w:r w:rsidR="00742754">
        <w:rPr>
          <w:rFonts w:asciiTheme="minorHAnsi" w:hAnsiTheme="minorHAnsi"/>
          <w:sz w:val="22"/>
          <w:szCs w:val="22"/>
          <w:lang w:eastAsia="en-US"/>
        </w:rPr>
        <w:t xml:space="preserve"> update the </w:t>
      </w:r>
      <w:proofErr w:type="spellStart"/>
      <w:r w:rsidR="00742754">
        <w:rPr>
          <w:rFonts w:asciiTheme="minorHAnsi" w:hAnsiTheme="minorHAnsi"/>
          <w:sz w:val="22"/>
          <w:szCs w:val="22"/>
          <w:lang w:eastAsia="en-US"/>
        </w:rPr>
        <w:t>superlots</w:t>
      </w:r>
      <w:proofErr w:type="spellEnd"/>
      <w:r w:rsidR="00742754">
        <w:rPr>
          <w:rFonts w:asciiTheme="minorHAnsi" w:hAnsiTheme="minorHAnsi"/>
          <w:sz w:val="22"/>
          <w:szCs w:val="22"/>
          <w:lang w:eastAsia="en-US"/>
        </w:rPr>
        <w:t xml:space="preserve"> within its</w:t>
      </w:r>
      <w:r w:rsidRPr="00CE125F">
        <w:rPr>
          <w:rFonts w:asciiTheme="minorHAnsi" w:hAnsiTheme="minorHAnsi"/>
          <w:sz w:val="22"/>
          <w:szCs w:val="22"/>
          <w:lang w:eastAsia="en-US"/>
        </w:rPr>
        <w:t xml:space="preserve"> subdivision application to respond to the changes. </w:t>
      </w:r>
    </w:p>
    <w:p w:rsidR="0094111B" w:rsidRPr="0094111B" w:rsidRDefault="0094111B" w:rsidP="0094111B">
      <w:pPr>
        <w:pStyle w:val="Heading3"/>
        <w:rPr>
          <w:rFonts w:asciiTheme="minorHAnsi" w:hAnsiTheme="minorHAnsi"/>
          <w:b/>
        </w:rPr>
      </w:pPr>
      <w:r w:rsidRPr="0094111B">
        <w:rPr>
          <w:rFonts w:asciiTheme="minorHAnsi" w:hAnsiTheme="minorHAnsi"/>
          <w:b/>
        </w:rPr>
        <w:t>Yellow Gum Local Town Centre Concept Plan</w:t>
      </w:r>
    </w:p>
    <w:p w:rsidR="0094111B" w:rsidRPr="0094111B" w:rsidRDefault="0094111B" w:rsidP="0094111B">
      <w:pPr>
        <w:rPr>
          <w:rFonts w:asciiTheme="minorHAnsi" w:hAnsiTheme="minorHAnsi"/>
          <w:sz w:val="22"/>
          <w:szCs w:val="22"/>
          <w:lang w:eastAsia="en-US"/>
        </w:rPr>
      </w:pPr>
      <w:r>
        <w:rPr>
          <w:rFonts w:asciiTheme="minorHAnsi" w:hAnsiTheme="minorHAnsi"/>
          <w:sz w:val="22"/>
          <w:szCs w:val="22"/>
          <w:lang w:eastAsia="en-US"/>
        </w:rPr>
        <w:t>The VPA received submissions relating to the Yellow Gum Local Town Centre from</w:t>
      </w:r>
      <w:r w:rsidRPr="0094111B">
        <w:rPr>
          <w:rFonts w:asciiTheme="minorHAnsi" w:hAnsiTheme="minorHAnsi"/>
          <w:sz w:val="22"/>
          <w:szCs w:val="22"/>
          <w:lang w:eastAsia="en-US"/>
        </w:rPr>
        <w:t xml:space="preserve"> Council, Lancefield Road Joint Venture and the </w:t>
      </w:r>
      <w:proofErr w:type="spellStart"/>
      <w:r w:rsidRPr="0094111B">
        <w:rPr>
          <w:rFonts w:asciiTheme="minorHAnsi" w:hAnsiTheme="minorHAnsi"/>
          <w:sz w:val="22"/>
          <w:szCs w:val="22"/>
          <w:lang w:eastAsia="en-US"/>
        </w:rPr>
        <w:t>Foschia</w:t>
      </w:r>
      <w:proofErr w:type="spellEnd"/>
      <w:r w:rsidRPr="0094111B">
        <w:rPr>
          <w:rFonts w:asciiTheme="minorHAnsi" w:hAnsiTheme="minorHAnsi"/>
          <w:sz w:val="22"/>
          <w:szCs w:val="22"/>
          <w:lang w:eastAsia="en-US"/>
        </w:rPr>
        <w:t xml:space="preserve"> Family. </w:t>
      </w:r>
    </w:p>
    <w:p w:rsidR="0094111B" w:rsidRPr="0094111B" w:rsidRDefault="0094111B" w:rsidP="0094111B">
      <w:pPr>
        <w:rPr>
          <w:rFonts w:asciiTheme="minorHAnsi" w:hAnsiTheme="minorHAnsi"/>
          <w:sz w:val="22"/>
          <w:szCs w:val="22"/>
          <w:lang w:eastAsia="en-US"/>
        </w:rPr>
      </w:pPr>
      <w:r w:rsidRPr="0094111B">
        <w:rPr>
          <w:rFonts w:asciiTheme="minorHAnsi" w:hAnsiTheme="minorHAnsi"/>
          <w:sz w:val="22"/>
          <w:szCs w:val="22"/>
          <w:lang w:eastAsia="en-US"/>
        </w:rPr>
        <w:t>Council expressed concern regarding the orientation of the main street along the Northern Link/Elizabeth Drive extension and the extent to wh</w:t>
      </w:r>
      <w:r w:rsidR="00954B99">
        <w:rPr>
          <w:rFonts w:asciiTheme="minorHAnsi" w:hAnsiTheme="minorHAnsi"/>
          <w:sz w:val="22"/>
          <w:szCs w:val="22"/>
          <w:lang w:eastAsia="en-US"/>
        </w:rPr>
        <w:t>ich a functional main street could</w:t>
      </w:r>
      <w:r w:rsidRPr="0094111B">
        <w:rPr>
          <w:rFonts w:asciiTheme="minorHAnsi" w:hAnsiTheme="minorHAnsi"/>
          <w:sz w:val="22"/>
          <w:szCs w:val="22"/>
          <w:lang w:eastAsia="en-US"/>
        </w:rPr>
        <w:t xml:space="preserve"> be achieved along what will be a </w:t>
      </w:r>
      <w:proofErr w:type="gramStart"/>
      <w:r w:rsidRPr="0094111B">
        <w:rPr>
          <w:rFonts w:asciiTheme="minorHAnsi" w:hAnsiTheme="minorHAnsi"/>
          <w:sz w:val="22"/>
          <w:szCs w:val="22"/>
          <w:lang w:eastAsia="en-US"/>
        </w:rPr>
        <w:t>high volume</w:t>
      </w:r>
      <w:proofErr w:type="gramEnd"/>
      <w:r w:rsidRPr="0094111B">
        <w:rPr>
          <w:rFonts w:asciiTheme="minorHAnsi" w:hAnsiTheme="minorHAnsi"/>
          <w:sz w:val="22"/>
          <w:szCs w:val="22"/>
          <w:lang w:eastAsia="en-US"/>
        </w:rPr>
        <w:t xml:space="preserve"> traffic road. </w:t>
      </w:r>
    </w:p>
    <w:p w:rsidR="0094111B" w:rsidRPr="0094111B" w:rsidRDefault="0094111B" w:rsidP="0094111B">
      <w:pPr>
        <w:rPr>
          <w:rFonts w:asciiTheme="minorHAnsi" w:hAnsiTheme="minorHAnsi"/>
          <w:sz w:val="22"/>
          <w:szCs w:val="22"/>
          <w:lang w:eastAsia="en-US"/>
        </w:rPr>
      </w:pPr>
      <w:r w:rsidRPr="0094111B">
        <w:rPr>
          <w:rFonts w:asciiTheme="minorHAnsi" w:hAnsiTheme="minorHAnsi"/>
          <w:sz w:val="22"/>
          <w:szCs w:val="22"/>
          <w:lang w:eastAsia="en-US"/>
        </w:rPr>
        <w:t xml:space="preserve">Lancefield Road Joint Venture submitted that the Yellow Gum LTC should </w:t>
      </w:r>
      <w:r w:rsidR="006258A1">
        <w:rPr>
          <w:rFonts w:asciiTheme="minorHAnsi" w:hAnsiTheme="minorHAnsi"/>
          <w:sz w:val="22"/>
          <w:szCs w:val="22"/>
          <w:lang w:eastAsia="en-US"/>
        </w:rPr>
        <w:t>provide for</w:t>
      </w:r>
      <w:r w:rsidRPr="0094111B">
        <w:rPr>
          <w:rFonts w:asciiTheme="minorHAnsi" w:hAnsiTheme="minorHAnsi"/>
          <w:sz w:val="22"/>
          <w:szCs w:val="22"/>
          <w:lang w:eastAsia="en-US"/>
        </w:rPr>
        <w:t xml:space="preserve"> 16,000</w:t>
      </w:r>
      <w:r w:rsidR="006562B1">
        <w:rPr>
          <w:rFonts w:asciiTheme="minorHAnsi" w:hAnsiTheme="minorHAnsi"/>
          <w:sz w:val="22"/>
          <w:szCs w:val="22"/>
          <w:lang w:eastAsia="en-US"/>
        </w:rPr>
        <w:t xml:space="preserve"> </w:t>
      </w:r>
      <w:r w:rsidRPr="0094111B">
        <w:rPr>
          <w:rFonts w:asciiTheme="minorHAnsi" w:hAnsiTheme="minorHAnsi"/>
          <w:sz w:val="22"/>
          <w:szCs w:val="22"/>
          <w:lang w:eastAsia="en-US"/>
        </w:rPr>
        <w:t xml:space="preserve">sqm </w:t>
      </w:r>
      <w:r w:rsidR="006258A1">
        <w:rPr>
          <w:rFonts w:asciiTheme="minorHAnsi" w:hAnsiTheme="minorHAnsi"/>
          <w:sz w:val="22"/>
          <w:szCs w:val="22"/>
          <w:lang w:eastAsia="en-US"/>
        </w:rPr>
        <w:t xml:space="preserve">of </w:t>
      </w:r>
      <w:r w:rsidRPr="0094111B">
        <w:rPr>
          <w:rFonts w:asciiTheme="minorHAnsi" w:hAnsiTheme="minorHAnsi"/>
          <w:sz w:val="22"/>
          <w:szCs w:val="22"/>
          <w:lang w:eastAsia="en-US"/>
        </w:rPr>
        <w:t xml:space="preserve">retail. </w:t>
      </w:r>
      <w:r w:rsidR="006258A1">
        <w:rPr>
          <w:rFonts w:asciiTheme="minorHAnsi" w:hAnsiTheme="minorHAnsi"/>
          <w:sz w:val="22"/>
          <w:szCs w:val="22"/>
          <w:lang w:eastAsia="en-US"/>
        </w:rPr>
        <w:t xml:space="preserve"> </w:t>
      </w:r>
      <w:r w:rsidRPr="0094111B">
        <w:rPr>
          <w:rFonts w:asciiTheme="minorHAnsi" w:hAnsiTheme="minorHAnsi"/>
          <w:sz w:val="22"/>
          <w:szCs w:val="22"/>
          <w:lang w:eastAsia="en-US"/>
        </w:rPr>
        <w:t>The concept plan will provide for the capacity for further expansion of the centre to this scale</w:t>
      </w:r>
      <w:r w:rsidR="00954B99">
        <w:rPr>
          <w:rFonts w:asciiTheme="minorHAnsi" w:hAnsiTheme="minorHAnsi"/>
          <w:sz w:val="22"/>
          <w:szCs w:val="22"/>
          <w:lang w:eastAsia="en-US"/>
        </w:rPr>
        <w:t>.</w:t>
      </w:r>
      <w:r w:rsidRPr="0094111B">
        <w:rPr>
          <w:rFonts w:asciiTheme="minorHAnsi" w:hAnsiTheme="minorHAnsi"/>
          <w:sz w:val="22"/>
          <w:szCs w:val="22"/>
          <w:lang w:eastAsia="en-US"/>
        </w:rPr>
        <w:t xml:space="preserve"> </w:t>
      </w:r>
      <w:r w:rsidR="00954B99">
        <w:rPr>
          <w:rFonts w:asciiTheme="minorHAnsi" w:hAnsiTheme="minorHAnsi"/>
          <w:sz w:val="22"/>
          <w:szCs w:val="22"/>
          <w:lang w:eastAsia="en-US"/>
        </w:rPr>
        <w:t xml:space="preserve"> H</w:t>
      </w:r>
      <w:r w:rsidRPr="0094111B">
        <w:rPr>
          <w:rFonts w:asciiTheme="minorHAnsi" w:hAnsiTheme="minorHAnsi"/>
          <w:sz w:val="22"/>
          <w:szCs w:val="22"/>
          <w:lang w:eastAsia="en-US"/>
        </w:rPr>
        <w:t>owever</w:t>
      </w:r>
      <w:r w:rsidR="00954B99">
        <w:rPr>
          <w:rFonts w:asciiTheme="minorHAnsi" w:hAnsiTheme="minorHAnsi"/>
          <w:sz w:val="22"/>
          <w:szCs w:val="22"/>
          <w:lang w:eastAsia="en-US"/>
        </w:rPr>
        <w:t>,</w:t>
      </w:r>
      <w:r w:rsidRPr="0094111B">
        <w:rPr>
          <w:rFonts w:asciiTheme="minorHAnsi" w:hAnsiTheme="minorHAnsi"/>
          <w:sz w:val="22"/>
          <w:szCs w:val="22"/>
          <w:lang w:eastAsia="en-US"/>
        </w:rPr>
        <w:t xml:space="preserve"> the as-of-right shop floor space provided for the centre </w:t>
      </w:r>
      <w:r w:rsidR="007411BD">
        <w:rPr>
          <w:rFonts w:asciiTheme="minorHAnsi" w:hAnsiTheme="minorHAnsi"/>
          <w:sz w:val="22"/>
          <w:szCs w:val="22"/>
          <w:lang w:eastAsia="en-US"/>
        </w:rPr>
        <w:t>will</w:t>
      </w:r>
      <w:r w:rsidRPr="0094111B">
        <w:rPr>
          <w:rFonts w:asciiTheme="minorHAnsi" w:hAnsiTheme="minorHAnsi"/>
          <w:sz w:val="22"/>
          <w:szCs w:val="22"/>
          <w:lang w:eastAsia="en-US"/>
        </w:rPr>
        <w:t xml:space="preserve"> remain 10,000</w:t>
      </w:r>
      <w:r w:rsidR="006562B1">
        <w:rPr>
          <w:rFonts w:asciiTheme="minorHAnsi" w:hAnsiTheme="minorHAnsi"/>
          <w:sz w:val="22"/>
          <w:szCs w:val="22"/>
          <w:lang w:eastAsia="en-US"/>
        </w:rPr>
        <w:t xml:space="preserve"> </w:t>
      </w:r>
      <w:r w:rsidRPr="0094111B">
        <w:rPr>
          <w:rFonts w:asciiTheme="minorHAnsi" w:hAnsiTheme="minorHAnsi"/>
          <w:sz w:val="22"/>
          <w:szCs w:val="22"/>
          <w:lang w:eastAsia="en-US"/>
        </w:rPr>
        <w:t>sqm. Future permit applications for floor space beyond this</w:t>
      </w:r>
      <w:r w:rsidR="006562B1">
        <w:rPr>
          <w:rFonts w:asciiTheme="minorHAnsi" w:hAnsiTheme="minorHAnsi"/>
          <w:sz w:val="22"/>
          <w:szCs w:val="22"/>
          <w:lang w:eastAsia="en-US"/>
        </w:rPr>
        <w:t xml:space="preserve"> threshold</w:t>
      </w:r>
      <w:r w:rsidRPr="0094111B">
        <w:rPr>
          <w:rFonts w:asciiTheme="minorHAnsi" w:hAnsiTheme="minorHAnsi"/>
          <w:sz w:val="22"/>
          <w:szCs w:val="22"/>
          <w:lang w:eastAsia="en-US"/>
        </w:rPr>
        <w:t xml:space="preserve"> will need to justify </w:t>
      </w:r>
      <w:r w:rsidR="00CF4363">
        <w:rPr>
          <w:rFonts w:asciiTheme="minorHAnsi" w:hAnsiTheme="minorHAnsi"/>
          <w:sz w:val="22"/>
          <w:szCs w:val="22"/>
          <w:lang w:eastAsia="en-US"/>
        </w:rPr>
        <w:t>the proposed</w:t>
      </w:r>
      <w:r w:rsidRPr="0094111B">
        <w:rPr>
          <w:rFonts w:asciiTheme="minorHAnsi" w:hAnsiTheme="minorHAnsi"/>
          <w:sz w:val="22"/>
          <w:szCs w:val="22"/>
          <w:lang w:eastAsia="en-US"/>
        </w:rPr>
        <w:t xml:space="preserve"> scale.</w:t>
      </w:r>
    </w:p>
    <w:p w:rsidR="0094111B" w:rsidRPr="00DC303C" w:rsidRDefault="0094111B" w:rsidP="0094111B">
      <w:pPr>
        <w:rPr>
          <w:rFonts w:asciiTheme="minorHAnsi" w:hAnsiTheme="minorHAnsi"/>
          <w:sz w:val="22"/>
          <w:szCs w:val="22"/>
          <w:lang w:eastAsia="en-US"/>
        </w:rPr>
      </w:pPr>
      <w:r w:rsidRPr="00DC303C">
        <w:rPr>
          <w:rFonts w:asciiTheme="minorHAnsi" w:hAnsiTheme="minorHAnsi"/>
          <w:sz w:val="22"/>
          <w:szCs w:val="22"/>
          <w:lang w:eastAsia="en-US"/>
        </w:rPr>
        <w:t xml:space="preserve">The </w:t>
      </w:r>
      <w:r w:rsidR="00DC303C">
        <w:rPr>
          <w:rFonts w:asciiTheme="minorHAnsi" w:hAnsiTheme="minorHAnsi"/>
          <w:sz w:val="22"/>
          <w:szCs w:val="22"/>
          <w:lang w:eastAsia="en-US"/>
        </w:rPr>
        <w:t>concept p</w:t>
      </w:r>
      <w:r w:rsidRPr="00DC303C">
        <w:rPr>
          <w:rFonts w:asciiTheme="minorHAnsi" w:hAnsiTheme="minorHAnsi"/>
          <w:sz w:val="22"/>
          <w:szCs w:val="22"/>
          <w:lang w:eastAsia="en-US"/>
        </w:rPr>
        <w:t xml:space="preserve">lan has been amended to: </w:t>
      </w:r>
    </w:p>
    <w:p w:rsidR="0094111B" w:rsidRDefault="00DD27B1" w:rsidP="00DC303C">
      <w:pPr>
        <w:pStyle w:val="ListParagraph"/>
        <w:numPr>
          <w:ilvl w:val="0"/>
          <w:numId w:val="21"/>
        </w:numPr>
      </w:pPr>
      <w:r>
        <w:t>r</w:t>
      </w:r>
      <w:r w:rsidR="0094111B">
        <w:t>e-orient the town centre to address the north-south connector road, rather than the more hea</w:t>
      </w:r>
      <w:r>
        <w:t>vily trafficked east-wes</w:t>
      </w:r>
      <w:r w:rsidR="006258A1">
        <w:t>t road</w:t>
      </w:r>
      <w:r>
        <w:t>;</w:t>
      </w:r>
    </w:p>
    <w:p w:rsidR="0094111B" w:rsidRDefault="00DD27B1" w:rsidP="00DC303C">
      <w:pPr>
        <w:pStyle w:val="ListParagraph"/>
        <w:numPr>
          <w:ilvl w:val="0"/>
          <w:numId w:val="21"/>
        </w:numPr>
      </w:pPr>
      <w:r>
        <w:t>i</w:t>
      </w:r>
      <w:r w:rsidR="0094111B">
        <w:t>nclude a central town square which is readily accessible from the community facility and is</w:t>
      </w:r>
      <w:r>
        <w:t xml:space="preserve"> well addressed by retail uses;</w:t>
      </w:r>
    </w:p>
    <w:p w:rsidR="0094111B" w:rsidRDefault="00DD27B1" w:rsidP="00DC303C">
      <w:pPr>
        <w:pStyle w:val="ListParagraph"/>
        <w:numPr>
          <w:ilvl w:val="0"/>
          <w:numId w:val="21"/>
        </w:numPr>
      </w:pPr>
      <w:r>
        <w:t>p</w:t>
      </w:r>
      <w:r w:rsidR="0094111B">
        <w:t>rovide for office development fronting Lancefield Road</w:t>
      </w:r>
      <w:r>
        <w:t>;</w:t>
      </w:r>
    </w:p>
    <w:p w:rsidR="0094111B" w:rsidRDefault="00DD27B1" w:rsidP="00DC303C">
      <w:pPr>
        <w:pStyle w:val="ListParagraph"/>
        <w:numPr>
          <w:ilvl w:val="0"/>
          <w:numId w:val="21"/>
        </w:numPr>
      </w:pPr>
      <w:r>
        <w:t>d</w:t>
      </w:r>
      <w:r w:rsidR="0094111B">
        <w:t>elete reference to the potential private child care / medical centre</w:t>
      </w:r>
      <w:r>
        <w:t>;</w:t>
      </w:r>
    </w:p>
    <w:p w:rsidR="0094111B" w:rsidRDefault="00DD27B1" w:rsidP="00DC303C">
      <w:pPr>
        <w:pStyle w:val="ListParagraph"/>
        <w:numPr>
          <w:ilvl w:val="0"/>
          <w:numId w:val="21"/>
        </w:numPr>
      </w:pPr>
      <w:r>
        <w:lastRenderedPageBreak/>
        <w:t>i</w:t>
      </w:r>
      <w:r w:rsidR="0094111B">
        <w:t xml:space="preserve">nclude a mixed </w:t>
      </w:r>
      <w:proofErr w:type="gramStart"/>
      <w:r w:rsidR="0094111B">
        <w:t>use  and</w:t>
      </w:r>
      <w:proofErr w:type="gramEnd"/>
      <w:r w:rsidR="0094111B">
        <w:t xml:space="preserve"> acknowledge the potential for longer term future retail expans</w:t>
      </w:r>
      <w:r>
        <w:t>ion to the north of the centre; and</w:t>
      </w:r>
    </w:p>
    <w:p w:rsidR="0094111B" w:rsidRDefault="00DD27B1" w:rsidP="00DC303C">
      <w:pPr>
        <w:pStyle w:val="ListParagraph"/>
        <w:numPr>
          <w:ilvl w:val="0"/>
          <w:numId w:val="21"/>
        </w:numPr>
      </w:pPr>
      <w:r>
        <w:t>c</w:t>
      </w:r>
      <w:r w:rsidR="0094111B">
        <w:t xml:space="preserve">orrect graphical errors. </w:t>
      </w:r>
    </w:p>
    <w:p w:rsidR="00762FAC" w:rsidRPr="00762FAC" w:rsidRDefault="00762FAC" w:rsidP="00762FAC">
      <w:pPr>
        <w:pStyle w:val="Heading3"/>
        <w:rPr>
          <w:rFonts w:asciiTheme="minorHAnsi" w:hAnsiTheme="minorHAnsi"/>
          <w:b/>
        </w:rPr>
      </w:pPr>
      <w:r w:rsidRPr="00762FAC">
        <w:rPr>
          <w:rFonts w:asciiTheme="minorHAnsi" w:hAnsiTheme="minorHAnsi"/>
          <w:b/>
        </w:rPr>
        <w:t>Vineyard Road Employment Area Concept Plan</w:t>
      </w:r>
    </w:p>
    <w:p w:rsidR="00762FAC" w:rsidRPr="00762FAC" w:rsidRDefault="00762FAC" w:rsidP="00762FAC">
      <w:pPr>
        <w:rPr>
          <w:rFonts w:asciiTheme="minorHAnsi" w:hAnsiTheme="minorHAnsi"/>
          <w:sz w:val="22"/>
          <w:szCs w:val="22"/>
          <w:lang w:eastAsia="en-US"/>
        </w:rPr>
      </w:pPr>
      <w:r w:rsidRPr="00762FAC">
        <w:rPr>
          <w:rFonts w:asciiTheme="minorHAnsi" w:hAnsiTheme="minorHAnsi"/>
          <w:sz w:val="22"/>
          <w:szCs w:val="22"/>
          <w:lang w:eastAsia="en-US"/>
        </w:rPr>
        <w:t xml:space="preserve">Following exhibition of the Sunbury South PSP, VicRoads advised that </w:t>
      </w:r>
      <w:r w:rsidR="004F4A5F">
        <w:rPr>
          <w:rFonts w:asciiTheme="minorHAnsi" w:hAnsiTheme="minorHAnsi"/>
          <w:sz w:val="22"/>
          <w:szCs w:val="22"/>
          <w:lang w:eastAsia="en-US"/>
        </w:rPr>
        <w:t xml:space="preserve">it </w:t>
      </w:r>
      <w:r w:rsidRPr="00762FAC">
        <w:rPr>
          <w:rFonts w:asciiTheme="minorHAnsi" w:hAnsiTheme="minorHAnsi"/>
          <w:sz w:val="22"/>
          <w:szCs w:val="22"/>
          <w:lang w:eastAsia="en-US"/>
        </w:rPr>
        <w:t xml:space="preserve">did not support the access arrangement to the area of a signalised intersection from the on-ramp to the Calder Freeway (IN-07 in the exhibited PSP). </w:t>
      </w:r>
      <w:r w:rsidR="00144E28">
        <w:rPr>
          <w:rFonts w:asciiTheme="minorHAnsi" w:hAnsiTheme="minorHAnsi"/>
          <w:sz w:val="22"/>
          <w:szCs w:val="22"/>
          <w:lang w:eastAsia="en-US"/>
        </w:rPr>
        <w:t xml:space="preserve"> </w:t>
      </w:r>
      <w:r w:rsidRPr="00762FAC">
        <w:rPr>
          <w:rFonts w:asciiTheme="minorHAnsi" w:hAnsiTheme="minorHAnsi"/>
          <w:sz w:val="22"/>
          <w:szCs w:val="22"/>
          <w:lang w:eastAsia="en-US"/>
        </w:rPr>
        <w:t xml:space="preserve">VicRoads indicated that </w:t>
      </w:r>
      <w:r w:rsidR="00495D70">
        <w:rPr>
          <w:rFonts w:asciiTheme="minorHAnsi" w:hAnsiTheme="minorHAnsi"/>
          <w:sz w:val="22"/>
          <w:szCs w:val="22"/>
          <w:lang w:eastAsia="en-US"/>
        </w:rPr>
        <w:t xml:space="preserve">its </w:t>
      </w:r>
      <w:r w:rsidRPr="00762FAC">
        <w:rPr>
          <w:rFonts w:asciiTheme="minorHAnsi" w:hAnsiTheme="minorHAnsi"/>
          <w:sz w:val="22"/>
          <w:szCs w:val="22"/>
          <w:lang w:eastAsia="en-US"/>
        </w:rPr>
        <w:t>preference was for a signalised intersection from Moore Road/Old Vineyard Road.</w:t>
      </w:r>
      <w:r w:rsidR="00144E28">
        <w:rPr>
          <w:rFonts w:asciiTheme="minorHAnsi" w:hAnsiTheme="minorHAnsi"/>
          <w:sz w:val="22"/>
          <w:szCs w:val="22"/>
          <w:lang w:eastAsia="en-US"/>
        </w:rPr>
        <w:t xml:space="preserve"> </w:t>
      </w:r>
      <w:r w:rsidRPr="00762FAC">
        <w:rPr>
          <w:rFonts w:asciiTheme="minorHAnsi" w:hAnsiTheme="minorHAnsi"/>
          <w:sz w:val="22"/>
          <w:szCs w:val="22"/>
          <w:lang w:eastAsia="en-US"/>
        </w:rPr>
        <w:t xml:space="preserve"> The concept plan has been updated to reflect this access, as well as minor changes to the local street network.</w:t>
      </w:r>
    </w:p>
    <w:p w:rsidR="00762FAC" w:rsidRPr="00762FAC" w:rsidRDefault="00762FAC" w:rsidP="00762FAC">
      <w:pPr>
        <w:pStyle w:val="Heading3"/>
        <w:rPr>
          <w:rFonts w:asciiTheme="minorHAnsi" w:hAnsiTheme="minorHAnsi"/>
          <w:b/>
        </w:rPr>
      </w:pPr>
      <w:proofErr w:type="spellStart"/>
      <w:r w:rsidRPr="00762FAC">
        <w:rPr>
          <w:rFonts w:asciiTheme="minorHAnsi" w:hAnsiTheme="minorHAnsi"/>
          <w:b/>
        </w:rPr>
        <w:t>Balbethan</w:t>
      </w:r>
      <w:proofErr w:type="spellEnd"/>
      <w:r w:rsidRPr="00762FAC">
        <w:rPr>
          <w:rFonts w:asciiTheme="minorHAnsi" w:hAnsiTheme="minorHAnsi"/>
          <w:b/>
        </w:rPr>
        <w:t xml:space="preserve"> Drive Residential Concept Plan</w:t>
      </w:r>
    </w:p>
    <w:p w:rsidR="00762FAC" w:rsidRPr="004C5201" w:rsidRDefault="00762FAC" w:rsidP="00762FAC">
      <w:pPr>
        <w:rPr>
          <w:rFonts w:asciiTheme="minorHAnsi" w:hAnsiTheme="minorHAnsi"/>
          <w:sz w:val="22"/>
          <w:szCs w:val="22"/>
          <w:lang w:eastAsia="en-US"/>
        </w:rPr>
      </w:pPr>
      <w:r w:rsidRPr="004C5201">
        <w:rPr>
          <w:rFonts w:asciiTheme="minorHAnsi" w:hAnsiTheme="minorHAnsi"/>
          <w:sz w:val="22"/>
          <w:szCs w:val="22"/>
          <w:lang w:eastAsia="en-US"/>
        </w:rPr>
        <w:t xml:space="preserve">As </w:t>
      </w:r>
      <w:r w:rsidR="004C5201">
        <w:rPr>
          <w:rFonts w:asciiTheme="minorHAnsi" w:hAnsiTheme="minorHAnsi"/>
          <w:sz w:val="22"/>
          <w:szCs w:val="22"/>
          <w:lang w:eastAsia="en-US"/>
        </w:rPr>
        <w:t>noted above</w:t>
      </w:r>
      <w:r w:rsidRPr="004C5201">
        <w:rPr>
          <w:rFonts w:asciiTheme="minorHAnsi" w:hAnsiTheme="minorHAnsi"/>
          <w:sz w:val="22"/>
          <w:szCs w:val="22"/>
          <w:lang w:eastAsia="en-US"/>
        </w:rPr>
        <w:t xml:space="preserve">, this concept plan has been updated and a set of development principles, requirements and guidelines included in the PSP. </w:t>
      </w:r>
    </w:p>
    <w:p w:rsidR="00762FAC" w:rsidRPr="00AC4CFF" w:rsidRDefault="00762FAC" w:rsidP="00762FAC">
      <w:pPr>
        <w:rPr>
          <w:rFonts w:asciiTheme="minorHAnsi" w:hAnsiTheme="minorHAnsi"/>
          <w:sz w:val="22"/>
          <w:szCs w:val="22"/>
          <w:lang w:eastAsia="en-US"/>
        </w:rPr>
      </w:pPr>
      <w:r w:rsidRPr="00AC4CFF">
        <w:rPr>
          <w:rFonts w:asciiTheme="minorHAnsi" w:hAnsiTheme="minorHAnsi"/>
          <w:sz w:val="22"/>
          <w:szCs w:val="22"/>
          <w:lang w:eastAsia="en-US"/>
        </w:rPr>
        <w:t>The concept plan has also been updated to:</w:t>
      </w:r>
    </w:p>
    <w:p w:rsidR="00762FAC" w:rsidRDefault="00AC4CFF" w:rsidP="00AC4CFF">
      <w:pPr>
        <w:pStyle w:val="ListParagraph"/>
        <w:numPr>
          <w:ilvl w:val="0"/>
          <w:numId w:val="21"/>
        </w:numPr>
      </w:pPr>
      <w:r>
        <w:t>r</w:t>
      </w:r>
      <w:r w:rsidR="00762FAC">
        <w:t>emove the small local park previously shown adjacent Lancefie</w:t>
      </w:r>
      <w:r>
        <w:t xml:space="preserve">ld Road (at 25 St </w:t>
      </w:r>
      <w:proofErr w:type="spellStart"/>
      <w:r>
        <w:t>Ronans</w:t>
      </w:r>
      <w:proofErr w:type="spellEnd"/>
      <w:r>
        <w:t xml:space="preserve"> Court);</w:t>
      </w:r>
      <w:r w:rsidR="00762FAC">
        <w:t xml:space="preserve"> </w:t>
      </w:r>
    </w:p>
    <w:p w:rsidR="00762FAC" w:rsidRDefault="002D19D7" w:rsidP="00AC4CFF">
      <w:pPr>
        <w:pStyle w:val="ListParagraph"/>
        <w:numPr>
          <w:ilvl w:val="0"/>
          <w:numId w:val="21"/>
        </w:numPr>
      </w:pPr>
      <w:r>
        <w:t>better respond to the</w:t>
      </w:r>
      <w:r w:rsidR="00762FAC">
        <w:t xml:space="preserve"> location of existing dw</w:t>
      </w:r>
      <w:r>
        <w:t>ellings;</w:t>
      </w:r>
      <w:r w:rsidR="00762FAC">
        <w:t xml:space="preserve"> </w:t>
      </w:r>
    </w:p>
    <w:p w:rsidR="00762FAC" w:rsidRDefault="002D19D7" w:rsidP="00AC4CFF">
      <w:pPr>
        <w:pStyle w:val="ListParagraph"/>
        <w:numPr>
          <w:ilvl w:val="0"/>
          <w:numId w:val="21"/>
        </w:numPr>
      </w:pPr>
      <w:r>
        <w:t>u</w:t>
      </w:r>
      <w:r w:rsidR="00762FAC">
        <w:t>pdate graphical style</w:t>
      </w:r>
      <w:r>
        <w:t>; and</w:t>
      </w:r>
    </w:p>
    <w:p w:rsidR="00762FAC" w:rsidRDefault="002D19D7" w:rsidP="00AC4CFF">
      <w:pPr>
        <w:pStyle w:val="ListParagraph"/>
        <w:numPr>
          <w:ilvl w:val="0"/>
          <w:numId w:val="21"/>
        </w:numPr>
      </w:pPr>
      <w:r>
        <w:t>i</w:t>
      </w:r>
      <w:r w:rsidR="00762FAC">
        <w:t>llustrate traffic treatment</w:t>
      </w:r>
      <w:r>
        <w:t>s.</w:t>
      </w:r>
    </w:p>
    <w:p w:rsidR="00762FAC" w:rsidRPr="00762FAC" w:rsidRDefault="00762FAC" w:rsidP="00762FAC">
      <w:pPr>
        <w:pStyle w:val="Heading3"/>
        <w:rPr>
          <w:rFonts w:asciiTheme="minorHAnsi" w:hAnsiTheme="minorHAnsi"/>
          <w:b/>
        </w:rPr>
      </w:pPr>
      <w:proofErr w:type="spellStart"/>
      <w:r w:rsidRPr="00762FAC">
        <w:rPr>
          <w:rFonts w:asciiTheme="minorHAnsi" w:hAnsiTheme="minorHAnsi"/>
          <w:b/>
        </w:rPr>
        <w:t>Gellies</w:t>
      </w:r>
      <w:proofErr w:type="spellEnd"/>
      <w:r w:rsidRPr="00762FAC">
        <w:rPr>
          <w:rFonts w:asciiTheme="minorHAnsi" w:hAnsiTheme="minorHAnsi"/>
          <w:b/>
        </w:rPr>
        <w:t xml:space="preserve"> Road Residential Concept Plan</w:t>
      </w:r>
    </w:p>
    <w:p w:rsidR="00762FAC" w:rsidRPr="00CF728F" w:rsidRDefault="00762FAC" w:rsidP="00762FAC">
      <w:pPr>
        <w:rPr>
          <w:rFonts w:asciiTheme="minorHAnsi" w:hAnsiTheme="minorHAnsi"/>
          <w:sz w:val="22"/>
          <w:szCs w:val="22"/>
          <w:lang w:eastAsia="en-US"/>
        </w:rPr>
      </w:pPr>
      <w:r w:rsidRPr="00CF728F">
        <w:rPr>
          <w:rFonts w:asciiTheme="minorHAnsi" w:hAnsiTheme="minorHAnsi"/>
          <w:sz w:val="22"/>
          <w:szCs w:val="22"/>
          <w:lang w:eastAsia="en-US"/>
        </w:rPr>
        <w:t xml:space="preserve">The </w:t>
      </w:r>
      <w:proofErr w:type="spellStart"/>
      <w:r w:rsidRPr="00CF728F">
        <w:rPr>
          <w:rFonts w:asciiTheme="minorHAnsi" w:hAnsiTheme="minorHAnsi"/>
          <w:sz w:val="22"/>
          <w:szCs w:val="22"/>
          <w:lang w:eastAsia="en-US"/>
        </w:rPr>
        <w:t>Gellies</w:t>
      </w:r>
      <w:proofErr w:type="spellEnd"/>
      <w:r w:rsidRPr="00CF728F">
        <w:rPr>
          <w:rFonts w:asciiTheme="minorHAnsi" w:hAnsiTheme="minorHAnsi"/>
          <w:sz w:val="22"/>
          <w:szCs w:val="22"/>
          <w:lang w:eastAsia="en-US"/>
        </w:rPr>
        <w:t xml:space="preserve"> Road area has been significantly affected by the revisions to</w:t>
      </w:r>
      <w:r w:rsidR="00646B31">
        <w:rPr>
          <w:rFonts w:asciiTheme="minorHAnsi" w:hAnsiTheme="minorHAnsi"/>
          <w:sz w:val="22"/>
          <w:szCs w:val="22"/>
          <w:lang w:eastAsia="en-US"/>
        </w:rPr>
        <w:t xml:space="preserve"> the</w:t>
      </w:r>
      <w:r w:rsidRPr="00CF728F">
        <w:rPr>
          <w:rFonts w:asciiTheme="minorHAnsi" w:hAnsiTheme="minorHAnsi"/>
          <w:sz w:val="22"/>
          <w:szCs w:val="22"/>
          <w:lang w:eastAsia="en-US"/>
        </w:rPr>
        <w:t xml:space="preserve"> </w:t>
      </w:r>
      <w:r w:rsidR="00871E40">
        <w:rPr>
          <w:rFonts w:asciiTheme="minorHAnsi" w:hAnsiTheme="minorHAnsi"/>
          <w:sz w:val="22"/>
          <w:szCs w:val="22"/>
          <w:lang w:eastAsia="en-US"/>
        </w:rPr>
        <w:t>draft DSS</w:t>
      </w:r>
      <w:r w:rsidRPr="00CF728F">
        <w:rPr>
          <w:rFonts w:asciiTheme="minorHAnsi" w:hAnsiTheme="minorHAnsi"/>
          <w:sz w:val="22"/>
          <w:szCs w:val="22"/>
          <w:lang w:eastAsia="en-US"/>
        </w:rPr>
        <w:t xml:space="preserve">, which has resulted in a substantial increase in the developable area. </w:t>
      </w:r>
      <w:r w:rsidR="00646B31">
        <w:rPr>
          <w:rFonts w:asciiTheme="minorHAnsi" w:hAnsiTheme="minorHAnsi"/>
          <w:sz w:val="22"/>
          <w:szCs w:val="22"/>
          <w:lang w:eastAsia="en-US"/>
        </w:rPr>
        <w:t xml:space="preserve"> </w:t>
      </w:r>
      <w:r w:rsidRPr="00CF728F">
        <w:rPr>
          <w:rFonts w:asciiTheme="minorHAnsi" w:hAnsiTheme="minorHAnsi"/>
          <w:sz w:val="22"/>
          <w:szCs w:val="22"/>
          <w:lang w:eastAsia="en-US"/>
        </w:rPr>
        <w:t>The concept plan has been updated to reflect this revised development footprint.</w:t>
      </w:r>
    </w:p>
    <w:p w:rsidR="00762FAC" w:rsidRPr="00CF728F" w:rsidRDefault="00762FAC" w:rsidP="00762FAC">
      <w:pPr>
        <w:rPr>
          <w:rFonts w:asciiTheme="minorHAnsi" w:hAnsiTheme="minorHAnsi"/>
          <w:sz w:val="22"/>
          <w:szCs w:val="22"/>
          <w:lang w:eastAsia="en-US"/>
        </w:rPr>
      </w:pPr>
      <w:r w:rsidRPr="00CF728F">
        <w:rPr>
          <w:rFonts w:asciiTheme="minorHAnsi" w:hAnsiTheme="minorHAnsi"/>
          <w:sz w:val="22"/>
          <w:szCs w:val="22"/>
          <w:lang w:eastAsia="en-US"/>
        </w:rPr>
        <w:t>In addition, an inters</w:t>
      </w:r>
      <w:r w:rsidR="00646B31">
        <w:rPr>
          <w:rFonts w:asciiTheme="minorHAnsi" w:hAnsiTheme="minorHAnsi"/>
          <w:sz w:val="22"/>
          <w:szCs w:val="22"/>
          <w:lang w:eastAsia="en-US"/>
        </w:rPr>
        <w:t>ection shown as a left-in/left-</w:t>
      </w:r>
      <w:r w:rsidRPr="00CF728F">
        <w:rPr>
          <w:rFonts w:asciiTheme="minorHAnsi" w:hAnsiTheme="minorHAnsi"/>
          <w:sz w:val="22"/>
          <w:szCs w:val="22"/>
          <w:lang w:eastAsia="en-US"/>
        </w:rPr>
        <w:t>out in the central part of the concept plan area has been redesignated as a future signalised intersection to support local bus services</w:t>
      </w:r>
      <w:r w:rsidR="00782845">
        <w:rPr>
          <w:rFonts w:asciiTheme="minorHAnsi" w:hAnsiTheme="minorHAnsi"/>
          <w:sz w:val="22"/>
          <w:szCs w:val="22"/>
          <w:lang w:eastAsia="en-US"/>
        </w:rPr>
        <w:t>,</w:t>
      </w:r>
      <w:r w:rsidRPr="00CF728F">
        <w:rPr>
          <w:rFonts w:asciiTheme="minorHAnsi" w:hAnsiTheme="minorHAnsi"/>
          <w:sz w:val="22"/>
          <w:szCs w:val="22"/>
          <w:lang w:eastAsia="en-US"/>
        </w:rPr>
        <w:t xml:space="preserve"> as well as pedestrian movement across Lancefield Road</w:t>
      </w:r>
      <w:r w:rsidR="00782845">
        <w:rPr>
          <w:rFonts w:asciiTheme="minorHAnsi" w:hAnsiTheme="minorHAnsi"/>
          <w:sz w:val="22"/>
          <w:szCs w:val="22"/>
          <w:lang w:eastAsia="en-US"/>
        </w:rPr>
        <w:t>.</w:t>
      </w:r>
      <w:r w:rsidRPr="00CF728F">
        <w:rPr>
          <w:rFonts w:asciiTheme="minorHAnsi" w:hAnsiTheme="minorHAnsi"/>
          <w:sz w:val="22"/>
          <w:szCs w:val="22"/>
          <w:lang w:eastAsia="en-US"/>
        </w:rPr>
        <w:t xml:space="preserve"> </w:t>
      </w:r>
    </w:p>
    <w:p w:rsidR="00762FAC" w:rsidRPr="00762FAC" w:rsidRDefault="00762FAC" w:rsidP="00762FAC">
      <w:pPr>
        <w:pStyle w:val="Heading3"/>
        <w:rPr>
          <w:rFonts w:asciiTheme="minorHAnsi" w:hAnsiTheme="minorHAnsi"/>
          <w:b/>
        </w:rPr>
      </w:pPr>
      <w:r w:rsidRPr="00762FAC">
        <w:rPr>
          <w:rFonts w:asciiTheme="minorHAnsi" w:hAnsiTheme="minorHAnsi"/>
          <w:b/>
        </w:rPr>
        <w:t>Harker Street Residential Concept Plan</w:t>
      </w:r>
    </w:p>
    <w:p w:rsidR="00762FAC" w:rsidRPr="00782845" w:rsidRDefault="00762FAC" w:rsidP="00762FAC">
      <w:pPr>
        <w:rPr>
          <w:rFonts w:asciiTheme="minorHAnsi" w:hAnsiTheme="minorHAnsi"/>
          <w:sz w:val="22"/>
          <w:szCs w:val="22"/>
          <w:lang w:eastAsia="en-US"/>
        </w:rPr>
      </w:pPr>
      <w:r w:rsidRPr="00782845">
        <w:rPr>
          <w:rFonts w:asciiTheme="minorHAnsi" w:hAnsiTheme="minorHAnsi"/>
          <w:sz w:val="22"/>
          <w:szCs w:val="22"/>
          <w:lang w:eastAsia="en-US"/>
        </w:rPr>
        <w:t xml:space="preserve">This concept plan </w:t>
      </w:r>
      <w:r w:rsidR="00287C2D">
        <w:rPr>
          <w:rFonts w:asciiTheme="minorHAnsi" w:hAnsiTheme="minorHAnsi"/>
          <w:sz w:val="22"/>
          <w:szCs w:val="22"/>
          <w:lang w:eastAsia="en-US"/>
        </w:rPr>
        <w:t xml:space="preserve">has </w:t>
      </w:r>
      <w:r w:rsidR="00782845">
        <w:rPr>
          <w:rFonts w:asciiTheme="minorHAnsi" w:hAnsiTheme="minorHAnsi"/>
          <w:sz w:val="22"/>
          <w:szCs w:val="22"/>
          <w:lang w:eastAsia="en-US"/>
        </w:rPr>
        <w:t>been subject to</w:t>
      </w:r>
      <w:r w:rsidRPr="00782845">
        <w:rPr>
          <w:rFonts w:asciiTheme="minorHAnsi" w:hAnsiTheme="minorHAnsi"/>
          <w:sz w:val="22"/>
          <w:szCs w:val="22"/>
          <w:lang w:eastAsia="en-US"/>
        </w:rPr>
        <w:t xml:space="preserve"> minor refinements, including updates to:</w:t>
      </w:r>
    </w:p>
    <w:p w:rsidR="00762FAC" w:rsidRDefault="00782845" w:rsidP="00782845">
      <w:pPr>
        <w:pStyle w:val="ListParagraph"/>
        <w:numPr>
          <w:ilvl w:val="0"/>
          <w:numId w:val="21"/>
        </w:numPr>
      </w:pPr>
      <w:r>
        <w:t>e</w:t>
      </w:r>
      <w:r w:rsidR="00762FAC">
        <w:t>xclude development from</w:t>
      </w:r>
      <w:r>
        <w:t xml:space="preserve"> the transmission line easement;</w:t>
      </w:r>
      <w:r w:rsidR="00287C2D">
        <w:t xml:space="preserve"> and</w:t>
      </w:r>
    </w:p>
    <w:p w:rsidR="00782845" w:rsidRDefault="00782845" w:rsidP="00782845">
      <w:pPr>
        <w:pStyle w:val="ListParagraph"/>
        <w:numPr>
          <w:ilvl w:val="0"/>
          <w:numId w:val="21"/>
        </w:numPr>
      </w:pPr>
      <w:r>
        <w:t>r</w:t>
      </w:r>
      <w:r w:rsidR="00762FAC">
        <w:t>emove indicative lot boundaries from the concept plan</w:t>
      </w:r>
      <w:r>
        <w:t>, to achieve an appropriate level of detail for inclusion in the PSP.</w:t>
      </w:r>
    </w:p>
    <w:p w:rsidR="00762FAC" w:rsidRPr="00762FAC" w:rsidRDefault="00762FAC" w:rsidP="00762FAC">
      <w:pPr>
        <w:pStyle w:val="Heading3"/>
        <w:rPr>
          <w:rFonts w:asciiTheme="minorHAnsi" w:hAnsiTheme="minorHAnsi"/>
          <w:b/>
        </w:rPr>
      </w:pPr>
      <w:r w:rsidRPr="00762FAC">
        <w:rPr>
          <w:rFonts w:asciiTheme="minorHAnsi" w:hAnsiTheme="minorHAnsi"/>
          <w:b/>
        </w:rPr>
        <w:t>Harpers Creek Residential Concept Plan</w:t>
      </w:r>
    </w:p>
    <w:p w:rsidR="00762FAC" w:rsidRPr="00782845" w:rsidRDefault="00782845" w:rsidP="00762FAC">
      <w:pPr>
        <w:rPr>
          <w:rFonts w:asciiTheme="minorHAnsi" w:hAnsiTheme="minorHAnsi"/>
          <w:sz w:val="22"/>
          <w:szCs w:val="22"/>
          <w:lang w:eastAsia="en-US"/>
        </w:rPr>
      </w:pPr>
      <w:r>
        <w:rPr>
          <w:rFonts w:asciiTheme="minorHAnsi" w:hAnsiTheme="minorHAnsi"/>
          <w:sz w:val="22"/>
          <w:szCs w:val="22"/>
          <w:lang w:eastAsia="en-US"/>
        </w:rPr>
        <w:t xml:space="preserve">In response to </w:t>
      </w:r>
      <w:r w:rsidR="00762FAC" w:rsidRPr="00782845">
        <w:rPr>
          <w:rFonts w:asciiTheme="minorHAnsi" w:hAnsiTheme="minorHAnsi"/>
          <w:sz w:val="22"/>
          <w:szCs w:val="22"/>
          <w:lang w:eastAsia="en-US"/>
        </w:rPr>
        <w:t xml:space="preserve">Council’s submission, this concept plan area has been expanded to also apply to land within the Fox Hollow Drive area. </w:t>
      </w:r>
      <w:r w:rsidR="000F1021">
        <w:rPr>
          <w:rFonts w:asciiTheme="minorHAnsi" w:hAnsiTheme="minorHAnsi"/>
          <w:sz w:val="22"/>
          <w:szCs w:val="22"/>
          <w:lang w:eastAsia="en-US"/>
        </w:rPr>
        <w:t xml:space="preserve"> </w:t>
      </w:r>
      <w:r w:rsidR="00762FAC" w:rsidRPr="00782845">
        <w:rPr>
          <w:rFonts w:asciiTheme="minorHAnsi" w:hAnsiTheme="minorHAnsi"/>
          <w:sz w:val="22"/>
          <w:szCs w:val="22"/>
          <w:lang w:eastAsia="en-US"/>
        </w:rPr>
        <w:t xml:space="preserve">This area </w:t>
      </w:r>
      <w:r w:rsidR="000F1021">
        <w:rPr>
          <w:rFonts w:asciiTheme="minorHAnsi" w:hAnsiTheme="minorHAnsi"/>
          <w:sz w:val="22"/>
          <w:szCs w:val="22"/>
          <w:lang w:eastAsia="en-US"/>
        </w:rPr>
        <w:t xml:space="preserve">is subject to </w:t>
      </w:r>
      <w:proofErr w:type="gramStart"/>
      <w:r w:rsidR="000F1021">
        <w:rPr>
          <w:rFonts w:asciiTheme="minorHAnsi" w:hAnsiTheme="minorHAnsi"/>
          <w:sz w:val="22"/>
          <w:szCs w:val="22"/>
          <w:lang w:eastAsia="en-US"/>
        </w:rPr>
        <w:t>a</w:t>
      </w:r>
      <w:r w:rsidR="00762FAC" w:rsidRPr="00782845">
        <w:rPr>
          <w:rFonts w:asciiTheme="minorHAnsi" w:hAnsiTheme="minorHAnsi"/>
          <w:sz w:val="22"/>
          <w:szCs w:val="22"/>
          <w:lang w:eastAsia="en-US"/>
        </w:rPr>
        <w:t xml:space="preserve"> number of</w:t>
      </w:r>
      <w:proofErr w:type="gramEnd"/>
      <w:r w:rsidR="00762FAC" w:rsidRPr="00782845">
        <w:rPr>
          <w:rFonts w:asciiTheme="minorHAnsi" w:hAnsiTheme="minorHAnsi"/>
          <w:sz w:val="22"/>
          <w:szCs w:val="22"/>
          <w:lang w:eastAsia="en-US"/>
        </w:rPr>
        <w:t xml:space="preserve"> constraints, including </w:t>
      </w:r>
      <w:r w:rsidR="00762FAC" w:rsidRPr="00782845">
        <w:rPr>
          <w:rFonts w:asciiTheme="minorHAnsi" w:hAnsiTheme="minorHAnsi"/>
          <w:sz w:val="22"/>
          <w:szCs w:val="22"/>
          <w:lang w:eastAsia="en-US"/>
        </w:rPr>
        <w:lastRenderedPageBreak/>
        <w:t xml:space="preserve">drainage corridor and stormwater quality treatment assets, access, topography and land fragmentation. </w:t>
      </w:r>
    </w:p>
    <w:p w:rsidR="00762FAC" w:rsidRPr="00782845" w:rsidRDefault="00762FAC" w:rsidP="00762FAC">
      <w:pPr>
        <w:rPr>
          <w:rFonts w:asciiTheme="minorHAnsi" w:hAnsiTheme="minorHAnsi"/>
          <w:sz w:val="22"/>
          <w:szCs w:val="22"/>
          <w:lang w:eastAsia="en-US"/>
        </w:rPr>
      </w:pPr>
      <w:r w:rsidRPr="00782845">
        <w:rPr>
          <w:rFonts w:asciiTheme="minorHAnsi" w:hAnsiTheme="minorHAnsi"/>
          <w:sz w:val="22"/>
          <w:szCs w:val="22"/>
          <w:lang w:eastAsia="en-US"/>
        </w:rPr>
        <w:t>Key changes include:</w:t>
      </w:r>
    </w:p>
    <w:p w:rsidR="00762FAC" w:rsidRDefault="00E53117" w:rsidP="00A31EB8">
      <w:pPr>
        <w:pStyle w:val="ListParagraph"/>
        <w:numPr>
          <w:ilvl w:val="0"/>
          <w:numId w:val="46"/>
        </w:numPr>
        <w:spacing w:line="256" w:lineRule="auto"/>
      </w:pPr>
      <w:r>
        <w:t>t</w:t>
      </w:r>
      <w:r w:rsidR="00762FAC">
        <w:t>he provision of a potential local street connection to the boulevard connector at the eastern end of the Harpers Creek part of the concept plan area (south of Jacksons Creek)</w:t>
      </w:r>
      <w:r>
        <w:t>;</w:t>
      </w:r>
    </w:p>
    <w:p w:rsidR="00762FAC" w:rsidRDefault="00E53117" w:rsidP="00A31EB8">
      <w:pPr>
        <w:pStyle w:val="ListParagraph"/>
        <w:numPr>
          <w:ilvl w:val="0"/>
          <w:numId w:val="46"/>
        </w:numPr>
        <w:spacing w:line="256" w:lineRule="auto"/>
      </w:pPr>
      <w:r>
        <w:t>m</w:t>
      </w:r>
      <w:r w:rsidR="00762FAC">
        <w:t>inor realignment to the boulevard connector road between Harpers Creek and Jacksons Creek, to support a more logical lo</w:t>
      </w:r>
      <w:r>
        <w:t>cal subdivision design response;</w:t>
      </w:r>
      <w:r w:rsidR="00EE566D">
        <w:t xml:space="preserve"> and</w:t>
      </w:r>
    </w:p>
    <w:p w:rsidR="00762FAC" w:rsidRDefault="00E53117" w:rsidP="00A31EB8">
      <w:pPr>
        <w:pStyle w:val="ListParagraph"/>
        <w:numPr>
          <w:ilvl w:val="0"/>
          <w:numId w:val="46"/>
        </w:numPr>
        <w:spacing w:line="256" w:lineRule="auto"/>
      </w:pPr>
      <w:r>
        <w:t>a</w:t>
      </w:r>
      <w:r w:rsidR="00762FAC">
        <w:t xml:space="preserve"> series of changes </w:t>
      </w:r>
      <w:r>
        <w:t>in response to the revised draft DSS.</w:t>
      </w:r>
    </w:p>
    <w:p w:rsidR="00762FAC" w:rsidRPr="00762FAC" w:rsidRDefault="00762FAC" w:rsidP="00762FAC">
      <w:pPr>
        <w:pStyle w:val="Heading3"/>
        <w:rPr>
          <w:rFonts w:asciiTheme="minorHAnsi" w:hAnsiTheme="minorHAnsi"/>
          <w:b/>
        </w:rPr>
      </w:pPr>
      <w:r w:rsidRPr="00762FAC">
        <w:rPr>
          <w:rFonts w:asciiTheme="minorHAnsi" w:hAnsiTheme="minorHAnsi"/>
          <w:b/>
        </w:rPr>
        <w:t xml:space="preserve">Additional </w:t>
      </w:r>
      <w:r w:rsidR="00857674">
        <w:rPr>
          <w:rFonts w:asciiTheme="minorHAnsi" w:hAnsiTheme="minorHAnsi"/>
          <w:b/>
        </w:rPr>
        <w:t>concept p</w:t>
      </w:r>
      <w:r w:rsidRPr="00762FAC">
        <w:rPr>
          <w:rFonts w:asciiTheme="minorHAnsi" w:hAnsiTheme="minorHAnsi"/>
          <w:b/>
        </w:rPr>
        <w:t>lans</w:t>
      </w:r>
    </w:p>
    <w:p w:rsidR="00762FAC" w:rsidRDefault="00762FAC" w:rsidP="00762FAC">
      <w:pPr>
        <w:rPr>
          <w:rFonts w:asciiTheme="minorHAnsi" w:hAnsiTheme="minorHAnsi"/>
          <w:sz w:val="22"/>
          <w:szCs w:val="22"/>
          <w:lang w:eastAsia="en-US"/>
        </w:rPr>
      </w:pPr>
      <w:r w:rsidRPr="00E772EB">
        <w:rPr>
          <w:rFonts w:asciiTheme="minorHAnsi" w:hAnsiTheme="minorHAnsi"/>
          <w:sz w:val="22"/>
          <w:szCs w:val="22"/>
          <w:lang w:eastAsia="en-US"/>
        </w:rPr>
        <w:t xml:space="preserve">Two new concept plans are proposed for inclusion in the PSPs.  </w:t>
      </w:r>
    </w:p>
    <w:p w:rsidR="00B635B4" w:rsidRPr="00B635B4" w:rsidRDefault="00B635B4" w:rsidP="00762FAC">
      <w:pPr>
        <w:rPr>
          <w:rFonts w:asciiTheme="minorHAnsi" w:hAnsiTheme="minorHAnsi"/>
          <w:b/>
          <w:i/>
          <w:sz w:val="22"/>
          <w:szCs w:val="22"/>
          <w:lang w:eastAsia="en-US"/>
        </w:rPr>
      </w:pPr>
      <w:r w:rsidRPr="00B635B4">
        <w:rPr>
          <w:rFonts w:asciiTheme="minorHAnsi" w:hAnsiTheme="minorHAnsi"/>
          <w:b/>
          <w:i/>
          <w:sz w:val="22"/>
          <w:szCs w:val="22"/>
          <w:lang w:eastAsia="en-US"/>
        </w:rPr>
        <w:t xml:space="preserve">Proposed Future Sunbury South Train Station Concept Plan </w:t>
      </w:r>
    </w:p>
    <w:p w:rsidR="00762FAC" w:rsidRDefault="00762FAC" w:rsidP="00762FAC">
      <w:pPr>
        <w:rPr>
          <w:rFonts w:asciiTheme="minorHAnsi" w:hAnsiTheme="minorHAnsi"/>
          <w:sz w:val="22"/>
          <w:szCs w:val="22"/>
          <w:lang w:eastAsia="en-US"/>
        </w:rPr>
      </w:pPr>
      <w:r w:rsidRPr="00E772EB">
        <w:rPr>
          <w:rFonts w:asciiTheme="minorHAnsi" w:hAnsiTheme="minorHAnsi"/>
          <w:sz w:val="22"/>
          <w:szCs w:val="22"/>
          <w:lang w:eastAsia="en-US"/>
        </w:rPr>
        <w:t>This concept plan will apply to the train station environs in Sunbury South.</w:t>
      </w:r>
      <w:r w:rsidR="00EE566D">
        <w:rPr>
          <w:rFonts w:asciiTheme="minorHAnsi" w:hAnsiTheme="minorHAnsi"/>
          <w:sz w:val="22"/>
          <w:szCs w:val="22"/>
          <w:lang w:eastAsia="en-US"/>
        </w:rPr>
        <w:t xml:space="preserve"> </w:t>
      </w:r>
      <w:r w:rsidRPr="00E772EB">
        <w:rPr>
          <w:rFonts w:asciiTheme="minorHAnsi" w:hAnsiTheme="minorHAnsi"/>
          <w:sz w:val="22"/>
          <w:szCs w:val="22"/>
          <w:lang w:eastAsia="en-US"/>
        </w:rPr>
        <w:t xml:space="preserve"> The intent of </w:t>
      </w:r>
      <w:r w:rsidR="00FF256C">
        <w:rPr>
          <w:rFonts w:asciiTheme="minorHAnsi" w:hAnsiTheme="minorHAnsi"/>
          <w:sz w:val="22"/>
          <w:szCs w:val="22"/>
          <w:lang w:eastAsia="en-US"/>
        </w:rPr>
        <w:t>the concept plan is to ensure</w:t>
      </w:r>
      <w:r w:rsidRPr="00E772EB">
        <w:rPr>
          <w:rFonts w:asciiTheme="minorHAnsi" w:hAnsiTheme="minorHAnsi"/>
          <w:sz w:val="22"/>
          <w:szCs w:val="22"/>
          <w:lang w:eastAsia="en-US"/>
        </w:rPr>
        <w:t xml:space="preserve"> appropriate pedestrian connectivity to the station through the surrounding local road network.</w:t>
      </w:r>
      <w:r w:rsidR="001E3461">
        <w:rPr>
          <w:rFonts w:asciiTheme="minorHAnsi" w:hAnsiTheme="minorHAnsi"/>
          <w:sz w:val="22"/>
          <w:szCs w:val="22"/>
          <w:lang w:eastAsia="en-US"/>
        </w:rPr>
        <w:t xml:space="preserve"> </w:t>
      </w:r>
      <w:r w:rsidRPr="00E772EB">
        <w:rPr>
          <w:rFonts w:asciiTheme="minorHAnsi" w:hAnsiTheme="minorHAnsi"/>
          <w:sz w:val="22"/>
          <w:szCs w:val="22"/>
          <w:lang w:eastAsia="en-US"/>
        </w:rPr>
        <w:t xml:space="preserve"> The concept plan also sets out the relationship between the potential future train station and a future Local Convenience Centre, proposed to be included within the PSP in response to submissions.</w:t>
      </w:r>
    </w:p>
    <w:p w:rsidR="00B617E2" w:rsidRDefault="00427AFF" w:rsidP="00762FAC">
      <w:pPr>
        <w:rPr>
          <w:rFonts w:asciiTheme="minorHAnsi" w:hAnsiTheme="minorHAnsi"/>
          <w:sz w:val="22"/>
          <w:szCs w:val="22"/>
          <w:lang w:eastAsia="en-US"/>
        </w:rPr>
      </w:pPr>
      <w:r>
        <w:rPr>
          <w:rFonts w:asciiTheme="minorHAnsi" w:hAnsiTheme="minorHAnsi"/>
          <w:sz w:val="22"/>
          <w:szCs w:val="22"/>
          <w:lang w:eastAsia="en-US"/>
        </w:rPr>
        <w:t xml:space="preserve">The concept plan </w:t>
      </w:r>
      <w:r w:rsidR="00376E93">
        <w:rPr>
          <w:rFonts w:asciiTheme="minorHAnsi" w:hAnsiTheme="minorHAnsi"/>
          <w:sz w:val="22"/>
          <w:szCs w:val="22"/>
          <w:lang w:eastAsia="en-US"/>
        </w:rPr>
        <w:t xml:space="preserve">is accompanied </w:t>
      </w:r>
      <w:r w:rsidR="00742C78">
        <w:rPr>
          <w:rFonts w:asciiTheme="minorHAnsi" w:hAnsiTheme="minorHAnsi"/>
          <w:sz w:val="22"/>
          <w:szCs w:val="22"/>
          <w:lang w:eastAsia="en-US"/>
        </w:rPr>
        <w:t>by a new cross-section ‘Key Local Access Street – Sunbury South Access’.  This cross-section is based on a standard ‘Key Local Access Street Level 2’ cross-section, expanded from 20 metres to 22 metres to accommodate a bi-directional shared path on one side of the road, to provide improved access from the connector road network to the potential future Sunbury South train station.</w:t>
      </w:r>
    </w:p>
    <w:p w:rsidR="00B635B4" w:rsidRPr="00B635B4" w:rsidRDefault="00B635B4" w:rsidP="00762FAC">
      <w:pPr>
        <w:rPr>
          <w:rFonts w:asciiTheme="minorHAnsi" w:hAnsiTheme="minorHAnsi"/>
          <w:b/>
          <w:i/>
          <w:sz w:val="22"/>
          <w:szCs w:val="22"/>
          <w:lang w:eastAsia="en-US"/>
        </w:rPr>
      </w:pPr>
      <w:r>
        <w:rPr>
          <w:rFonts w:asciiTheme="minorHAnsi" w:hAnsiTheme="minorHAnsi"/>
          <w:b/>
          <w:i/>
          <w:sz w:val="22"/>
          <w:szCs w:val="22"/>
          <w:lang w:eastAsia="en-US"/>
        </w:rPr>
        <w:t>Racecourse Road area</w:t>
      </w:r>
    </w:p>
    <w:p w:rsidR="00217F63" w:rsidRPr="0033733F" w:rsidRDefault="00762FAC" w:rsidP="00217F63">
      <w:pPr>
        <w:rPr>
          <w:rFonts w:asciiTheme="minorHAnsi" w:hAnsiTheme="minorHAnsi"/>
          <w:sz w:val="22"/>
          <w:szCs w:val="22"/>
          <w:lang w:eastAsia="en-US"/>
        </w:rPr>
      </w:pPr>
      <w:r w:rsidRPr="008D5A38">
        <w:rPr>
          <w:rFonts w:asciiTheme="minorHAnsi" w:hAnsiTheme="minorHAnsi"/>
          <w:sz w:val="22"/>
          <w:szCs w:val="22"/>
          <w:lang w:eastAsia="en-US"/>
        </w:rPr>
        <w:t>This concept plan will apply to the land which is the subject of Villawood’s</w:t>
      </w:r>
      <w:r w:rsidR="001E3461">
        <w:rPr>
          <w:rFonts w:asciiTheme="minorHAnsi" w:hAnsiTheme="minorHAnsi"/>
          <w:sz w:val="22"/>
          <w:szCs w:val="22"/>
          <w:lang w:eastAsia="en-US"/>
        </w:rPr>
        <w:t xml:space="preserve"> section</w:t>
      </w:r>
      <w:r w:rsidRPr="008D5A38">
        <w:rPr>
          <w:rFonts w:asciiTheme="minorHAnsi" w:hAnsiTheme="minorHAnsi"/>
          <w:sz w:val="22"/>
          <w:szCs w:val="22"/>
          <w:lang w:eastAsia="en-US"/>
        </w:rPr>
        <w:t xml:space="preserve"> 96A</w:t>
      </w:r>
      <w:r w:rsidR="001E3461">
        <w:rPr>
          <w:rFonts w:asciiTheme="minorHAnsi" w:hAnsiTheme="minorHAnsi"/>
          <w:sz w:val="22"/>
          <w:szCs w:val="22"/>
          <w:lang w:eastAsia="en-US"/>
        </w:rPr>
        <w:t xml:space="preserve"> planning permit</w:t>
      </w:r>
      <w:r w:rsidRPr="008D5A38">
        <w:rPr>
          <w:rFonts w:asciiTheme="minorHAnsi" w:hAnsiTheme="minorHAnsi"/>
          <w:sz w:val="22"/>
          <w:szCs w:val="22"/>
          <w:lang w:eastAsia="en-US"/>
        </w:rPr>
        <w:t xml:space="preserve"> application. </w:t>
      </w:r>
      <w:r w:rsidR="00E82786">
        <w:rPr>
          <w:rFonts w:asciiTheme="minorHAnsi" w:hAnsiTheme="minorHAnsi"/>
          <w:sz w:val="22"/>
          <w:szCs w:val="22"/>
          <w:lang w:eastAsia="en-US"/>
        </w:rPr>
        <w:t xml:space="preserve"> </w:t>
      </w:r>
      <w:r w:rsidRPr="008D5A38">
        <w:rPr>
          <w:rFonts w:asciiTheme="minorHAnsi" w:hAnsiTheme="minorHAnsi"/>
          <w:sz w:val="22"/>
          <w:szCs w:val="22"/>
          <w:lang w:eastAsia="en-US"/>
        </w:rPr>
        <w:t xml:space="preserve">The intent of the concept plan is to ensure that development responds sensitively to landscape features. </w:t>
      </w:r>
      <w:r w:rsidR="00E82786">
        <w:rPr>
          <w:rFonts w:asciiTheme="minorHAnsi" w:hAnsiTheme="minorHAnsi"/>
          <w:sz w:val="22"/>
          <w:szCs w:val="22"/>
          <w:lang w:eastAsia="en-US"/>
        </w:rPr>
        <w:t xml:space="preserve"> </w:t>
      </w:r>
      <w:r w:rsidRPr="008D5A38">
        <w:rPr>
          <w:rFonts w:asciiTheme="minorHAnsi" w:hAnsiTheme="minorHAnsi"/>
          <w:sz w:val="22"/>
          <w:szCs w:val="22"/>
          <w:lang w:eastAsia="en-US"/>
        </w:rPr>
        <w:t xml:space="preserve">As the site is currently the subject of </w:t>
      </w:r>
      <w:r w:rsidR="00E82786">
        <w:rPr>
          <w:rFonts w:asciiTheme="minorHAnsi" w:hAnsiTheme="minorHAnsi"/>
          <w:sz w:val="22"/>
          <w:szCs w:val="22"/>
          <w:lang w:eastAsia="en-US"/>
        </w:rPr>
        <w:t>a planning permit application for</w:t>
      </w:r>
      <w:r w:rsidRPr="008D5A38">
        <w:rPr>
          <w:rFonts w:asciiTheme="minorHAnsi" w:hAnsiTheme="minorHAnsi"/>
          <w:sz w:val="22"/>
          <w:szCs w:val="22"/>
          <w:lang w:eastAsia="en-US"/>
        </w:rPr>
        <w:t xml:space="preserve"> subdivision, the concept plan will have limited relevance in the </w:t>
      </w:r>
      <w:r w:rsidR="00DD4375">
        <w:rPr>
          <w:rFonts w:asciiTheme="minorHAnsi" w:hAnsiTheme="minorHAnsi"/>
          <w:sz w:val="22"/>
          <w:szCs w:val="22"/>
          <w:lang w:eastAsia="en-US"/>
        </w:rPr>
        <w:t>PSP</w:t>
      </w:r>
      <w:r w:rsidR="001437FE">
        <w:rPr>
          <w:rFonts w:asciiTheme="minorHAnsi" w:hAnsiTheme="minorHAnsi"/>
          <w:sz w:val="22"/>
          <w:szCs w:val="22"/>
          <w:lang w:eastAsia="en-US"/>
        </w:rPr>
        <w:t xml:space="preserve"> </w:t>
      </w:r>
      <w:r w:rsidRPr="008D5A38">
        <w:rPr>
          <w:rFonts w:asciiTheme="minorHAnsi" w:hAnsiTheme="minorHAnsi"/>
          <w:sz w:val="22"/>
          <w:szCs w:val="22"/>
          <w:lang w:eastAsia="en-US"/>
        </w:rPr>
        <w:t xml:space="preserve">should the current application be approved and the permit acted upon. </w:t>
      </w:r>
      <w:r w:rsidR="001437FE">
        <w:rPr>
          <w:rFonts w:asciiTheme="minorHAnsi" w:hAnsiTheme="minorHAnsi"/>
          <w:sz w:val="22"/>
          <w:szCs w:val="22"/>
          <w:lang w:eastAsia="en-US"/>
        </w:rPr>
        <w:t xml:space="preserve"> </w:t>
      </w:r>
      <w:r w:rsidRPr="008D5A38">
        <w:rPr>
          <w:rFonts w:asciiTheme="minorHAnsi" w:hAnsiTheme="minorHAnsi"/>
          <w:sz w:val="22"/>
          <w:szCs w:val="22"/>
          <w:lang w:eastAsia="en-US"/>
        </w:rPr>
        <w:t>However, the inclusion of a concept plan within the PSP will ensure that should the current development not proceed (or any permit require amendment), any future application responds sensitively to th</w:t>
      </w:r>
      <w:r w:rsidR="0033733F">
        <w:rPr>
          <w:rFonts w:asciiTheme="minorHAnsi" w:hAnsiTheme="minorHAnsi"/>
          <w:sz w:val="22"/>
          <w:szCs w:val="22"/>
          <w:lang w:eastAsia="en-US"/>
        </w:rPr>
        <w:t xml:space="preserve">e site in the manner required. </w:t>
      </w:r>
    </w:p>
    <w:p w:rsidR="00DA1637" w:rsidRPr="00762FAC" w:rsidRDefault="00DA1637" w:rsidP="00DA1637">
      <w:pPr>
        <w:pStyle w:val="Heading3"/>
        <w:rPr>
          <w:rFonts w:asciiTheme="minorHAnsi" w:hAnsiTheme="minorHAnsi"/>
          <w:b/>
        </w:rPr>
      </w:pPr>
      <w:r>
        <w:rPr>
          <w:rFonts w:asciiTheme="minorHAnsi" w:hAnsiTheme="minorHAnsi"/>
          <w:b/>
        </w:rPr>
        <w:t xml:space="preserve">Conservation Interface Zone cross-sections </w:t>
      </w:r>
    </w:p>
    <w:p w:rsidR="0053026F" w:rsidRDefault="0053026F" w:rsidP="0053026F">
      <w:pPr>
        <w:rPr>
          <w:rFonts w:asciiTheme="minorHAnsi" w:hAnsiTheme="minorHAnsi"/>
          <w:sz w:val="22"/>
          <w:szCs w:val="22"/>
          <w:lang w:eastAsia="en-US"/>
        </w:rPr>
      </w:pPr>
      <w:r>
        <w:rPr>
          <w:rFonts w:asciiTheme="minorHAnsi" w:hAnsiTheme="minorHAnsi"/>
          <w:sz w:val="22"/>
          <w:szCs w:val="22"/>
          <w:lang w:eastAsia="en-US"/>
        </w:rPr>
        <w:t xml:space="preserve">The exhibited PSPs did not include Conservation Interface Zone cross-sections to define the appropriate interface response between development within the precincts and the </w:t>
      </w:r>
      <w:r>
        <w:rPr>
          <w:rFonts w:asciiTheme="minorHAnsi" w:hAnsiTheme="minorHAnsi"/>
          <w:sz w:val="22"/>
          <w:szCs w:val="22"/>
          <w:lang w:eastAsia="en-US"/>
        </w:rPr>
        <w:lastRenderedPageBreak/>
        <w:t xml:space="preserve">conservation areas identified under the Biodiversity Conservation Strategy and protected under the </w:t>
      </w:r>
      <w:r>
        <w:rPr>
          <w:rFonts w:asciiTheme="minorHAnsi" w:hAnsiTheme="minorHAnsi"/>
          <w:i/>
          <w:sz w:val="22"/>
          <w:szCs w:val="22"/>
          <w:lang w:eastAsia="en-US"/>
        </w:rPr>
        <w:t>Environment Protection and Biodiversity Conservation Act 1999</w:t>
      </w:r>
      <w:r>
        <w:rPr>
          <w:rFonts w:asciiTheme="minorHAnsi" w:hAnsiTheme="minorHAnsi"/>
          <w:sz w:val="22"/>
          <w:szCs w:val="22"/>
          <w:lang w:eastAsia="en-US"/>
        </w:rPr>
        <w:t>.</w:t>
      </w:r>
    </w:p>
    <w:p w:rsidR="0053026F" w:rsidRPr="0053026F" w:rsidRDefault="0053026F" w:rsidP="0053026F">
      <w:pPr>
        <w:rPr>
          <w:rFonts w:asciiTheme="minorHAnsi" w:hAnsiTheme="minorHAnsi"/>
          <w:sz w:val="22"/>
          <w:szCs w:val="22"/>
          <w:lang w:eastAsia="en-US"/>
        </w:rPr>
      </w:pPr>
      <w:r>
        <w:rPr>
          <w:rFonts w:asciiTheme="minorHAnsi" w:hAnsiTheme="minorHAnsi"/>
          <w:sz w:val="22"/>
          <w:szCs w:val="22"/>
          <w:lang w:eastAsia="en-US"/>
        </w:rPr>
        <w:t>These cross-sections, based on similar cross-sections prepared in other recent PSPs, have now been prepared in association with DELWP</w:t>
      </w:r>
      <w:r w:rsidR="00C80CAD">
        <w:rPr>
          <w:rFonts w:asciiTheme="minorHAnsi" w:hAnsiTheme="minorHAnsi"/>
          <w:sz w:val="22"/>
          <w:szCs w:val="22"/>
          <w:lang w:eastAsia="en-US"/>
        </w:rPr>
        <w:t xml:space="preserve"> and set out the urban development interface requirements for Conservation Areas 18 to 21.</w:t>
      </w:r>
    </w:p>
    <w:p w:rsidR="0033733F" w:rsidRPr="00FB0AA8" w:rsidRDefault="0033733F" w:rsidP="0033733F">
      <w:pPr>
        <w:pStyle w:val="Heading2"/>
        <w:rPr>
          <w:rFonts w:asciiTheme="minorHAnsi" w:hAnsiTheme="minorHAnsi"/>
          <w:b/>
        </w:rPr>
      </w:pPr>
      <w:bookmarkStart w:id="23" w:name="_Toc491027659"/>
      <w:r>
        <w:rPr>
          <w:rFonts w:asciiTheme="minorHAnsi" w:hAnsiTheme="minorHAnsi"/>
          <w:b/>
        </w:rPr>
        <w:t>Creek corridor interfaces</w:t>
      </w:r>
      <w:bookmarkEnd w:id="23"/>
    </w:p>
    <w:p w:rsidR="0033733F" w:rsidRPr="00061BCF" w:rsidRDefault="0033733F" w:rsidP="0033733F">
      <w:pPr>
        <w:rPr>
          <w:rFonts w:asciiTheme="minorHAnsi" w:hAnsiTheme="minorHAnsi"/>
          <w:i/>
          <w:sz w:val="22"/>
          <w:lang w:eastAsia="en-US"/>
        </w:rPr>
      </w:pPr>
      <w:r w:rsidRPr="00061BCF">
        <w:rPr>
          <w:rFonts w:asciiTheme="minorHAnsi" w:hAnsiTheme="minorHAnsi"/>
          <w:i/>
          <w:sz w:val="22"/>
          <w:lang w:eastAsia="en-US"/>
        </w:rPr>
        <w:t>Sunbury South PSP (C207) – Submissions 45 (RCL Group)</w:t>
      </w:r>
    </w:p>
    <w:p w:rsidR="0033733F" w:rsidRDefault="0033733F" w:rsidP="0033733F">
      <w:pPr>
        <w:rPr>
          <w:rFonts w:asciiTheme="minorHAnsi" w:hAnsiTheme="minorHAnsi"/>
          <w:i/>
          <w:sz w:val="22"/>
          <w:lang w:eastAsia="en-US"/>
        </w:rPr>
      </w:pPr>
      <w:r w:rsidRPr="00061BCF">
        <w:rPr>
          <w:rFonts w:asciiTheme="minorHAnsi" w:hAnsiTheme="minorHAnsi"/>
          <w:i/>
          <w:sz w:val="22"/>
          <w:lang w:eastAsia="en-US"/>
        </w:rPr>
        <w:t>Lancefield Road PSP (C208) – Submissions 53 (owner of 280 Lancefield Road); 60 (potential developers of 280 Lancefield Road)</w:t>
      </w:r>
    </w:p>
    <w:p w:rsidR="0033733F" w:rsidRPr="000411CF" w:rsidRDefault="0033733F" w:rsidP="0033733F">
      <w:pPr>
        <w:rPr>
          <w:rFonts w:asciiTheme="minorHAnsi" w:hAnsiTheme="minorHAnsi"/>
          <w:sz w:val="22"/>
          <w:lang w:eastAsia="en-US"/>
        </w:rPr>
      </w:pPr>
      <w:r>
        <w:rPr>
          <w:rFonts w:asciiTheme="minorHAnsi" w:hAnsiTheme="minorHAnsi"/>
          <w:sz w:val="22"/>
          <w:lang w:eastAsia="en-US"/>
        </w:rPr>
        <w:t xml:space="preserve">The PSPs have been prepared </w:t>
      </w:r>
      <w:proofErr w:type="gramStart"/>
      <w:r>
        <w:rPr>
          <w:rFonts w:asciiTheme="minorHAnsi" w:hAnsiTheme="minorHAnsi"/>
          <w:sz w:val="22"/>
          <w:lang w:eastAsia="en-US"/>
        </w:rPr>
        <w:t>with regard to</w:t>
      </w:r>
      <w:proofErr w:type="gramEnd"/>
      <w:r>
        <w:rPr>
          <w:rFonts w:asciiTheme="minorHAnsi" w:hAnsiTheme="minorHAnsi"/>
          <w:sz w:val="22"/>
          <w:lang w:eastAsia="en-US"/>
        </w:rPr>
        <w:t xml:space="preserve"> </w:t>
      </w:r>
      <w:r w:rsidRPr="000411CF">
        <w:rPr>
          <w:rFonts w:asciiTheme="minorHAnsi" w:hAnsiTheme="minorHAnsi"/>
          <w:sz w:val="22"/>
          <w:lang w:eastAsia="en-US"/>
        </w:rPr>
        <w:t>the landscape significance of the twin creek corridors of Jacksons Creek and Emu Creek</w:t>
      </w:r>
      <w:r>
        <w:rPr>
          <w:rFonts w:asciiTheme="minorHAnsi" w:hAnsiTheme="minorHAnsi"/>
          <w:sz w:val="22"/>
          <w:lang w:eastAsia="en-US"/>
        </w:rPr>
        <w:t>.  T</w:t>
      </w:r>
      <w:r w:rsidRPr="000411CF">
        <w:rPr>
          <w:rFonts w:asciiTheme="minorHAnsi" w:hAnsiTheme="minorHAnsi"/>
          <w:sz w:val="22"/>
          <w:lang w:eastAsia="en-US"/>
        </w:rPr>
        <w:t xml:space="preserve">he exhibited PSPs included a range of controls to provide direction on an appropriate design response for land </w:t>
      </w:r>
      <w:proofErr w:type="gramStart"/>
      <w:r w:rsidRPr="000411CF">
        <w:rPr>
          <w:rFonts w:asciiTheme="minorHAnsi" w:hAnsiTheme="minorHAnsi"/>
          <w:sz w:val="22"/>
          <w:lang w:eastAsia="en-US"/>
        </w:rPr>
        <w:t>in close proximity to</w:t>
      </w:r>
      <w:proofErr w:type="gramEnd"/>
      <w:r w:rsidRPr="000411CF">
        <w:rPr>
          <w:rFonts w:asciiTheme="minorHAnsi" w:hAnsiTheme="minorHAnsi"/>
          <w:sz w:val="22"/>
          <w:lang w:eastAsia="en-US"/>
        </w:rPr>
        <w:t xml:space="preserve"> the creeks</w:t>
      </w:r>
      <w:r>
        <w:rPr>
          <w:rFonts w:asciiTheme="minorHAnsi" w:hAnsiTheme="minorHAnsi"/>
          <w:sz w:val="22"/>
          <w:lang w:eastAsia="en-US"/>
        </w:rPr>
        <w:t>.  These controls included a series of</w:t>
      </w:r>
      <w:r w:rsidRPr="000411CF">
        <w:rPr>
          <w:rFonts w:asciiTheme="minorHAnsi" w:hAnsiTheme="minorHAnsi"/>
          <w:sz w:val="22"/>
          <w:lang w:eastAsia="en-US"/>
        </w:rPr>
        <w:t xml:space="preserve"> mandatory setbacks/interface treatments for development </w:t>
      </w:r>
      <w:r>
        <w:rPr>
          <w:rFonts w:asciiTheme="minorHAnsi" w:hAnsiTheme="minorHAnsi"/>
          <w:sz w:val="22"/>
          <w:lang w:eastAsia="en-US"/>
        </w:rPr>
        <w:t>within</w:t>
      </w:r>
      <w:r w:rsidRPr="000411CF">
        <w:rPr>
          <w:rFonts w:asciiTheme="minorHAnsi" w:hAnsiTheme="minorHAnsi"/>
          <w:sz w:val="22"/>
          <w:lang w:eastAsia="en-US"/>
        </w:rPr>
        <w:t xml:space="preserve"> creek corridors, based upon a defined break of slope.</w:t>
      </w:r>
    </w:p>
    <w:p w:rsidR="0033733F" w:rsidRPr="000411CF" w:rsidRDefault="0033733F" w:rsidP="0033733F">
      <w:pPr>
        <w:rPr>
          <w:rFonts w:asciiTheme="minorHAnsi" w:hAnsiTheme="minorHAnsi"/>
          <w:sz w:val="22"/>
          <w:lang w:eastAsia="en-US"/>
        </w:rPr>
      </w:pPr>
      <w:r>
        <w:rPr>
          <w:rFonts w:asciiTheme="minorHAnsi" w:hAnsiTheme="minorHAnsi"/>
          <w:sz w:val="22"/>
          <w:lang w:eastAsia="en-US"/>
        </w:rPr>
        <w:t>Plan 5</w:t>
      </w:r>
      <w:r w:rsidRPr="000411CF">
        <w:rPr>
          <w:rFonts w:asciiTheme="minorHAnsi" w:hAnsiTheme="minorHAnsi"/>
          <w:sz w:val="22"/>
          <w:lang w:eastAsia="en-US"/>
        </w:rPr>
        <w:t xml:space="preserve"> </w:t>
      </w:r>
      <w:r>
        <w:rPr>
          <w:rFonts w:asciiTheme="minorHAnsi" w:hAnsiTheme="minorHAnsi"/>
          <w:sz w:val="22"/>
          <w:lang w:eastAsia="en-US"/>
        </w:rPr>
        <w:t>(</w:t>
      </w:r>
      <w:r w:rsidRPr="000411CF">
        <w:rPr>
          <w:rFonts w:asciiTheme="minorHAnsi" w:hAnsiTheme="minorHAnsi"/>
          <w:sz w:val="22"/>
          <w:lang w:eastAsia="en-US"/>
        </w:rPr>
        <w:t>Image, Character, Heritage and Housing</w:t>
      </w:r>
      <w:r>
        <w:rPr>
          <w:rFonts w:asciiTheme="minorHAnsi" w:hAnsiTheme="minorHAnsi"/>
          <w:sz w:val="22"/>
          <w:lang w:eastAsia="en-US"/>
        </w:rPr>
        <w:t>) in</w:t>
      </w:r>
      <w:r w:rsidRPr="000411CF">
        <w:rPr>
          <w:rFonts w:asciiTheme="minorHAnsi" w:hAnsiTheme="minorHAnsi"/>
          <w:sz w:val="22"/>
          <w:lang w:eastAsia="en-US"/>
        </w:rPr>
        <w:t xml:space="preserve"> each PSP identified a series of interface edges with the creek escarpments, and the PSPs mandated </w:t>
      </w:r>
      <w:r>
        <w:rPr>
          <w:rFonts w:asciiTheme="minorHAnsi" w:hAnsiTheme="minorHAnsi"/>
          <w:sz w:val="22"/>
          <w:lang w:eastAsia="en-US"/>
        </w:rPr>
        <w:t>the</w:t>
      </w:r>
      <w:r w:rsidRPr="000411CF">
        <w:rPr>
          <w:rFonts w:asciiTheme="minorHAnsi" w:hAnsiTheme="minorHAnsi"/>
          <w:sz w:val="22"/>
          <w:lang w:eastAsia="en-US"/>
        </w:rPr>
        <w:t xml:space="preserve"> </w:t>
      </w:r>
      <w:proofErr w:type="gramStart"/>
      <w:r w:rsidRPr="000411CF">
        <w:rPr>
          <w:rFonts w:asciiTheme="minorHAnsi" w:hAnsiTheme="minorHAnsi"/>
          <w:sz w:val="22"/>
          <w:lang w:eastAsia="en-US"/>
        </w:rPr>
        <w:t>particular setback</w:t>
      </w:r>
      <w:proofErr w:type="gramEnd"/>
      <w:r w:rsidRPr="000411CF">
        <w:rPr>
          <w:rFonts w:asciiTheme="minorHAnsi" w:hAnsiTheme="minorHAnsi"/>
          <w:sz w:val="22"/>
          <w:lang w:eastAsia="en-US"/>
        </w:rPr>
        <w:t xml:space="preserve"> response. </w:t>
      </w:r>
      <w:r>
        <w:rPr>
          <w:rFonts w:asciiTheme="minorHAnsi" w:hAnsiTheme="minorHAnsi"/>
          <w:sz w:val="22"/>
          <w:lang w:eastAsia="en-US"/>
        </w:rPr>
        <w:t xml:space="preserve"> </w:t>
      </w:r>
      <w:r w:rsidRPr="000411CF">
        <w:rPr>
          <w:rFonts w:asciiTheme="minorHAnsi" w:hAnsiTheme="minorHAnsi"/>
          <w:sz w:val="22"/>
          <w:lang w:eastAsia="en-US"/>
        </w:rPr>
        <w:t>For ‘Interface with escarpment – visual’ interfaces, this in</w:t>
      </w:r>
      <w:r>
        <w:rPr>
          <w:rFonts w:asciiTheme="minorHAnsi" w:hAnsiTheme="minorHAnsi"/>
          <w:sz w:val="22"/>
          <w:lang w:eastAsia="en-US"/>
        </w:rPr>
        <w:t>cluded</w:t>
      </w:r>
      <w:r w:rsidRPr="000411CF">
        <w:rPr>
          <w:rFonts w:asciiTheme="minorHAnsi" w:hAnsiTheme="minorHAnsi"/>
          <w:sz w:val="22"/>
          <w:lang w:eastAsia="en-US"/>
        </w:rPr>
        <w:t xml:space="preserve"> a mandatory 40 metre setback from the defined break of slope to future lot boundaries</w:t>
      </w:r>
      <w:r>
        <w:rPr>
          <w:rFonts w:asciiTheme="minorHAnsi" w:hAnsiTheme="minorHAnsi"/>
          <w:sz w:val="22"/>
          <w:lang w:eastAsia="en-US"/>
        </w:rPr>
        <w:t>.  For</w:t>
      </w:r>
      <w:r w:rsidRPr="000411CF">
        <w:rPr>
          <w:rFonts w:asciiTheme="minorHAnsi" w:hAnsiTheme="minorHAnsi"/>
          <w:sz w:val="22"/>
          <w:lang w:eastAsia="en-US"/>
        </w:rPr>
        <w:t xml:space="preserve"> ‘interface with escarpment – non-visual’ interfaces, the PSPs required a 27</w:t>
      </w:r>
      <w:r>
        <w:rPr>
          <w:rFonts w:asciiTheme="minorHAnsi" w:hAnsiTheme="minorHAnsi"/>
          <w:sz w:val="22"/>
          <w:lang w:eastAsia="en-US"/>
        </w:rPr>
        <w:t xml:space="preserve">.5 metre setback. The setbacks were based </w:t>
      </w:r>
      <w:r w:rsidRPr="000411CF">
        <w:rPr>
          <w:rFonts w:asciiTheme="minorHAnsi" w:hAnsiTheme="minorHAnsi"/>
          <w:sz w:val="22"/>
          <w:lang w:eastAsia="en-US"/>
        </w:rPr>
        <w:t xml:space="preserve">on an assessment of visual impact of housing from within </w:t>
      </w:r>
      <w:r>
        <w:rPr>
          <w:rFonts w:asciiTheme="minorHAnsi" w:hAnsiTheme="minorHAnsi"/>
          <w:sz w:val="22"/>
          <w:lang w:eastAsia="en-US"/>
        </w:rPr>
        <w:t>the valley of the creek corridor.</w:t>
      </w:r>
      <w:r w:rsidRPr="000411CF">
        <w:rPr>
          <w:rFonts w:asciiTheme="minorHAnsi" w:hAnsiTheme="minorHAnsi"/>
          <w:sz w:val="22"/>
          <w:lang w:eastAsia="en-US"/>
        </w:rPr>
        <w:t xml:space="preserve"> </w:t>
      </w:r>
    </w:p>
    <w:p w:rsidR="0033733F" w:rsidRPr="000411CF" w:rsidRDefault="0033733F" w:rsidP="0033733F">
      <w:pPr>
        <w:rPr>
          <w:rFonts w:asciiTheme="minorHAnsi" w:hAnsiTheme="minorHAnsi"/>
          <w:sz w:val="22"/>
          <w:lang w:eastAsia="en-US"/>
        </w:rPr>
      </w:pPr>
      <w:r w:rsidRPr="000411CF">
        <w:rPr>
          <w:rFonts w:asciiTheme="minorHAnsi" w:hAnsiTheme="minorHAnsi"/>
          <w:sz w:val="22"/>
          <w:lang w:eastAsia="en-US"/>
        </w:rPr>
        <w:t xml:space="preserve">The application of ‘visual’ setbacks was </w:t>
      </w:r>
      <w:r>
        <w:rPr>
          <w:rFonts w:asciiTheme="minorHAnsi" w:hAnsiTheme="minorHAnsi"/>
          <w:sz w:val="22"/>
          <w:lang w:eastAsia="en-US"/>
        </w:rPr>
        <w:t>intended</w:t>
      </w:r>
      <w:r w:rsidRPr="000411CF">
        <w:rPr>
          <w:rFonts w:asciiTheme="minorHAnsi" w:hAnsiTheme="minorHAnsi"/>
          <w:sz w:val="22"/>
          <w:lang w:eastAsia="en-US"/>
        </w:rPr>
        <w:t xml:space="preserve"> to ensure that double storey dwellings would not be visible from within the creek corridor, wherever this was possible. </w:t>
      </w:r>
      <w:r>
        <w:rPr>
          <w:rFonts w:asciiTheme="minorHAnsi" w:hAnsiTheme="minorHAnsi"/>
          <w:sz w:val="22"/>
          <w:lang w:eastAsia="en-US"/>
        </w:rPr>
        <w:t xml:space="preserve"> </w:t>
      </w:r>
      <w:r w:rsidRPr="000411CF">
        <w:rPr>
          <w:rFonts w:asciiTheme="minorHAnsi" w:hAnsiTheme="minorHAnsi"/>
          <w:sz w:val="22"/>
          <w:lang w:eastAsia="en-US"/>
        </w:rPr>
        <w:t xml:space="preserve">The ‘non-visual’ setback was defined in areas where this visual intrusion was unlikely to occur, </w:t>
      </w:r>
      <w:r>
        <w:rPr>
          <w:rFonts w:asciiTheme="minorHAnsi" w:hAnsiTheme="minorHAnsi"/>
          <w:sz w:val="22"/>
          <w:lang w:eastAsia="en-US"/>
        </w:rPr>
        <w:t xml:space="preserve">but </w:t>
      </w:r>
      <w:r w:rsidRPr="000411CF">
        <w:rPr>
          <w:rFonts w:asciiTheme="minorHAnsi" w:hAnsiTheme="minorHAnsi"/>
          <w:sz w:val="22"/>
          <w:lang w:eastAsia="en-US"/>
        </w:rPr>
        <w:t>a usable and well</w:t>
      </w:r>
      <w:r>
        <w:rPr>
          <w:rFonts w:asciiTheme="minorHAnsi" w:hAnsiTheme="minorHAnsi"/>
          <w:sz w:val="22"/>
          <w:lang w:eastAsia="en-US"/>
        </w:rPr>
        <w:t>-</w:t>
      </w:r>
      <w:r w:rsidRPr="000411CF">
        <w:rPr>
          <w:rFonts w:asciiTheme="minorHAnsi" w:hAnsiTheme="minorHAnsi"/>
          <w:sz w:val="22"/>
          <w:lang w:eastAsia="en-US"/>
        </w:rPr>
        <w:t>defined passive open space buffer to the break of slope was</w:t>
      </w:r>
      <w:r>
        <w:rPr>
          <w:rFonts w:asciiTheme="minorHAnsi" w:hAnsiTheme="minorHAnsi"/>
          <w:sz w:val="22"/>
          <w:lang w:eastAsia="en-US"/>
        </w:rPr>
        <w:t xml:space="preserve"> nevertheless</w:t>
      </w:r>
      <w:r w:rsidRPr="000411CF">
        <w:rPr>
          <w:rFonts w:asciiTheme="minorHAnsi" w:hAnsiTheme="minorHAnsi"/>
          <w:sz w:val="22"/>
          <w:lang w:eastAsia="en-US"/>
        </w:rPr>
        <w:t xml:space="preserve"> desirable.</w:t>
      </w:r>
    </w:p>
    <w:p w:rsidR="0033733F" w:rsidRPr="000411CF" w:rsidRDefault="0033733F" w:rsidP="0033733F">
      <w:pPr>
        <w:rPr>
          <w:rFonts w:asciiTheme="minorHAnsi" w:hAnsiTheme="minorHAnsi"/>
          <w:sz w:val="22"/>
          <w:lang w:eastAsia="en-US"/>
        </w:rPr>
      </w:pPr>
      <w:proofErr w:type="gramStart"/>
      <w:r w:rsidRPr="000411CF">
        <w:rPr>
          <w:rFonts w:asciiTheme="minorHAnsi" w:hAnsiTheme="minorHAnsi"/>
          <w:sz w:val="22"/>
          <w:lang w:eastAsia="en-US"/>
        </w:rPr>
        <w:t>A number of</w:t>
      </w:r>
      <w:proofErr w:type="gramEnd"/>
      <w:r w:rsidRPr="000411CF">
        <w:rPr>
          <w:rFonts w:asciiTheme="minorHAnsi" w:hAnsiTheme="minorHAnsi"/>
          <w:sz w:val="22"/>
          <w:lang w:eastAsia="en-US"/>
        </w:rPr>
        <w:t xml:space="preserve"> submissions contended that the mandatory setback of 40 metres associated with the ‘visual’ interface </w:t>
      </w:r>
      <w:r>
        <w:rPr>
          <w:rFonts w:asciiTheme="minorHAnsi" w:hAnsiTheme="minorHAnsi"/>
          <w:sz w:val="22"/>
          <w:lang w:eastAsia="en-US"/>
        </w:rPr>
        <w:t>was excessive,</w:t>
      </w:r>
      <w:r w:rsidRPr="000411CF">
        <w:rPr>
          <w:rFonts w:asciiTheme="minorHAnsi" w:hAnsiTheme="minorHAnsi"/>
          <w:sz w:val="22"/>
          <w:lang w:eastAsia="en-US"/>
        </w:rPr>
        <w:t xml:space="preserve"> and that</w:t>
      </w:r>
      <w:r>
        <w:rPr>
          <w:rFonts w:asciiTheme="minorHAnsi" w:hAnsiTheme="minorHAnsi"/>
          <w:sz w:val="22"/>
          <w:lang w:eastAsia="en-US"/>
        </w:rPr>
        <w:t xml:space="preserve"> </w:t>
      </w:r>
      <w:r w:rsidRPr="000411CF">
        <w:rPr>
          <w:rFonts w:asciiTheme="minorHAnsi" w:hAnsiTheme="minorHAnsi"/>
          <w:sz w:val="22"/>
          <w:lang w:eastAsia="en-US"/>
        </w:rPr>
        <w:t>flexibility</w:t>
      </w:r>
      <w:r>
        <w:rPr>
          <w:rFonts w:asciiTheme="minorHAnsi" w:hAnsiTheme="minorHAnsi"/>
          <w:sz w:val="22"/>
          <w:lang w:eastAsia="en-US"/>
        </w:rPr>
        <w:t xml:space="preserve"> should be provided</w:t>
      </w:r>
      <w:r w:rsidRPr="000411CF">
        <w:rPr>
          <w:rFonts w:asciiTheme="minorHAnsi" w:hAnsiTheme="minorHAnsi"/>
          <w:sz w:val="22"/>
          <w:lang w:eastAsia="en-US"/>
        </w:rPr>
        <w:t xml:space="preserve"> in</w:t>
      </w:r>
      <w:r>
        <w:rPr>
          <w:rFonts w:asciiTheme="minorHAnsi" w:hAnsiTheme="minorHAnsi"/>
          <w:sz w:val="22"/>
          <w:lang w:eastAsia="en-US"/>
        </w:rPr>
        <w:t xml:space="preserve"> relation to</w:t>
      </w:r>
      <w:r w:rsidRPr="000411CF">
        <w:rPr>
          <w:rFonts w:asciiTheme="minorHAnsi" w:hAnsiTheme="minorHAnsi"/>
          <w:sz w:val="22"/>
          <w:lang w:eastAsia="en-US"/>
        </w:rPr>
        <w:t xml:space="preserve"> both </w:t>
      </w:r>
      <w:r>
        <w:rPr>
          <w:rFonts w:asciiTheme="minorHAnsi" w:hAnsiTheme="minorHAnsi"/>
          <w:sz w:val="22"/>
          <w:lang w:eastAsia="en-US"/>
        </w:rPr>
        <w:t xml:space="preserve">distance and setback components to allow </w:t>
      </w:r>
      <w:r w:rsidRPr="000411CF">
        <w:rPr>
          <w:rFonts w:asciiTheme="minorHAnsi" w:hAnsiTheme="minorHAnsi"/>
          <w:sz w:val="22"/>
          <w:lang w:eastAsia="en-US"/>
        </w:rPr>
        <w:t>locally appropriate variation to be considered.</w:t>
      </w:r>
    </w:p>
    <w:p w:rsidR="0033733F" w:rsidRPr="000411CF" w:rsidRDefault="0033733F" w:rsidP="0033733F">
      <w:pPr>
        <w:rPr>
          <w:rFonts w:asciiTheme="minorHAnsi" w:hAnsiTheme="minorHAnsi"/>
          <w:sz w:val="22"/>
          <w:lang w:eastAsia="en-US"/>
        </w:rPr>
      </w:pPr>
      <w:r w:rsidRPr="000411CF">
        <w:rPr>
          <w:rFonts w:asciiTheme="minorHAnsi" w:hAnsiTheme="minorHAnsi"/>
          <w:sz w:val="22"/>
          <w:lang w:eastAsia="en-US"/>
        </w:rPr>
        <w:t xml:space="preserve">In </w:t>
      </w:r>
      <w:r>
        <w:rPr>
          <w:rFonts w:asciiTheme="minorHAnsi" w:hAnsiTheme="minorHAnsi"/>
          <w:sz w:val="22"/>
          <w:lang w:eastAsia="en-US"/>
        </w:rPr>
        <w:t>response to</w:t>
      </w:r>
      <w:r w:rsidRPr="000411CF">
        <w:rPr>
          <w:rFonts w:asciiTheme="minorHAnsi" w:hAnsiTheme="minorHAnsi"/>
          <w:sz w:val="22"/>
          <w:lang w:eastAsia="en-US"/>
        </w:rPr>
        <w:t xml:space="preserve"> submissions, the VPA has reviewed the locations for the application of these setbacks, particular</w:t>
      </w:r>
      <w:r>
        <w:rPr>
          <w:rFonts w:asciiTheme="minorHAnsi" w:hAnsiTheme="minorHAnsi"/>
          <w:sz w:val="22"/>
          <w:lang w:eastAsia="en-US"/>
        </w:rPr>
        <w:t>ly</w:t>
      </w:r>
      <w:r w:rsidRPr="000411CF">
        <w:rPr>
          <w:rFonts w:asciiTheme="minorHAnsi" w:hAnsiTheme="minorHAnsi"/>
          <w:sz w:val="22"/>
          <w:lang w:eastAsia="en-US"/>
        </w:rPr>
        <w:t xml:space="preserve"> the ‘visual’ interf</w:t>
      </w:r>
      <w:r>
        <w:rPr>
          <w:rFonts w:asciiTheme="minorHAnsi" w:hAnsiTheme="minorHAnsi"/>
          <w:sz w:val="22"/>
          <w:lang w:eastAsia="en-US"/>
        </w:rPr>
        <w:t>ace treatment, having regard to</w:t>
      </w:r>
      <w:r w:rsidRPr="000411CF">
        <w:rPr>
          <w:rFonts w:asciiTheme="minorHAnsi" w:hAnsiTheme="minorHAnsi"/>
          <w:sz w:val="22"/>
          <w:lang w:eastAsia="en-US"/>
        </w:rPr>
        <w:t xml:space="preserve"> locations where the visual intrusion of development upon the creek corridors may be impossible to avoid, and whether in certain instances some discretion should be built into the PSPs to allow variations to these setbacks. </w:t>
      </w:r>
    </w:p>
    <w:p w:rsidR="0033733F" w:rsidRPr="000411CF" w:rsidRDefault="0033733F" w:rsidP="0033733F">
      <w:pPr>
        <w:rPr>
          <w:rFonts w:asciiTheme="minorHAnsi" w:hAnsiTheme="minorHAnsi"/>
          <w:sz w:val="22"/>
          <w:lang w:eastAsia="en-US"/>
        </w:rPr>
      </w:pPr>
      <w:r w:rsidRPr="000411CF">
        <w:rPr>
          <w:rFonts w:asciiTheme="minorHAnsi" w:hAnsiTheme="minorHAnsi"/>
          <w:sz w:val="22"/>
          <w:lang w:eastAsia="en-US"/>
        </w:rPr>
        <w:t>The VPA now proposes to apply the following cross-sections to the creek corridors and waterways:</w:t>
      </w:r>
    </w:p>
    <w:p w:rsidR="0033733F" w:rsidRPr="00ED407F" w:rsidRDefault="0033733F" w:rsidP="0033733F">
      <w:pPr>
        <w:rPr>
          <w:rFonts w:asciiTheme="minorHAnsi" w:hAnsiTheme="minorHAnsi"/>
          <w:sz w:val="22"/>
          <w:lang w:eastAsia="en-US"/>
        </w:rPr>
      </w:pPr>
      <w:r w:rsidRPr="00ED407F">
        <w:rPr>
          <w:rFonts w:asciiTheme="minorHAnsi" w:hAnsiTheme="minorHAnsi"/>
          <w:sz w:val="22"/>
          <w:lang w:eastAsia="en-US"/>
        </w:rPr>
        <w:lastRenderedPageBreak/>
        <w:t>Regionally Significant Landscape: Escarpment top – Visually sensitive</w:t>
      </w:r>
    </w:p>
    <w:p w:rsidR="0033733F" w:rsidRDefault="0033733F" w:rsidP="0033733F">
      <w:pPr>
        <w:pStyle w:val="ListParagraph"/>
        <w:numPr>
          <w:ilvl w:val="0"/>
          <w:numId w:val="21"/>
        </w:numPr>
      </w:pPr>
      <w:r>
        <w:t xml:space="preserve">Total setback of 40m to the lot boundary, comprising a 5.0m vegetation buffer to the escarpment, 20.2m linear open space (including 3m shared path and 1m berth either side), and a 14.8m road reserve. </w:t>
      </w:r>
    </w:p>
    <w:p w:rsidR="0033733F" w:rsidRDefault="0033733F" w:rsidP="0033733F">
      <w:pPr>
        <w:pStyle w:val="ListParagraph"/>
        <w:numPr>
          <w:ilvl w:val="0"/>
          <w:numId w:val="21"/>
        </w:numPr>
      </w:pPr>
      <w:r>
        <w:t xml:space="preserve">Applies to the Jackson Creek corridor and Emu Creek corridor wherever development is proposed directly adjacent to the primary creek corridor, and where there is an escarpment. </w:t>
      </w:r>
    </w:p>
    <w:p w:rsidR="0033733F" w:rsidRDefault="0033733F" w:rsidP="0033733F">
      <w:pPr>
        <w:pStyle w:val="ListParagraph"/>
        <w:numPr>
          <w:ilvl w:val="0"/>
          <w:numId w:val="21"/>
        </w:numPr>
      </w:pPr>
      <w:r>
        <w:t xml:space="preserve">The setbacks defined in this control are </w:t>
      </w:r>
      <w:r w:rsidRPr="00BF4CAB">
        <w:t>mandatory.</w:t>
      </w:r>
      <w:r>
        <w:t xml:space="preserve"> </w:t>
      </w:r>
    </w:p>
    <w:p w:rsidR="0033733F" w:rsidRPr="00ED407F" w:rsidRDefault="0033733F" w:rsidP="001467AF">
      <w:pPr>
        <w:keepNext/>
        <w:rPr>
          <w:rFonts w:asciiTheme="minorHAnsi" w:hAnsiTheme="minorHAnsi"/>
          <w:sz w:val="22"/>
          <w:lang w:eastAsia="en-US"/>
        </w:rPr>
      </w:pPr>
      <w:r w:rsidRPr="00ED407F">
        <w:rPr>
          <w:rFonts w:asciiTheme="minorHAnsi" w:hAnsiTheme="minorHAnsi"/>
          <w:sz w:val="22"/>
          <w:lang w:eastAsia="en-US"/>
        </w:rPr>
        <w:t xml:space="preserve">Regionally Significant Landscape: Escarpment top – </w:t>
      </w:r>
      <w:proofErr w:type="gramStart"/>
      <w:r w:rsidRPr="00ED407F">
        <w:rPr>
          <w:rFonts w:asciiTheme="minorHAnsi" w:hAnsiTheme="minorHAnsi"/>
          <w:sz w:val="22"/>
          <w:lang w:eastAsia="en-US"/>
        </w:rPr>
        <w:t>non visually</w:t>
      </w:r>
      <w:proofErr w:type="gramEnd"/>
      <w:r w:rsidRPr="00ED407F">
        <w:rPr>
          <w:rFonts w:asciiTheme="minorHAnsi" w:hAnsiTheme="minorHAnsi"/>
          <w:sz w:val="22"/>
          <w:lang w:eastAsia="en-US"/>
        </w:rPr>
        <w:t xml:space="preserve"> sensitive</w:t>
      </w:r>
    </w:p>
    <w:p w:rsidR="0033733F" w:rsidRPr="00BF4CAB" w:rsidRDefault="0033733F" w:rsidP="001467AF">
      <w:pPr>
        <w:pStyle w:val="ListParagraph"/>
        <w:keepNext/>
        <w:numPr>
          <w:ilvl w:val="0"/>
          <w:numId w:val="21"/>
        </w:numPr>
      </w:pPr>
      <w:r>
        <w:t xml:space="preserve">Total setback of 27.3m to the lot boundary, comprising a 5.0m vegetation buffer to the escarpment, 7.5m linear open space (including 3m shared path and 1m berm either side), and a 14.8m road reserve. </w:t>
      </w:r>
    </w:p>
    <w:p w:rsidR="0033733F" w:rsidRPr="00BF4CAB" w:rsidRDefault="0033733F" w:rsidP="0033733F">
      <w:pPr>
        <w:pStyle w:val="ListParagraph"/>
        <w:numPr>
          <w:ilvl w:val="0"/>
          <w:numId w:val="21"/>
        </w:numPr>
      </w:pPr>
      <w:r>
        <w:t xml:space="preserve">Applies to the Jackson and Emu Creek corridors and tributaries where the escarpment does not directly interface with the primary creek corridors. </w:t>
      </w:r>
    </w:p>
    <w:p w:rsidR="0033733F" w:rsidRPr="00BF4CAB" w:rsidRDefault="0033733F" w:rsidP="0033733F">
      <w:pPr>
        <w:pStyle w:val="ListParagraph"/>
        <w:numPr>
          <w:ilvl w:val="0"/>
          <w:numId w:val="21"/>
        </w:numPr>
      </w:pPr>
      <w:r>
        <w:t xml:space="preserve">The setbacks defined in this control are </w:t>
      </w:r>
      <w:r w:rsidRPr="00BF4CAB">
        <w:t>discretionary</w:t>
      </w:r>
      <w:r>
        <w:t xml:space="preserve">, and may be altered to the satisfaction of the responsible authority. </w:t>
      </w:r>
    </w:p>
    <w:p w:rsidR="0033733F" w:rsidRPr="00ED407F" w:rsidRDefault="0033733F" w:rsidP="0033733F">
      <w:pPr>
        <w:rPr>
          <w:rFonts w:asciiTheme="minorHAnsi" w:hAnsiTheme="minorHAnsi"/>
          <w:sz w:val="22"/>
          <w:lang w:eastAsia="en-US"/>
        </w:rPr>
      </w:pPr>
      <w:r w:rsidRPr="00ED407F">
        <w:rPr>
          <w:rFonts w:asciiTheme="minorHAnsi" w:hAnsiTheme="minorHAnsi"/>
          <w:sz w:val="22"/>
          <w:lang w:eastAsia="en-US"/>
        </w:rPr>
        <w:t xml:space="preserve">Interface with Waterway </w:t>
      </w:r>
    </w:p>
    <w:p w:rsidR="0033733F" w:rsidRPr="00BF4CAB" w:rsidRDefault="0033733F" w:rsidP="0033733F">
      <w:pPr>
        <w:pStyle w:val="ListParagraph"/>
        <w:numPr>
          <w:ilvl w:val="0"/>
          <w:numId w:val="21"/>
        </w:numPr>
      </w:pPr>
      <w:r>
        <w:t xml:space="preserve">Comprises a 3.0m shared path within a vegetation buffer (distance unspecified), adjacent to the Local Access Street Level 1 cross-section (16m). </w:t>
      </w:r>
    </w:p>
    <w:p w:rsidR="0033733F" w:rsidRPr="00BF4CAB" w:rsidRDefault="0033733F" w:rsidP="0033733F">
      <w:pPr>
        <w:pStyle w:val="ListParagraph"/>
        <w:numPr>
          <w:ilvl w:val="0"/>
          <w:numId w:val="21"/>
        </w:numPr>
      </w:pPr>
      <w:r>
        <w:t xml:space="preserve">Applies to all remaining areas of tributaries and constructed waterways. </w:t>
      </w:r>
    </w:p>
    <w:p w:rsidR="0033733F" w:rsidRPr="00ED407F" w:rsidRDefault="0033733F" w:rsidP="0033733F">
      <w:pPr>
        <w:rPr>
          <w:rFonts w:asciiTheme="minorHAnsi" w:hAnsiTheme="minorHAnsi"/>
          <w:sz w:val="22"/>
          <w:lang w:eastAsia="en-US"/>
        </w:rPr>
      </w:pPr>
      <w:r w:rsidRPr="00ED407F">
        <w:rPr>
          <w:rFonts w:asciiTheme="minorHAnsi" w:hAnsiTheme="minorHAnsi"/>
          <w:sz w:val="22"/>
          <w:lang w:eastAsia="en-US"/>
        </w:rPr>
        <w:t>Interface with Conservation Area</w:t>
      </w:r>
    </w:p>
    <w:p w:rsidR="0033733F" w:rsidRDefault="0033733F" w:rsidP="0033733F">
      <w:pPr>
        <w:pStyle w:val="ListParagraph"/>
        <w:numPr>
          <w:ilvl w:val="0"/>
          <w:numId w:val="21"/>
        </w:numPr>
      </w:pPr>
      <w:r>
        <w:t>These have been developed with DELWP to respond to the different conservation area types – see section 3.</w:t>
      </w:r>
      <w:r w:rsidR="00900F0F">
        <w:t>8</w:t>
      </w:r>
      <w:r>
        <w:t>.11 above.</w:t>
      </w:r>
    </w:p>
    <w:p w:rsidR="00E123D4" w:rsidRPr="00024F84" w:rsidRDefault="00E123D4" w:rsidP="00E123D4">
      <w:pPr>
        <w:rPr>
          <w:rFonts w:asciiTheme="minorHAnsi" w:hAnsiTheme="minorHAnsi"/>
          <w:lang w:eastAsia="en-US"/>
        </w:rPr>
      </w:pPr>
    </w:p>
    <w:p w:rsidR="00900F0F" w:rsidRPr="00024F84" w:rsidRDefault="00900F0F" w:rsidP="00900F0F">
      <w:pPr>
        <w:pStyle w:val="Heading1"/>
        <w:rPr>
          <w:rFonts w:asciiTheme="minorHAnsi" w:hAnsiTheme="minorHAnsi"/>
        </w:rPr>
      </w:pPr>
      <w:bookmarkStart w:id="24" w:name="_Toc491027660"/>
      <w:bookmarkStart w:id="25" w:name="_Toc488335743"/>
      <w:r>
        <w:rPr>
          <w:rFonts w:asciiTheme="minorHAnsi" w:hAnsiTheme="minorHAnsi"/>
        </w:rPr>
        <w:lastRenderedPageBreak/>
        <w:t>Removal of restrictive covenants</w:t>
      </w:r>
      <w:bookmarkEnd w:id="24"/>
      <w:r>
        <w:rPr>
          <w:rFonts w:asciiTheme="minorHAnsi" w:hAnsiTheme="minorHAnsi"/>
        </w:rPr>
        <w:t xml:space="preserve"> </w:t>
      </w:r>
    </w:p>
    <w:p w:rsidR="00900F0F" w:rsidRDefault="00900F0F" w:rsidP="00900F0F">
      <w:pPr>
        <w:rPr>
          <w:rFonts w:asciiTheme="minorHAnsi" w:hAnsiTheme="minorHAnsi"/>
          <w:sz w:val="22"/>
          <w:lang w:eastAsia="en-US"/>
        </w:rPr>
      </w:pPr>
      <w:r>
        <w:rPr>
          <w:rFonts w:asciiTheme="minorHAnsi" w:hAnsiTheme="minorHAnsi"/>
          <w:sz w:val="22"/>
          <w:lang w:eastAsia="en-US"/>
        </w:rPr>
        <w:t>Amendment C208 proposes to amend the Schedule to Clause 52.02 (Easements, restrictions and reserves) to remove the restrictive covenants contained in:</w:t>
      </w:r>
    </w:p>
    <w:p w:rsidR="00900F0F" w:rsidRDefault="00900F0F" w:rsidP="00900F0F">
      <w:pPr>
        <w:pStyle w:val="ListParagraph"/>
        <w:numPr>
          <w:ilvl w:val="0"/>
          <w:numId w:val="21"/>
        </w:numPr>
      </w:pPr>
      <w:r>
        <w:t>instrument of transfer n</w:t>
      </w:r>
      <w:r w:rsidRPr="00DA6993">
        <w:t xml:space="preserve">o. V178361Y from 5 Stockwell Drive, Sunbury (Lot 2 on PS403051); and </w:t>
      </w:r>
    </w:p>
    <w:p w:rsidR="00900F0F" w:rsidRPr="00955212" w:rsidRDefault="00900F0F" w:rsidP="00900F0F">
      <w:pPr>
        <w:pStyle w:val="ListParagraph"/>
        <w:numPr>
          <w:ilvl w:val="0"/>
          <w:numId w:val="21"/>
        </w:numPr>
      </w:pPr>
      <w:r>
        <w:t>instrument of t</w:t>
      </w:r>
      <w:r w:rsidRPr="00DA6993">
        <w:t xml:space="preserve">ransfer </w:t>
      </w:r>
      <w:r>
        <w:t>n</w:t>
      </w:r>
      <w:r w:rsidRPr="00DA6993">
        <w:t xml:space="preserve">o. V161817C from 11 Stockwell Drive, Sunbury (Lot 1 on </w:t>
      </w:r>
      <w:r w:rsidRPr="00955212">
        <w:t>PS403051).</w:t>
      </w:r>
    </w:p>
    <w:p w:rsidR="00900F0F" w:rsidRPr="00955212" w:rsidRDefault="00900F0F" w:rsidP="00900F0F">
      <w:pPr>
        <w:rPr>
          <w:rFonts w:asciiTheme="minorHAnsi" w:hAnsiTheme="minorHAnsi"/>
          <w:sz w:val="22"/>
          <w:lang w:eastAsia="en-US"/>
        </w:rPr>
      </w:pPr>
      <w:r w:rsidRPr="00955212">
        <w:rPr>
          <w:rFonts w:asciiTheme="minorHAnsi" w:hAnsiTheme="minorHAnsi"/>
          <w:sz w:val="22"/>
          <w:lang w:eastAsia="en-US"/>
        </w:rPr>
        <w:t xml:space="preserve">These documents are included in the folders provided to the Panel.  </w:t>
      </w:r>
    </w:p>
    <w:p w:rsidR="00900F0F" w:rsidRDefault="00900F0F" w:rsidP="00900F0F">
      <w:pPr>
        <w:rPr>
          <w:rFonts w:asciiTheme="minorHAnsi" w:hAnsiTheme="minorHAnsi"/>
          <w:sz w:val="22"/>
          <w:lang w:eastAsia="en-US"/>
        </w:rPr>
      </w:pPr>
      <w:r w:rsidRPr="00E41FCE">
        <w:rPr>
          <w:rFonts w:asciiTheme="minorHAnsi" w:hAnsiTheme="minorHAnsi"/>
          <w:sz w:val="22"/>
          <w:lang w:eastAsia="en-US"/>
        </w:rPr>
        <w:t xml:space="preserve">A </w:t>
      </w:r>
      <w:r>
        <w:rPr>
          <w:rFonts w:asciiTheme="minorHAnsi" w:hAnsiTheme="minorHAnsi"/>
          <w:sz w:val="22"/>
          <w:lang w:eastAsia="en-US"/>
        </w:rPr>
        <w:t>covenant can be removed or varied through a planning scheme amendment pursuant to section 6(2)(g) of the P&amp;E Act.</w:t>
      </w:r>
    </w:p>
    <w:p w:rsidR="00900F0F" w:rsidRPr="00C67082" w:rsidRDefault="00900F0F" w:rsidP="00900F0F">
      <w:pPr>
        <w:rPr>
          <w:rFonts w:asciiTheme="minorHAnsi" w:hAnsiTheme="minorHAnsi"/>
          <w:sz w:val="22"/>
          <w:lang w:eastAsia="en-US"/>
        </w:rPr>
      </w:pPr>
      <w:r w:rsidRPr="00C67082">
        <w:rPr>
          <w:rFonts w:asciiTheme="minorHAnsi" w:hAnsiTheme="minorHAnsi"/>
          <w:sz w:val="22"/>
          <w:lang w:eastAsia="en-US"/>
        </w:rPr>
        <w:t xml:space="preserve">No specific tests are set out in the </w:t>
      </w:r>
      <w:r>
        <w:rPr>
          <w:rFonts w:asciiTheme="minorHAnsi" w:hAnsiTheme="minorHAnsi"/>
          <w:sz w:val="22"/>
          <w:lang w:eastAsia="en-US"/>
        </w:rPr>
        <w:t xml:space="preserve">P&amp;E </w:t>
      </w:r>
      <w:r w:rsidRPr="00C67082">
        <w:rPr>
          <w:rFonts w:asciiTheme="minorHAnsi" w:hAnsiTheme="minorHAnsi"/>
          <w:sz w:val="22"/>
          <w:lang w:eastAsia="en-US"/>
        </w:rPr>
        <w:t xml:space="preserve">Act for a planning scheme amendment that authorises the removal of a covenant. </w:t>
      </w:r>
      <w:r>
        <w:rPr>
          <w:rFonts w:asciiTheme="minorHAnsi" w:hAnsiTheme="minorHAnsi"/>
          <w:sz w:val="22"/>
          <w:lang w:eastAsia="en-US"/>
        </w:rPr>
        <w:t xml:space="preserve"> The VPA notes that Planning P</w:t>
      </w:r>
      <w:r w:rsidRPr="00C67082">
        <w:rPr>
          <w:rFonts w:asciiTheme="minorHAnsi" w:hAnsiTheme="minorHAnsi"/>
          <w:sz w:val="22"/>
          <w:lang w:eastAsia="en-US"/>
        </w:rPr>
        <w:t xml:space="preserve">anels have </w:t>
      </w:r>
      <w:r>
        <w:rPr>
          <w:rFonts w:asciiTheme="minorHAnsi" w:hAnsiTheme="minorHAnsi"/>
          <w:sz w:val="22"/>
          <w:lang w:eastAsia="en-US"/>
        </w:rPr>
        <w:t xml:space="preserve">previously </w:t>
      </w:r>
      <w:r w:rsidRPr="00C67082">
        <w:rPr>
          <w:rFonts w:asciiTheme="minorHAnsi" w:hAnsiTheme="minorHAnsi"/>
          <w:sz w:val="22"/>
          <w:lang w:eastAsia="en-US"/>
        </w:rPr>
        <w:t xml:space="preserve">found that while potential detriment to landowners who benefit from the covenant is a relevant consideration, the ‘detriment’ test that applies under section 60(5) of the </w:t>
      </w:r>
      <w:r>
        <w:rPr>
          <w:rFonts w:asciiTheme="minorHAnsi" w:hAnsiTheme="minorHAnsi"/>
          <w:sz w:val="22"/>
          <w:lang w:eastAsia="en-US"/>
        </w:rPr>
        <w:t xml:space="preserve">P&amp;E </w:t>
      </w:r>
      <w:r w:rsidRPr="00C67082">
        <w:rPr>
          <w:rFonts w:asciiTheme="minorHAnsi" w:hAnsiTheme="minorHAnsi"/>
          <w:sz w:val="22"/>
          <w:lang w:eastAsia="en-US"/>
        </w:rPr>
        <w:t xml:space="preserve">Act for a permit application should not be applied to an amendment. </w:t>
      </w:r>
      <w:r>
        <w:rPr>
          <w:rFonts w:asciiTheme="minorHAnsi" w:hAnsiTheme="minorHAnsi"/>
          <w:sz w:val="22"/>
          <w:lang w:eastAsia="en-US"/>
        </w:rPr>
        <w:t xml:space="preserve"> </w:t>
      </w:r>
      <w:r w:rsidRPr="00C67082">
        <w:rPr>
          <w:rFonts w:asciiTheme="minorHAnsi" w:hAnsiTheme="minorHAnsi"/>
          <w:sz w:val="22"/>
          <w:lang w:eastAsia="en-US"/>
        </w:rPr>
        <w:t>The widely accepted criteria for an amendment to authorise variation or removal of a covenant are those set out in the Mornington Peninsula C46 Panel report</w:t>
      </w:r>
      <w:r>
        <w:rPr>
          <w:rFonts w:asciiTheme="minorHAnsi" w:hAnsiTheme="minorHAnsi"/>
          <w:sz w:val="22"/>
          <w:lang w:eastAsia="en-US"/>
        </w:rPr>
        <w:t xml:space="preserve"> as follows</w:t>
      </w:r>
      <w:r w:rsidRPr="00C67082">
        <w:rPr>
          <w:rFonts w:asciiTheme="minorHAnsi" w:hAnsiTheme="minorHAnsi"/>
          <w:sz w:val="22"/>
          <w:lang w:eastAsia="en-US"/>
        </w:rPr>
        <w:t>:</w:t>
      </w:r>
    </w:p>
    <w:p w:rsidR="00900F0F" w:rsidRPr="00EC66EA" w:rsidRDefault="00900F0F" w:rsidP="00900F0F">
      <w:pPr>
        <w:ind w:left="709"/>
        <w:rPr>
          <w:rFonts w:asciiTheme="minorHAnsi" w:hAnsiTheme="minorHAnsi"/>
          <w:i/>
          <w:sz w:val="22"/>
          <w:lang w:eastAsia="en-US"/>
        </w:rPr>
      </w:pPr>
      <w:r w:rsidRPr="00EC66EA">
        <w:rPr>
          <w:rFonts w:asciiTheme="minorHAnsi" w:hAnsiTheme="minorHAnsi"/>
          <w:i/>
          <w:sz w:val="22"/>
          <w:lang w:eastAsia="en-US"/>
        </w:rPr>
        <w:t>First, the Panel should be satisfied that the Amendment would further the objectives of planning in Victoria. The Panel must have regard to the Minister’s Directions, the planning provisions, MSS, strategic plans, policy statements, codes or guidelines in the Scheme, and significant effects the Amendment might have on the environment, or which the environment might have on any use or development envisaged in the Amendment.</w:t>
      </w:r>
    </w:p>
    <w:p w:rsidR="00900F0F" w:rsidRPr="00EC66EA" w:rsidRDefault="00900F0F" w:rsidP="00900F0F">
      <w:pPr>
        <w:ind w:left="709"/>
        <w:rPr>
          <w:rFonts w:asciiTheme="minorHAnsi" w:hAnsiTheme="minorHAnsi"/>
          <w:i/>
          <w:sz w:val="22"/>
          <w:lang w:eastAsia="en-US"/>
        </w:rPr>
      </w:pPr>
      <w:r w:rsidRPr="00EC66EA">
        <w:rPr>
          <w:rFonts w:asciiTheme="minorHAnsi" w:hAnsiTheme="minorHAnsi"/>
          <w:i/>
          <w:sz w:val="22"/>
          <w:lang w:eastAsia="en-US"/>
        </w:rPr>
        <w:t>Second, the Panel should consider the interests of affected parties, including the beneficiaries of the covenant. It may be a wise precaution in some instances to direct the Council to engage a lawyer to ensure that the beneficiaries have been correctly identified and notified.</w:t>
      </w:r>
    </w:p>
    <w:p w:rsidR="00900F0F" w:rsidRPr="00EC66EA" w:rsidRDefault="00900F0F" w:rsidP="00900F0F">
      <w:pPr>
        <w:ind w:left="709"/>
        <w:rPr>
          <w:rFonts w:asciiTheme="minorHAnsi" w:hAnsiTheme="minorHAnsi"/>
          <w:i/>
          <w:sz w:val="22"/>
          <w:lang w:eastAsia="en-US"/>
        </w:rPr>
      </w:pPr>
      <w:r w:rsidRPr="00EC66EA">
        <w:rPr>
          <w:rFonts w:asciiTheme="minorHAnsi" w:hAnsiTheme="minorHAnsi"/>
          <w:i/>
          <w:sz w:val="22"/>
          <w:lang w:eastAsia="en-US"/>
        </w:rPr>
        <w:t>Third, the Panel should consider whether the removal or variation of the covenant would enable a use or development that complies with the planning scheme.</w:t>
      </w:r>
    </w:p>
    <w:p w:rsidR="00900F0F" w:rsidRPr="00EC66EA" w:rsidRDefault="00900F0F" w:rsidP="00900F0F">
      <w:pPr>
        <w:ind w:left="709"/>
        <w:rPr>
          <w:rFonts w:asciiTheme="minorHAnsi" w:hAnsiTheme="minorHAnsi"/>
          <w:i/>
          <w:sz w:val="22"/>
          <w:lang w:eastAsia="en-US"/>
        </w:rPr>
      </w:pPr>
      <w:r w:rsidRPr="00EC66EA">
        <w:rPr>
          <w:rFonts w:asciiTheme="minorHAnsi" w:hAnsiTheme="minorHAnsi"/>
          <w:i/>
          <w:sz w:val="22"/>
          <w:lang w:eastAsia="en-US"/>
        </w:rPr>
        <w:t>Finally, the Panel should balance conflicting policy objectives in favour of net community benefit and sustainable development. If the Panel concludes that there will be a net community benefit and sustainable development it should recommend the variation or removal of the covenant.</w:t>
      </w:r>
    </w:p>
    <w:p w:rsidR="00900F0F" w:rsidRPr="00AC7EBD" w:rsidRDefault="00900F0F" w:rsidP="00900F0F">
      <w:pPr>
        <w:rPr>
          <w:rFonts w:asciiTheme="minorHAnsi" w:hAnsiTheme="minorHAnsi"/>
          <w:sz w:val="22"/>
          <w:lang w:eastAsia="en-US"/>
        </w:rPr>
      </w:pPr>
      <w:r w:rsidRPr="00AC7EBD">
        <w:rPr>
          <w:rFonts w:asciiTheme="minorHAnsi" w:hAnsiTheme="minorHAnsi"/>
          <w:sz w:val="22"/>
          <w:lang w:eastAsia="en-US"/>
        </w:rPr>
        <w:t>The covenant in V178361Y that applies to 5 Stockwell Drive is dated from 1998 and provides that the owner must not:</w:t>
      </w:r>
    </w:p>
    <w:p w:rsidR="00900F0F" w:rsidRPr="00AC7EBD" w:rsidRDefault="00900F0F" w:rsidP="00900F0F">
      <w:pPr>
        <w:pStyle w:val="ListParagraph"/>
        <w:numPr>
          <w:ilvl w:val="0"/>
          <w:numId w:val="63"/>
        </w:numPr>
      </w:pPr>
      <w:bookmarkStart w:id="26" w:name="_Hlk491013276"/>
      <w:r w:rsidRPr="00AC7EBD">
        <w:lastRenderedPageBreak/>
        <w:t xml:space="preserve">construct any building or structure without the consent of the Urban Land Authority; or  </w:t>
      </w:r>
    </w:p>
    <w:bookmarkEnd w:id="26"/>
    <w:p w:rsidR="00900F0F" w:rsidRPr="00AC7EBD" w:rsidRDefault="00900F0F" w:rsidP="00900F0F">
      <w:pPr>
        <w:pStyle w:val="ListParagraph"/>
        <w:numPr>
          <w:ilvl w:val="0"/>
          <w:numId w:val="63"/>
        </w:numPr>
      </w:pPr>
      <w:r w:rsidRPr="00AC7EBD">
        <w:t xml:space="preserve">erect any sign boarding or advertisement without the consent of the Urban Land Authority.  </w:t>
      </w:r>
    </w:p>
    <w:p w:rsidR="00900F0F" w:rsidRPr="00AC7EBD" w:rsidRDefault="00900F0F" w:rsidP="00900F0F">
      <w:pPr>
        <w:rPr>
          <w:rFonts w:asciiTheme="minorHAnsi" w:hAnsiTheme="minorHAnsi"/>
          <w:sz w:val="22"/>
          <w:lang w:eastAsia="en-US"/>
        </w:rPr>
      </w:pPr>
      <w:r w:rsidRPr="00AC7EBD">
        <w:rPr>
          <w:rFonts w:asciiTheme="minorHAnsi" w:hAnsiTheme="minorHAnsi"/>
          <w:sz w:val="22"/>
          <w:lang w:eastAsia="en-US"/>
        </w:rPr>
        <w:t>While the precise form of the covenant in V161817C on 11 Stockwell Drive is cast in slightly different terms</w:t>
      </w:r>
      <w:r>
        <w:rPr>
          <w:rFonts w:asciiTheme="minorHAnsi" w:hAnsiTheme="minorHAnsi"/>
          <w:sz w:val="22"/>
          <w:lang w:eastAsia="en-US"/>
        </w:rPr>
        <w:t>,</w:t>
      </w:r>
      <w:r w:rsidRPr="00AC7EBD">
        <w:rPr>
          <w:rFonts w:asciiTheme="minorHAnsi" w:hAnsiTheme="minorHAnsi"/>
          <w:sz w:val="22"/>
          <w:lang w:eastAsia="en-US"/>
        </w:rPr>
        <w:t xml:space="preserve"> it covers the same obligations.  Both covenants also address an obligation under the </w:t>
      </w:r>
      <w:r w:rsidRPr="009A5C1F">
        <w:rPr>
          <w:rFonts w:asciiTheme="minorHAnsi" w:hAnsiTheme="minorHAnsi"/>
          <w:i/>
          <w:sz w:val="22"/>
          <w:lang w:eastAsia="en-US"/>
        </w:rPr>
        <w:t>Urban Land Authority Act 1979</w:t>
      </w:r>
      <w:r w:rsidRPr="00AC7EBD">
        <w:rPr>
          <w:rFonts w:asciiTheme="minorHAnsi" w:hAnsiTheme="minorHAnsi"/>
          <w:sz w:val="22"/>
          <w:lang w:eastAsia="en-US"/>
        </w:rPr>
        <w:t xml:space="preserve"> that a house will be constructed within 5 years of the purchase.  </w:t>
      </w:r>
    </w:p>
    <w:p w:rsidR="00900F0F" w:rsidRDefault="00900F0F" w:rsidP="00900F0F">
      <w:pPr>
        <w:rPr>
          <w:rFonts w:asciiTheme="minorHAnsi" w:hAnsiTheme="minorHAnsi"/>
          <w:sz w:val="22"/>
          <w:lang w:eastAsia="en-US"/>
        </w:rPr>
      </w:pPr>
      <w:r>
        <w:rPr>
          <w:rFonts w:asciiTheme="minorHAnsi" w:hAnsiTheme="minorHAnsi"/>
          <w:sz w:val="22"/>
          <w:lang w:eastAsia="en-US"/>
        </w:rPr>
        <w:t xml:space="preserve">Importantly, both covenants include a statement that the restrictive obligations in the covenants cease to have effect on 31 December 2005.  The other obligation concerning the construction of a dwelling will have also run.  </w:t>
      </w:r>
    </w:p>
    <w:p w:rsidR="00900F0F" w:rsidRDefault="00900F0F" w:rsidP="00900F0F">
      <w:pPr>
        <w:rPr>
          <w:rFonts w:asciiTheme="minorHAnsi" w:hAnsiTheme="minorHAnsi"/>
          <w:sz w:val="22"/>
          <w:lang w:eastAsia="en-US"/>
        </w:rPr>
      </w:pPr>
      <w:r>
        <w:rPr>
          <w:rFonts w:asciiTheme="minorHAnsi" w:hAnsiTheme="minorHAnsi"/>
          <w:sz w:val="22"/>
          <w:lang w:eastAsia="en-US"/>
        </w:rPr>
        <w:t xml:space="preserve">The Urban Land Authority later became Places Victoria and, more recently, Development Victoria.  </w:t>
      </w:r>
    </w:p>
    <w:p w:rsidR="00900F0F" w:rsidRDefault="00900F0F" w:rsidP="00900F0F">
      <w:pPr>
        <w:rPr>
          <w:rFonts w:asciiTheme="minorHAnsi" w:hAnsiTheme="minorHAnsi"/>
          <w:sz w:val="22"/>
          <w:lang w:eastAsia="en-US"/>
        </w:rPr>
      </w:pPr>
      <w:r>
        <w:rPr>
          <w:rFonts w:asciiTheme="minorHAnsi" w:hAnsiTheme="minorHAnsi"/>
          <w:sz w:val="22"/>
          <w:lang w:eastAsia="en-US"/>
        </w:rPr>
        <w:t>Applying the tests above to what is effectively a ‘dead letter’:</w:t>
      </w:r>
    </w:p>
    <w:p w:rsidR="00900F0F" w:rsidRPr="00AC7EBD" w:rsidRDefault="00900F0F" w:rsidP="00900F0F">
      <w:pPr>
        <w:pStyle w:val="ListParagraph"/>
        <w:numPr>
          <w:ilvl w:val="0"/>
          <w:numId w:val="64"/>
        </w:numPr>
      </w:pPr>
      <w:r w:rsidRPr="00AC7EBD">
        <w:t>The removal of the covenants will be consistent with the objectives of planning in Victoria</w:t>
      </w:r>
      <w:r>
        <w:t>,</w:t>
      </w:r>
      <w:r w:rsidRPr="00AC7EBD">
        <w:t xml:space="preserve"> on the basis that it will remove later obstacles to the urban development of the land.  The support underpinning the PSPs </w:t>
      </w:r>
      <w:r>
        <w:t>also relates to this point</w:t>
      </w:r>
      <w:r w:rsidRPr="00AC7EBD">
        <w:t xml:space="preserve">. </w:t>
      </w:r>
    </w:p>
    <w:p w:rsidR="00900F0F" w:rsidRPr="00AC7EBD" w:rsidRDefault="00900F0F" w:rsidP="00900F0F">
      <w:pPr>
        <w:pStyle w:val="ListParagraph"/>
        <w:numPr>
          <w:ilvl w:val="0"/>
          <w:numId w:val="64"/>
        </w:numPr>
      </w:pPr>
      <w:r w:rsidRPr="00AC7EBD">
        <w:t>Given the covenants are no longer operative</w:t>
      </w:r>
      <w:r>
        <w:t>,</w:t>
      </w:r>
      <w:r w:rsidRPr="00AC7EBD">
        <w:t xml:space="preserve"> there is no negative imposition on the rights of other persons.  </w:t>
      </w:r>
    </w:p>
    <w:p w:rsidR="00900F0F" w:rsidRPr="00AC7EBD" w:rsidRDefault="00900F0F" w:rsidP="00900F0F">
      <w:pPr>
        <w:pStyle w:val="ListParagraph"/>
        <w:numPr>
          <w:ilvl w:val="0"/>
          <w:numId w:val="64"/>
        </w:numPr>
      </w:pPr>
      <w:r w:rsidRPr="00AC7EBD">
        <w:t>The points above result in a net community benefit, however minor</w:t>
      </w:r>
      <w:r>
        <w:t>,</w:t>
      </w:r>
      <w:r w:rsidRPr="00AC7EBD">
        <w:t xml:space="preserve"> arising from the removal.  </w:t>
      </w:r>
    </w:p>
    <w:p w:rsidR="00900F0F" w:rsidRPr="00AC7EBD" w:rsidRDefault="00900F0F" w:rsidP="00900F0F">
      <w:r w:rsidRPr="00AC7EBD">
        <w:rPr>
          <w:rFonts w:asciiTheme="minorHAnsi" w:hAnsiTheme="minorHAnsi"/>
          <w:sz w:val="22"/>
          <w:lang w:eastAsia="en-US"/>
        </w:rPr>
        <w:t xml:space="preserve">The VPA is satisfied that the removal of the covenants is appropriate.  </w:t>
      </w:r>
    </w:p>
    <w:p w:rsidR="00080C27" w:rsidRPr="00024F84" w:rsidRDefault="00080C27" w:rsidP="00AF7DC9">
      <w:pPr>
        <w:rPr>
          <w:rFonts w:asciiTheme="minorHAnsi" w:hAnsiTheme="minorHAnsi"/>
          <w:sz w:val="22"/>
          <w:lang w:val="en-US" w:eastAsia="en-US"/>
        </w:rPr>
      </w:pPr>
      <w:bookmarkStart w:id="27" w:name="_Toc460580899"/>
      <w:bookmarkStart w:id="28" w:name="_Toc460580960"/>
      <w:bookmarkStart w:id="29" w:name="_Toc461526231"/>
      <w:bookmarkEnd w:id="25"/>
    </w:p>
    <w:bookmarkEnd w:id="27"/>
    <w:bookmarkEnd w:id="28"/>
    <w:bookmarkEnd w:id="29"/>
    <w:p w:rsidR="00937364" w:rsidRPr="00080C27" w:rsidRDefault="00C54905" w:rsidP="00937364">
      <w:pPr>
        <w:rPr>
          <w:rFonts w:asciiTheme="minorHAnsi" w:hAnsiTheme="minorHAnsi"/>
        </w:rPr>
      </w:pPr>
      <w:r w:rsidRPr="00024F84">
        <w:rPr>
          <w:rFonts w:asciiTheme="minorHAnsi" w:eastAsia="Times New Roman" w:hAnsiTheme="minorHAnsi"/>
          <w:sz w:val="20"/>
          <w:szCs w:val="20"/>
          <w:lang w:eastAsia="en-US"/>
        </w:rPr>
        <w:br w:type="page"/>
      </w:r>
    </w:p>
    <w:p w:rsidR="00987CB7" w:rsidRPr="00080C27" w:rsidRDefault="00987CB7" w:rsidP="00987CB7">
      <w:pPr>
        <w:rPr>
          <w:rFonts w:asciiTheme="minorHAnsi" w:hAnsiTheme="minorHAnsi"/>
        </w:rPr>
      </w:pPr>
    </w:p>
    <w:sectPr w:rsidR="00987CB7" w:rsidRPr="00080C27" w:rsidSect="00937364">
      <w:headerReference w:type="even" r:id="rId17"/>
      <w:headerReference w:type="default" r:id="rId18"/>
      <w:footerReference w:type="even" r:id="rId19"/>
      <w:footerReference w:type="default" r:id="rId20"/>
      <w:pgSz w:w="11901" w:h="16846" w:code="9"/>
      <w:pgMar w:top="1701" w:right="1418" w:bottom="851" w:left="1985" w:header="284"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B6D8D" w:rsidRDefault="002B6D8D">
      <w:pPr>
        <w:spacing w:before="0"/>
      </w:pPr>
      <w:r>
        <w:separator/>
      </w:r>
    </w:p>
    <w:p w:rsidR="002B6D8D" w:rsidRDefault="002B6D8D"/>
    <w:p w:rsidR="002B6D8D" w:rsidRDefault="002B6D8D"/>
  </w:endnote>
  <w:endnote w:type="continuationSeparator" w:id="0">
    <w:p w:rsidR="002B6D8D" w:rsidRDefault="002B6D8D">
      <w:pPr>
        <w:spacing w:before="0"/>
      </w:pPr>
      <w:r>
        <w:continuationSeparator/>
      </w:r>
    </w:p>
    <w:p w:rsidR="002B6D8D" w:rsidRDefault="002B6D8D"/>
    <w:p w:rsidR="002B6D8D" w:rsidRDefault="002B6D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IC SemiBold">
    <w:altName w:val="Arial"/>
    <w:panose1 w:val="000000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43" w:usb2="00000009" w:usb3="00000000" w:csb0="000001FF" w:csb1="00000000"/>
    <w:embedRegular r:id="rId1" w:fontKey="{0E68624A-3C8D-419B-A777-1609DBC3C548}"/>
    <w:embedBold r:id="rId2" w:fontKey="{90C0F9CE-1938-45F3-BADD-9EE37E17EE58}"/>
    <w:embedItalic r:id="rId3" w:fontKey="{570ADE45-7946-4DC7-ABEB-5B6A22F1928F}"/>
  </w:font>
  <w:font w:name="Times">
    <w:panose1 w:val="02020603050405020304"/>
    <w:charset w:val="00"/>
    <w:family w:val="roman"/>
    <w:pitch w:val="variable"/>
    <w:sig w:usb0="E0002EFF" w:usb1="C000785B" w:usb2="00000009" w:usb3="00000000" w:csb0="000001FF" w:csb1="00000000"/>
  </w:font>
  <w:font w:name="VIC">
    <w:altName w:val="Arial"/>
    <w:panose1 w:val="00000000000000000000"/>
    <w:charset w:val="00"/>
    <w:family w:val="modern"/>
    <w:notTrueType/>
    <w:pitch w:val="variable"/>
    <w:sig w:usb0="00000007" w:usb1="00000000" w:usb2="00000000" w:usb3="00000000" w:csb0="00000093" w:csb1="00000000"/>
  </w:font>
  <w:font w:name="Arial Unicode MS">
    <w:panose1 w:val="020B0604020202020204"/>
    <w:charset w:val="00"/>
    <w:family w:val="auto"/>
    <w:pitch w:val="variable"/>
    <w:sig w:usb0="F7FFAFFF" w:usb1="E9DFFFFF" w:usb2="0000003F" w:usb3="00000000" w:csb0="003F01FF" w:csb1="00000000"/>
  </w:font>
  <w:font w:name="Swis721 BlkCn BT">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embedRegular r:id="rId4" w:fontKey="{B735D1A0-0CA3-480A-A20E-0A56411EBCE3}"/>
    <w:embedBold r:id="rId5" w:fontKey="{7C4C7BF0-F6DD-4BC4-8B5E-094B608ED515}"/>
    <w:embedItalic r:id="rId6" w:fontKey="{DED0388F-4A16-4FA4-9505-DE58D6213216}"/>
    <w:embedBoldItalic r:id="rId7" w:fontKey="{EF6AFA96-02CF-4760-8E98-286491ABAE2A}"/>
  </w:font>
  <w:font w:name="Calibri Light">
    <w:panose1 w:val="020F03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Humnst777 BT">
    <w:altName w:val="Humnst777 BT"/>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Interstate-Ligh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1339" w:type="dxa"/>
      <w:tblInd w:w="-1701" w:type="dxa"/>
      <w:tblBorders>
        <w:bottom w:val="none" w:sz="0" w:space="0" w:color="auto"/>
        <w:insideH w:val="none" w:sz="0" w:space="0" w:color="auto"/>
      </w:tblBorders>
      <w:shd w:val="clear" w:color="auto" w:fill="005EA1" w:themeFill="accent1"/>
      <w:tblLook w:val="04A0" w:firstRow="1" w:lastRow="0" w:firstColumn="1" w:lastColumn="0" w:noHBand="0" w:noVBand="1"/>
    </w:tblPr>
    <w:tblGrid>
      <w:gridCol w:w="567"/>
      <w:gridCol w:w="10772"/>
    </w:tblGrid>
    <w:tr w:rsidR="003007EC" w:rsidTr="00A61404">
      <w:trPr>
        <w:trHeight w:val="283"/>
      </w:trPr>
      <w:tc>
        <w:tcPr>
          <w:tcW w:w="567" w:type="dxa"/>
          <w:shd w:val="clear" w:color="auto" w:fill="63B9E9"/>
          <w:vAlign w:val="center"/>
        </w:tcPr>
        <w:p w:rsidR="003007EC" w:rsidRPr="008D7974" w:rsidRDefault="003007EC" w:rsidP="00481C3C">
          <w:pPr>
            <w:spacing w:before="0"/>
            <w:jc w:val="left"/>
            <w:rPr>
              <w:rFonts w:ascii="VIC SemiBold" w:hAnsi="VIC SemiBold"/>
            </w:rPr>
          </w:pPr>
          <w:r>
            <w:rPr>
              <w:rFonts w:ascii="VIC SemiBold" w:hAnsi="VIC SemiBold"/>
              <w:color w:val="FFFFFF" w:themeColor="background1"/>
            </w:rPr>
            <w:fldChar w:fldCharType="begin"/>
          </w:r>
          <w:r>
            <w:rPr>
              <w:rFonts w:ascii="VIC SemiBold" w:hAnsi="VIC SemiBold"/>
              <w:color w:val="FFFFFF" w:themeColor="background1"/>
            </w:rPr>
            <w:instrText xml:space="preserve"> PAGE  \* roman  \* MERGEFORMAT </w:instrText>
          </w:r>
          <w:r>
            <w:rPr>
              <w:rFonts w:ascii="VIC SemiBold" w:hAnsi="VIC SemiBold"/>
              <w:color w:val="FFFFFF" w:themeColor="background1"/>
            </w:rPr>
            <w:fldChar w:fldCharType="separate"/>
          </w:r>
          <w:r w:rsidR="0096134D">
            <w:rPr>
              <w:rFonts w:ascii="VIC SemiBold" w:hAnsi="VIC SemiBold"/>
              <w:noProof/>
              <w:color w:val="FFFFFF" w:themeColor="background1"/>
            </w:rPr>
            <w:t>iv</w:t>
          </w:r>
          <w:r>
            <w:rPr>
              <w:rFonts w:ascii="VIC SemiBold" w:hAnsi="VIC SemiBold"/>
              <w:color w:val="FFFFFF" w:themeColor="background1"/>
            </w:rPr>
            <w:fldChar w:fldCharType="end"/>
          </w:r>
        </w:p>
      </w:tc>
      <w:tc>
        <w:tcPr>
          <w:tcW w:w="10772" w:type="dxa"/>
          <w:shd w:val="clear" w:color="auto" w:fill="005EA1" w:themeFill="accent1"/>
          <w:vAlign w:val="center"/>
        </w:tcPr>
        <w:p w:rsidR="003007EC" w:rsidRPr="00552F9A" w:rsidRDefault="003007EC" w:rsidP="00481C3C">
          <w:pPr>
            <w:tabs>
              <w:tab w:val="clear" w:pos="425"/>
              <w:tab w:val="clear" w:pos="709"/>
              <w:tab w:val="clear" w:pos="992"/>
            </w:tabs>
            <w:spacing w:before="0"/>
            <w:jc w:val="right"/>
            <w:rPr>
              <w:rFonts w:cs="Arial"/>
              <w:caps/>
            </w:rPr>
          </w:pPr>
          <w:r>
            <w:rPr>
              <w:rFonts w:cs="Arial"/>
              <w:caps/>
              <w:color w:val="FFFFFF" w:themeColor="background1"/>
              <w:sz w:val="18"/>
            </w:rPr>
            <w:t>SUNBURY SOUTH PSP AND LANCEFIELD ROAD PSP</w:t>
          </w:r>
          <w:r w:rsidRPr="00552F9A">
            <w:rPr>
              <w:rFonts w:cs="Arial"/>
              <w:caps/>
              <w:color w:val="FFFFFF" w:themeColor="background1"/>
              <w:sz w:val="18"/>
            </w:rPr>
            <w:t xml:space="preserve"> – </w:t>
          </w:r>
          <w:r>
            <w:rPr>
              <w:rFonts w:cs="Arial"/>
              <w:caps/>
              <w:color w:val="FFFFFF" w:themeColor="background1"/>
              <w:sz w:val="18"/>
            </w:rPr>
            <w:t>VPA PART B SUBMISSION</w:t>
          </w:r>
        </w:p>
      </w:tc>
    </w:tr>
  </w:tbl>
  <w:p w:rsidR="003007EC" w:rsidRDefault="003007EC" w:rsidP="009957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1339" w:type="dxa"/>
      <w:tblInd w:w="-1701" w:type="dxa"/>
      <w:tblBorders>
        <w:bottom w:val="none" w:sz="0" w:space="0" w:color="auto"/>
        <w:insideH w:val="none" w:sz="0" w:space="0" w:color="auto"/>
      </w:tblBorders>
      <w:shd w:val="clear" w:color="auto" w:fill="005EA1" w:themeFill="accent1"/>
      <w:tblLook w:val="04A0" w:firstRow="1" w:lastRow="0" w:firstColumn="1" w:lastColumn="0" w:noHBand="0" w:noVBand="1"/>
    </w:tblPr>
    <w:tblGrid>
      <w:gridCol w:w="10772"/>
      <w:gridCol w:w="567"/>
    </w:tblGrid>
    <w:tr w:rsidR="003007EC" w:rsidTr="00A61404">
      <w:trPr>
        <w:trHeight w:val="283"/>
      </w:trPr>
      <w:tc>
        <w:tcPr>
          <w:tcW w:w="10772" w:type="dxa"/>
          <w:shd w:val="clear" w:color="auto" w:fill="005EA1" w:themeFill="accent1"/>
          <w:vAlign w:val="center"/>
        </w:tcPr>
        <w:p w:rsidR="003007EC" w:rsidRPr="00552F9A" w:rsidRDefault="003007EC" w:rsidP="00481C3C">
          <w:pPr>
            <w:tabs>
              <w:tab w:val="clear" w:pos="425"/>
              <w:tab w:val="clear" w:pos="709"/>
              <w:tab w:val="clear" w:pos="992"/>
            </w:tabs>
            <w:spacing w:before="0"/>
            <w:jc w:val="left"/>
            <w:rPr>
              <w:rFonts w:ascii="VIC" w:hAnsi="VIC"/>
              <w:caps/>
            </w:rPr>
          </w:pPr>
          <w:r>
            <w:rPr>
              <w:rFonts w:cs="Arial"/>
              <w:caps/>
              <w:color w:val="FFFFFF" w:themeColor="background1"/>
              <w:sz w:val="18"/>
            </w:rPr>
            <w:t>SUNBURY SOUTH PSP AND LANCEFIELD ROAD PSP</w:t>
          </w:r>
          <w:r w:rsidRPr="00552F9A">
            <w:rPr>
              <w:rFonts w:cs="Arial"/>
              <w:caps/>
              <w:color w:val="FFFFFF" w:themeColor="background1"/>
              <w:sz w:val="18"/>
            </w:rPr>
            <w:t xml:space="preserve"> – </w:t>
          </w:r>
          <w:r>
            <w:rPr>
              <w:rFonts w:cs="Arial"/>
              <w:caps/>
              <w:color w:val="FFFFFF" w:themeColor="background1"/>
              <w:sz w:val="18"/>
            </w:rPr>
            <w:t>VPA PART B SUBMISSION</w:t>
          </w:r>
        </w:p>
      </w:tc>
      <w:tc>
        <w:tcPr>
          <w:tcW w:w="567" w:type="dxa"/>
          <w:shd w:val="clear" w:color="auto" w:fill="63B9E9"/>
        </w:tcPr>
        <w:p w:rsidR="003007EC" w:rsidRPr="008D7974" w:rsidRDefault="003007EC" w:rsidP="00481C3C">
          <w:pPr>
            <w:spacing w:before="0"/>
            <w:jc w:val="right"/>
            <w:rPr>
              <w:rFonts w:ascii="VIC SemiBold" w:hAnsi="VIC SemiBold"/>
              <w:color w:val="FFFFFF" w:themeColor="background1"/>
            </w:rPr>
          </w:pPr>
          <w:r>
            <w:rPr>
              <w:rFonts w:ascii="VIC SemiBold" w:hAnsi="VIC SemiBold"/>
              <w:color w:val="FFFFFF" w:themeColor="background1"/>
            </w:rPr>
            <w:fldChar w:fldCharType="begin"/>
          </w:r>
          <w:r>
            <w:rPr>
              <w:rFonts w:ascii="VIC SemiBold" w:hAnsi="VIC SemiBold"/>
              <w:color w:val="FFFFFF" w:themeColor="background1"/>
            </w:rPr>
            <w:instrText xml:space="preserve"> PAGE  \* roman  \* MERGEFORMAT </w:instrText>
          </w:r>
          <w:r>
            <w:rPr>
              <w:rFonts w:ascii="VIC SemiBold" w:hAnsi="VIC SemiBold"/>
              <w:color w:val="FFFFFF" w:themeColor="background1"/>
            </w:rPr>
            <w:fldChar w:fldCharType="separate"/>
          </w:r>
          <w:r w:rsidR="0096134D">
            <w:rPr>
              <w:rFonts w:ascii="VIC SemiBold" w:hAnsi="VIC SemiBold"/>
              <w:noProof/>
              <w:color w:val="FFFFFF" w:themeColor="background1"/>
            </w:rPr>
            <w:t>iii</w:t>
          </w:r>
          <w:r>
            <w:rPr>
              <w:rFonts w:ascii="VIC SemiBold" w:hAnsi="VIC SemiBold"/>
              <w:color w:val="FFFFFF" w:themeColor="background1"/>
            </w:rPr>
            <w:fldChar w:fldCharType="end"/>
          </w:r>
        </w:p>
      </w:tc>
    </w:tr>
  </w:tbl>
  <w:p w:rsidR="003007EC" w:rsidRDefault="003007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07EC" w:rsidRDefault="003007EC" w:rsidP="00937364">
    <w:pPr>
      <w:ind w:left="-709"/>
      <w:jc w:val="center"/>
      <w:rPr>
        <w:sz w:val="16"/>
      </w:rPr>
    </w:pPr>
    <w:r>
      <w:rPr>
        <w:rFonts w:ascii="Trebuchet MS" w:hAnsi="Trebuchet MS"/>
        <w:noProof/>
        <w:color w:val="9CA0A3" w:themeColor="accent4"/>
        <w:sz w:val="28"/>
        <w:szCs w:val="28"/>
      </w:rPr>
      <w:drawing>
        <wp:inline distT="0" distB="0" distL="0" distR="0" wp14:anchorId="1E817A38" wp14:editId="683A8278">
          <wp:extent cx="1629187" cy="666301"/>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PA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29187" cy="666301"/>
                  </a:xfrm>
                  <a:prstGeom prst="rect">
                    <a:avLst/>
                  </a:prstGeom>
                </pic:spPr>
              </pic:pic>
            </a:graphicData>
          </a:graphic>
        </wp:inline>
      </w:drawing>
    </w:r>
  </w:p>
  <w:p w:rsidR="003007EC" w:rsidRPr="00A9595C" w:rsidRDefault="003007EC" w:rsidP="00937364">
    <w:pPr>
      <w:ind w:left="-709"/>
      <w:jc w:val="center"/>
      <w:rPr>
        <w:rFonts w:ascii="VIC" w:hAnsi="VIC"/>
        <w:color w:val="9CA0A3" w:themeColor="accent4"/>
        <w:sz w:val="28"/>
        <w:szCs w:val="28"/>
      </w:rPr>
    </w:pPr>
    <w:r w:rsidRPr="00A9595C">
      <w:rPr>
        <w:rFonts w:ascii="VIC" w:hAnsi="VIC"/>
        <w:sz w:val="28"/>
        <w:szCs w:val="28"/>
      </w:rPr>
      <w:t xml:space="preserve">PSP Name Precinct Structure Plan </w:t>
    </w:r>
    <w:r w:rsidRPr="00A9595C">
      <w:rPr>
        <w:rFonts w:ascii="VIC" w:hAnsi="VIC"/>
        <w:color w:val="9CA0A3" w:themeColor="accent4"/>
        <w:sz w:val="28"/>
        <w:szCs w:val="28"/>
      </w:rPr>
      <w:t>Month Year</w:t>
    </w:r>
  </w:p>
  <w:p w:rsidR="003007EC" w:rsidRDefault="003007EC" w:rsidP="009957D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07EC" w:rsidRDefault="003007EC" w:rsidP="00937364">
    <w:pPr>
      <w:ind w:left="-709"/>
      <w:jc w:val="center"/>
      <w:rPr>
        <w:sz w:val="16"/>
      </w:rPr>
    </w:pPr>
    <w:r>
      <w:rPr>
        <w:rFonts w:ascii="Trebuchet MS" w:hAnsi="Trebuchet MS"/>
        <w:noProof/>
        <w:color w:val="9CA0A3" w:themeColor="accent4"/>
        <w:sz w:val="28"/>
        <w:szCs w:val="28"/>
      </w:rPr>
      <w:drawing>
        <wp:inline distT="0" distB="0" distL="0" distR="0" wp14:anchorId="27AC246A" wp14:editId="11FDC2CA">
          <wp:extent cx="1629187" cy="666301"/>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PA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29187" cy="666301"/>
                  </a:xfrm>
                  <a:prstGeom prst="rect">
                    <a:avLst/>
                  </a:prstGeom>
                </pic:spPr>
              </pic:pic>
            </a:graphicData>
          </a:graphic>
        </wp:inline>
      </w:drawing>
    </w:r>
  </w:p>
  <w:p w:rsidR="003007EC" w:rsidRPr="00A6488F" w:rsidRDefault="003D4FF4" w:rsidP="00937364">
    <w:pPr>
      <w:ind w:left="-709"/>
      <w:jc w:val="center"/>
      <w:rPr>
        <w:rFonts w:ascii="VIC" w:hAnsi="VIC"/>
        <w:color w:val="9CA0A3" w:themeColor="accent4"/>
        <w:sz w:val="28"/>
        <w:szCs w:val="28"/>
      </w:rPr>
    </w:pPr>
    <w:r>
      <w:rPr>
        <w:rFonts w:ascii="VIC" w:hAnsi="VIC"/>
        <w:sz w:val="28"/>
        <w:szCs w:val="28"/>
      </w:rPr>
      <w:t>Sunbury South PSP and Lancefield Road PSP</w:t>
    </w:r>
    <w:r w:rsidR="003007EC" w:rsidRPr="00A6488F">
      <w:rPr>
        <w:rFonts w:ascii="VIC" w:hAnsi="VIC"/>
        <w:sz w:val="28"/>
        <w:szCs w:val="28"/>
      </w:rPr>
      <w:t xml:space="preserve"> </w:t>
    </w:r>
    <w:r>
      <w:rPr>
        <w:rFonts w:ascii="VIC" w:hAnsi="VIC"/>
        <w:color w:val="9CA0A3" w:themeColor="accent4"/>
        <w:sz w:val="28"/>
        <w:szCs w:val="28"/>
      </w:rPr>
      <w:t>August 2017</w:t>
    </w:r>
  </w:p>
  <w:p w:rsidR="003007EC" w:rsidRDefault="003007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B6D8D" w:rsidRDefault="002B6D8D">
      <w:pPr>
        <w:spacing w:before="0"/>
      </w:pPr>
      <w:r>
        <w:separator/>
      </w:r>
    </w:p>
    <w:p w:rsidR="002B6D8D" w:rsidRDefault="002B6D8D"/>
    <w:p w:rsidR="002B6D8D" w:rsidRDefault="002B6D8D"/>
  </w:footnote>
  <w:footnote w:type="continuationSeparator" w:id="0">
    <w:p w:rsidR="002B6D8D" w:rsidRDefault="002B6D8D">
      <w:pPr>
        <w:spacing w:before="0"/>
      </w:pPr>
      <w:r>
        <w:continuationSeparator/>
      </w:r>
    </w:p>
    <w:p w:rsidR="002B6D8D" w:rsidRDefault="002B6D8D"/>
    <w:p w:rsidR="002B6D8D" w:rsidRDefault="002B6D8D"/>
  </w:footnote>
  <w:footnote w:id="1">
    <w:p w:rsidR="00B22CC3" w:rsidRDefault="00B22CC3" w:rsidP="00B22CC3">
      <w:pPr>
        <w:pStyle w:val="FootnoteText"/>
      </w:pPr>
      <w:r>
        <w:rPr>
          <w:rStyle w:val="FootnoteReference"/>
        </w:rPr>
        <w:footnoteRef/>
      </w:r>
      <w:r>
        <w:t xml:space="preserve"> Submission 22 to the Lancefield Road PSP expressed ‘opposition to subdivision allowance contrary to covenants for land purchased in Rolling Meadows where no subdivision allowed and purchases made under existing conditions’.  The covenants proposed to be removed are not in Rolling Meadows and the submitter would not be a beneficiary of the covenants. </w:t>
      </w:r>
    </w:p>
  </w:footnote>
  <w:footnote w:id="2">
    <w:p w:rsidR="003007EC" w:rsidRDefault="003007EC">
      <w:pPr>
        <w:pStyle w:val="FootnoteText"/>
      </w:pPr>
      <w:r>
        <w:rPr>
          <w:rStyle w:val="FootnoteReference"/>
        </w:rPr>
        <w:footnoteRef/>
      </w:r>
      <w:r>
        <w:t xml:space="preserve"> Page 7.</w:t>
      </w:r>
    </w:p>
  </w:footnote>
  <w:footnote w:id="3">
    <w:p w:rsidR="003007EC" w:rsidRDefault="003007EC">
      <w:pPr>
        <w:pStyle w:val="FootnoteText"/>
      </w:pPr>
      <w:r>
        <w:rPr>
          <w:rStyle w:val="FootnoteReference"/>
        </w:rPr>
        <w:footnoteRef/>
      </w:r>
      <w:r>
        <w:t xml:space="preserve"> Page 5.</w:t>
      </w:r>
    </w:p>
  </w:footnote>
  <w:footnote w:id="4">
    <w:p w:rsidR="003007EC" w:rsidRDefault="003007EC">
      <w:pPr>
        <w:pStyle w:val="FootnoteText"/>
      </w:pPr>
      <w:r>
        <w:rPr>
          <w:rStyle w:val="FootnoteReference"/>
        </w:rPr>
        <w:footnoteRef/>
      </w:r>
      <w:r>
        <w:t xml:space="preserve"> Page 7.</w:t>
      </w:r>
    </w:p>
  </w:footnote>
  <w:footnote w:id="5">
    <w:p w:rsidR="003007EC" w:rsidRDefault="003007EC">
      <w:pPr>
        <w:pStyle w:val="FootnoteText"/>
      </w:pPr>
      <w:r>
        <w:rPr>
          <w:rStyle w:val="FootnoteReference"/>
        </w:rPr>
        <w:footnoteRef/>
      </w:r>
      <w:r>
        <w:t xml:space="preserve"> Page 9.  </w:t>
      </w:r>
    </w:p>
  </w:footnote>
  <w:footnote w:id="6">
    <w:p w:rsidR="003007EC" w:rsidRDefault="003007EC">
      <w:pPr>
        <w:pStyle w:val="FootnoteText"/>
      </w:pPr>
      <w:r>
        <w:rPr>
          <w:rStyle w:val="FootnoteReference"/>
        </w:rPr>
        <w:footnoteRef/>
      </w:r>
      <w:r>
        <w:t xml:space="preserve"> Page 10.</w:t>
      </w:r>
    </w:p>
  </w:footnote>
  <w:footnote w:id="7">
    <w:p w:rsidR="003007EC" w:rsidRDefault="003007EC">
      <w:pPr>
        <w:pStyle w:val="FootnoteText"/>
      </w:pPr>
      <w:r>
        <w:rPr>
          <w:rStyle w:val="FootnoteReference"/>
        </w:rPr>
        <w:footnoteRef/>
      </w:r>
      <w:r>
        <w:t xml:space="preserve"> September 2016 (with minor edits in October 2016).</w:t>
      </w:r>
    </w:p>
  </w:footnote>
  <w:footnote w:id="8">
    <w:p w:rsidR="003007EC" w:rsidRPr="00EE5990" w:rsidRDefault="003007EC">
      <w:pPr>
        <w:pStyle w:val="FootnoteText"/>
      </w:pPr>
      <w:r>
        <w:rPr>
          <w:rStyle w:val="FootnoteReference"/>
        </w:rPr>
        <w:footnoteRef/>
      </w:r>
      <w:r>
        <w:t xml:space="preserve"> Department of Environment, Land, Water and Planning (</w:t>
      </w:r>
      <w:r>
        <w:rPr>
          <w:b/>
        </w:rPr>
        <w:t>DELWP</w:t>
      </w:r>
      <w:r>
        <w:t>), 2017.</w:t>
      </w:r>
    </w:p>
  </w:footnote>
  <w:footnote w:id="9">
    <w:p w:rsidR="003007EC" w:rsidRDefault="003007EC">
      <w:pPr>
        <w:pStyle w:val="FootnoteText"/>
      </w:pPr>
      <w:r>
        <w:rPr>
          <w:rStyle w:val="FootnoteReference"/>
        </w:rPr>
        <w:footnoteRef/>
      </w:r>
      <w:r>
        <w:t xml:space="preserve"> Pages 46-47</w:t>
      </w:r>
    </w:p>
  </w:footnote>
  <w:footnote w:id="10">
    <w:p w:rsidR="003007EC" w:rsidRDefault="003007EC">
      <w:pPr>
        <w:pStyle w:val="FootnoteText"/>
      </w:pPr>
      <w:r>
        <w:rPr>
          <w:rStyle w:val="FootnoteReference"/>
        </w:rPr>
        <w:footnoteRef/>
      </w:r>
      <w:r>
        <w:t xml:space="preserve"> Page 50.</w:t>
      </w:r>
    </w:p>
  </w:footnote>
  <w:footnote w:id="11">
    <w:p w:rsidR="003007EC" w:rsidRDefault="003007EC">
      <w:pPr>
        <w:pStyle w:val="FootnoteText"/>
      </w:pPr>
      <w:r>
        <w:rPr>
          <w:rStyle w:val="FootnoteReference"/>
        </w:rPr>
        <w:footnoteRef/>
      </w:r>
      <w:r>
        <w:t xml:space="preserve"> Page 58.</w:t>
      </w:r>
    </w:p>
  </w:footnote>
  <w:footnote w:id="12">
    <w:p w:rsidR="003007EC" w:rsidRDefault="003007EC">
      <w:pPr>
        <w:pStyle w:val="FootnoteText"/>
      </w:pPr>
      <w:r>
        <w:rPr>
          <w:rStyle w:val="FootnoteReference"/>
        </w:rPr>
        <w:footnoteRef/>
      </w:r>
      <w:r>
        <w:t xml:space="preserve"> Page 98.</w:t>
      </w:r>
    </w:p>
  </w:footnote>
  <w:footnote w:id="13">
    <w:p w:rsidR="003007EC" w:rsidRDefault="003007EC">
      <w:pPr>
        <w:pStyle w:val="FootnoteText"/>
      </w:pPr>
      <w:r>
        <w:rPr>
          <w:rStyle w:val="FootnoteReference"/>
        </w:rPr>
        <w:footnoteRef/>
      </w:r>
      <w:r>
        <w:t xml:space="preserve"> Section 2.3 (Land budget) on page 13 in each PSP.</w:t>
      </w:r>
    </w:p>
  </w:footnote>
  <w:footnote w:id="14">
    <w:p w:rsidR="003007EC" w:rsidRDefault="003007EC">
      <w:pPr>
        <w:pStyle w:val="FootnoteText"/>
      </w:pPr>
      <w:r>
        <w:rPr>
          <w:rStyle w:val="FootnoteReference"/>
        </w:rPr>
        <w:footnoteRef/>
      </w:r>
      <w:r>
        <w:t xml:space="preserve"> Requirement R9 in the Sunbury South PSP and R10 in the Lancefield Road PSP.</w:t>
      </w:r>
    </w:p>
  </w:footnote>
  <w:footnote w:id="15">
    <w:p w:rsidR="003007EC" w:rsidRDefault="003007EC">
      <w:pPr>
        <w:pStyle w:val="FootnoteText"/>
      </w:pPr>
      <w:r>
        <w:rPr>
          <w:rStyle w:val="FootnoteReference"/>
        </w:rPr>
        <w:footnoteRef/>
      </w:r>
      <w:r>
        <w:t xml:space="preserve"> See correspondence and attachments to all parties dated 31 July 2017.</w:t>
      </w:r>
    </w:p>
  </w:footnote>
  <w:footnote w:id="16">
    <w:p w:rsidR="003007EC" w:rsidRDefault="003007EC">
      <w:pPr>
        <w:pStyle w:val="FootnoteText"/>
      </w:pPr>
      <w:r>
        <w:rPr>
          <w:rStyle w:val="FootnoteReference"/>
        </w:rPr>
        <w:footnoteRef/>
      </w:r>
      <w:r>
        <w:t xml:space="preserve"> See correspondence and attachments to affected submitters dated 27 June 2017.</w:t>
      </w:r>
    </w:p>
  </w:footnote>
  <w:footnote w:id="17">
    <w:p w:rsidR="003007EC" w:rsidRDefault="003007EC">
      <w:pPr>
        <w:pStyle w:val="FootnoteText"/>
      </w:pPr>
      <w:r>
        <w:rPr>
          <w:rStyle w:val="FootnoteReference"/>
        </w:rPr>
        <w:footnoteRef/>
      </w:r>
      <w:r>
        <w:t xml:space="preserve"> Planning permit application no. P18854.</w:t>
      </w:r>
    </w:p>
  </w:footnote>
  <w:footnote w:id="18">
    <w:p w:rsidR="003007EC" w:rsidRDefault="003007EC">
      <w:pPr>
        <w:pStyle w:val="FootnoteText"/>
      </w:pPr>
      <w:r>
        <w:rPr>
          <w:rStyle w:val="FootnoteReference"/>
        </w:rPr>
        <w:footnoteRef/>
      </w:r>
      <w:r>
        <w:t xml:space="preserve"> Page 19.</w:t>
      </w:r>
    </w:p>
  </w:footnote>
  <w:footnote w:id="19">
    <w:p w:rsidR="003007EC" w:rsidRDefault="003007EC">
      <w:pPr>
        <w:pStyle w:val="FootnoteText"/>
      </w:pPr>
      <w:r>
        <w:rPr>
          <w:rStyle w:val="FootnoteReference"/>
        </w:rPr>
        <w:footnoteRef/>
      </w:r>
      <w:r>
        <w:t xml:space="preserve"> P18855 (Lancefield Road) on 24 July 2017; P18854 (Sherwood Heights) and P18858 (Redstone Hill) on 31 July 2017. </w:t>
      </w:r>
    </w:p>
  </w:footnote>
  <w:footnote w:id="20">
    <w:p w:rsidR="003007EC" w:rsidRDefault="003007EC" w:rsidP="0026430D">
      <w:pPr>
        <w:pStyle w:val="FootnoteText"/>
      </w:pPr>
      <w:r>
        <w:rPr>
          <w:rStyle w:val="FootnoteReference"/>
        </w:rPr>
        <w:footnoteRef/>
      </w:r>
      <w:r>
        <w:t xml:space="preserve"> Pages 11 and 46.</w:t>
      </w:r>
    </w:p>
  </w:footnote>
  <w:footnote w:id="21">
    <w:p w:rsidR="003007EC" w:rsidRDefault="003007EC">
      <w:pPr>
        <w:pStyle w:val="FootnoteText"/>
      </w:pPr>
      <w:r>
        <w:rPr>
          <w:rStyle w:val="FootnoteReference"/>
        </w:rPr>
        <w:footnoteRef/>
      </w:r>
      <w:r>
        <w:t xml:space="preserve"> Page 47.</w:t>
      </w:r>
    </w:p>
  </w:footnote>
  <w:footnote w:id="22">
    <w:p w:rsidR="003007EC" w:rsidRDefault="003007EC">
      <w:pPr>
        <w:pStyle w:val="FootnoteText"/>
      </w:pPr>
      <w:r>
        <w:rPr>
          <w:rStyle w:val="FootnoteReference"/>
        </w:rPr>
        <w:footnoteRef/>
      </w:r>
      <w:r>
        <w:t xml:space="preserve"> Pages 11 and 47.</w:t>
      </w:r>
    </w:p>
  </w:footnote>
  <w:footnote w:id="23">
    <w:p w:rsidR="003007EC" w:rsidRDefault="003007EC">
      <w:pPr>
        <w:pStyle w:val="FootnoteText"/>
      </w:pPr>
      <w:r>
        <w:rPr>
          <w:rStyle w:val="FootnoteReference"/>
        </w:rPr>
        <w:footnoteRef/>
      </w:r>
      <w:r>
        <w:t xml:space="preserve"> Page 14.</w:t>
      </w:r>
    </w:p>
  </w:footnote>
  <w:footnote w:id="24">
    <w:p w:rsidR="003007EC" w:rsidRDefault="003007EC">
      <w:pPr>
        <w:pStyle w:val="FootnoteText"/>
      </w:pPr>
      <w:r>
        <w:rPr>
          <w:rStyle w:val="FootnoteReference"/>
        </w:rPr>
        <w:footnoteRef/>
      </w:r>
      <w:r>
        <w:t xml:space="preserve"> Page 14.</w:t>
      </w:r>
    </w:p>
  </w:footnote>
  <w:footnote w:id="25">
    <w:p w:rsidR="003007EC" w:rsidRDefault="003007EC">
      <w:pPr>
        <w:pStyle w:val="FootnoteText"/>
      </w:pPr>
      <w:r>
        <w:rPr>
          <w:rStyle w:val="FootnoteReference"/>
        </w:rPr>
        <w:footnoteRef/>
      </w:r>
      <w:r>
        <w:t xml:space="preserve"> Pages 66-67.</w:t>
      </w:r>
    </w:p>
  </w:footnote>
  <w:footnote w:id="26">
    <w:p w:rsidR="003007EC" w:rsidRDefault="003007EC">
      <w:pPr>
        <w:pStyle w:val="FootnoteText"/>
      </w:pPr>
      <w:r>
        <w:rPr>
          <w:rStyle w:val="FootnoteReference"/>
        </w:rPr>
        <w:footnoteRef/>
      </w:r>
      <w:r>
        <w:t xml:space="preserve"> Page 68.</w:t>
      </w:r>
    </w:p>
  </w:footnote>
  <w:footnote w:id="27">
    <w:p w:rsidR="003007EC" w:rsidRDefault="003007EC">
      <w:pPr>
        <w:pStyle w:val="FootnoteText"/>
      </w:pPr>
      <w:r>
        <w:rPr>
          <w:rStyle w:val="FootnoteReference"/>
        </w:rPr>
        <w:footnoteRef/>
      </w:r>
      <w:r>
        <w:t xml:space="preserve"> From page 8.</w:t>
      </w:r>
    </w:p>
  </w:footnote>
  <w:footnote w:id="28">
    <w:p w:rsidR="003007EC" w:rsidRDefault="003007EC">
      <w:pPr>
        <w:pStyle w:val="FootnoteText"/>
      </w:pPr>
      <w:r>
        <w:rPr>
          <w:rStyle w:val="FootnoteReference"/>
        </w:rPr>
        <w:footnoteRef/>
      </w:r>
      <w:r>
        <w:t xml:space="preserve"> Page 21.</w:t>
      </w:r>
    </w:p>
  </w:footnote>
  <w:footnote w:id="29">
    <w:p w:rsidR="003007EC" w:rsidRDefault="003007EC">
      <w:pPr>
        <w:pStyle w:val="FootnoteText"/>
      </w:pPr>
      <w:r>
        <w:rPr>
          <w:rStyle w:val="FootnoteReference"/>
        </w:rPr>
        <w:footnoteRef/>
      </w:r>
      <w:r>
        <w:t xml:space="preserve"> Page 21.</w:t>
      </w:r>
    </w:p>
  </w:footnote>
  <w:footnote w:id="30">
    <w:p w:rsidR="003007EC" w:rsidRDefault="003007EC" w:rsidP="00B17C0D">
      <w:pPr>
        <w:pStyle w:val="FootnoteText"/>
      </w:pPr>
      <w:r>
        <w:rPr>
          <w:rStyle w:val="FootnoteReference"/>
        </w:rPr>
        <w:footnoteRef/>
      </w:r>
      <w:r>
        <w:t xml:space="preserve"> Pages 9-10 and 36-37.</w:t>
      </w:r>
    </w:p>
  </w:footnote>
  <w:footnote w:id="31">
    <w:p w:rsidR="003007EC" w:rsidRPr="004E23A8" w:rsidRDefault="003007EC">
      <w:pPr>
        <w:pStyle w:val="FootnoteText"/>
      </w:pPr>
      <w:r>
        <w:rPr>
          <w:rStyle w:val="FootnoteReference"/>
        </w:rPr>
        <w:footnoteRef/>
      </w:r>
      <w:r>
        <w:t xml:space="preserve"> </w:t>
      </w:r>
      <w:r w:rsidRPr="004E23A8">
        <w:t>Pages 4-6 and 16.</w:t>
      </w:r>
    </w:p>
  </w:footnote>
  <w:footnote w:id="32">
    <w:p w:rsidR="003007EC" w:rsidRPr="004E23A8" w:rsidRDefault="003007EC">
      <w:pPr>
        <w:pStyle w:val="FootnoteText"/>
      </w:pPr>
      <w:r w:rsidRPr="004E23A8">
        <w:rPr>
          <w:rStyle w:val="FootnoteReference"/>
        </w:rPr>
        <w:footnoteRef/>
      </w:r>
      <w:r w:rsidRPr="004E23A8">
        <w:t xml:space="preserve"> Pages 7-8 and 16.</w:t>
      </w:r>
    </w:p>
  </w:footnote>
  <w:footnote w:id="33">
    <w:p w:rsidR="003007EC" w:rsidRDefault="003007EC">
      <w:pPr>
        <w:pStyle w:val="FootnoteText"/>
      </w:pPr>
      <w:r w:rsidRPr="004E23A8">
        <w:rPr>
          <w:rStyle w:val="FootnoteReference"/>
        </w:rPr>
        <w:footnoteRef/>
      </w:r>
      <w:r>
        <w:t xml:space="preserve"> Pages 9 and 16.</w:t>
      </w:r>
    </w:p>
  </w:footnote>
  <w:footnote w:id="34">
    <w:p w:rsidR="003007EC" w:rsidRDefault="003007EC">
      <w:pPr>
        <w:pStyle w:val="FootnoteText"/>
      </w:pPr>
      <w:r>
        <w:rPr>
          <w:rStyle w:val="FootnoteReference"/>
        </w:rPr>
        <w:footnoteRef/>
      </w:r>
      <w:r>
        <w:t xml:space="preserve"> Pages 11 and 16.</w:t>
      </w:r>
    </w:p>
  </w:footnote>
  <w:footnote w:id="35">
    <w:p w:rsidR="003007EC" w:rsidRDefault="003007EC" w:rsidP="00D204D8">
      <w:pPr>
        <w:pStyle w:val="FootnoteText"/>
      </w:pPr>
      <w:r>
        <w:rPr>
          <w:rStyle w:val="FootnoteReference"/>
        </w:rPr>
        <w:footnoteRef/>
      </w:r>
      <w:r>
        <w:t xml:space="preserve"> Pages 51-53.</w:t>
      </w:r>
    </w:p>
  </w:footnote>
  <w:footnote w:id="36">
    <w:p w:rsidR="003007EC" w:rsidRDefault="003007EC" w:rsidP="00D204D8">
      <w:pPr>
        <w:pStyle w:val="FootnoteText"/>
      </w:pPr>
      <w:r>
        <w:rPr>
          <w:rStyle w:val="FootnoteReference"/>
        </w:rPr>
        <w:footnoteRef/>
      </w:r>
      <w:r>
        <w:t xml:space="preserve"> Pages 12-13.</w:t>
      </w:r>
    </w:p>
  </w:footnote>
  <w:footnote w:id="37">
    <w:p w:rsidR="003007EC" w:rsidRDefault="003007EC" w:rsidP="00A005B9">
      <w:pPr>
        <w:pStyle w:val="FootnoteText"/>
      </w:pPr>
      <w:r>
        <w:rPr>
          <w:rStyle w:val="FootnoteReference"/>
        </w:rPr>
        <w:footnoteRef/>
      </w:r>
      <w:r>
        <w:t xml:space="preserve"> From page 34.</w:t>
      </w:r>
    </w:p>
  </w:footnote>
  <w:footnote w:id="38">
    <w:p w:rsidR="003007EC" w:rsidRDefault="003007EC">
      <w:pPr>
        <w:pStyle w:val="FootnoteText"/>
      </w:pPr>
      <w:r>
        <w:rPr>
          <w:rStyle w:val="FootnoteReference"/>
        </w:rPr>
        <w:footnoteRef/>
      </w:r>
      <w:r>
        <w:t xml:space="preserve"> Property 61 in the Sunbury South PSP.</w:t>
      </w:r>
    </w:p>
  </w:footnote>
  <w:footnote w:id="39">
    <w:p w:rsidR="003007EC" w:rsidRDefault="003007EC">
      <w:pPr>
        <w:pStyle w:val="FootnoteText"/>
      </w:pPr>
      <w:r>
        <w:rPr>
          <w:rStyle w:val="FootnoteReference"/>
        </w:rPr>
        <w:footnoteRef/>
      </w:r>
      <w:r>
        <w:t xml:space="preserve"> Property 99 in the Sunbury South PSP.</w:t>
      </w:r>
    </w:p>
  </w:footnote>
  <w:footnote w:id="40">
    <w:p w:rsidR="003007EC" w:rsidRDefault="003007EC">
      <w:pPr>
        <w:pStyle w:val="FootnoteText"/>
      </w:pPr>
      <w:r>
        <w:rPr>
          <w:rStyle w:val="FootnoteReference"/>
        </w:rPr>
        <w:footnoteRef/>
      </w:r>
      <w:r>
        <w:t xml:space="preserve"> The EPA licence is for 600 Sunbury Road, Bulla.  The EPA submission notes that the land previously known as 600 Sunbury Road has now been subdivided into three parcels known as 570, 580 and 600 Sunbury Road.</w:t>
      </w:r>
    </w:p>
  </w:footnote>
  <w:footnote w:id="41">
    <w:p w:rsidR="003007EC" w:rsidRDefault="003007EC">
      <w:pPr>
        <w:pStyle w:val="FootnoteText"/>
      </w:pPr>
      <w:r>
        <w:rPr>
          <w:rStyle w:val="FootnoteReference"/>
        </w:rPr>
        <w:footnoteRef/>
      </w:r>
      <w:r>
        <w:t xml:space="preserve"> Sustainability Victoria, 2015.</w:t>
      </w:r>
    </w:p>
  </w:footnote>
  <w:footnote w:id="42">
    <w:p w:rsidR="003007EC" w:rsidRDefault="003007EC">
      <w:pPr>
        <w:pStyle w:val="FootnoteText"/>
      </w:pPr>
      <w:r>
        <w:rPr>
          <w:rStyle w:val="FootnoteReference"/>
        </w:rPr>
        <w:footnoteRef/>
      </w:r>
      <w:r>
        <w:t xml:space="preserve"> Page 108.</w:t>
      </w:r>
    </w:p>
  </w:footnote>
  <w:footnote w:id="43">
    <w:p w:rsidR="003007EC" w:rsidRDefault="003007EC">
      <w:pPr>
        <w:pStyle w:val="FootnoteText"/>
      </w:pPr>
      <w:r>
        <w:rPr>
          <w:rStyle w:val="FootnoteReference"/>
        </w:rPr>
        <w:footnoteRef/>
      </w:r>
      <w:r>
        <w:t xml:space="preserve"> Metropolitan Waste and Resource Recovery Group, September 2016.</w:t>
      </w:r>
    </w:p>
  </w:footnote>
  <w:footnote w:id="44">
    <w:p w:rsidR="003007EC" w:rsidRDefault="003007EC">
      <w:pPr>
        <w:pStyle w:val="FootnoteText"/>
      </w:pPr>
      <w:r>
        <w:rPr>
          <w:rStyle w:val="FootnoteReference"/>
        </w:rPr>
        <w:footnoteRef/>
      </w:r>
      <w:r>
        <w:t xml:space="preserve"> Page 49.</w:t>
      </w:r>
    </w:p>
  </w:footnote>
  <w:footnote w:id="45">
    <w:p w:rsidR="003007EC" w:rsidRDefault="003007EC" w:rsidP="00CF1D7C">
      <w:pPr>
        <w:pStyle w:val="FootnoteText"/>
      </w:pPr>
      <w:r>
        <w:rPr>
          <w:rStyle w:val="FootnoteReference"/>
        </w:rPr>
        <w:footnoteRef/>
      </w:r>
      <w:r>
        <w:t xml:space="preserve"> Property 94 in the Sunbury South PSP.</w:t>
      </w:r>
    </w:p>
  </w:footnote>
  <w:footnote w:id="46">
    <w:p w:rsidR="003007EC" w:rsidRDefault="003007EC">
      <w:pPr>
        <w:pStyle w:val="FootnoteText"/>
      </w:pPr>
      <w:r>
        <w:rPr>
          <w:rStyle w:val="FootnoteReference"/>
        </w:rPr>
        <w:footnoteRef/>
      </w:r>
      <w:r>
        <w:t xml:space="preserve"> EPA Publication 788.3, August 2015.</w:t>
      </w:r>
    </w:p>
  </w:footnote>
  <w:footnote w:id="47">
    <w:p w:rsidR="003007EC" w:rsidRDefault="003007EC">
      <w:pPr>
        <w:pStyle w:val="FootnoteText"/>
      </w:pPr>
      <w:r>
        <w:rPr>
          <w:rStyle w:val="FootnoteReference"/>
        </w:rPr>
        <w:footnoteRef/>
      </w:r>
      <w:r>
        <w:t xml:space="preserve"> Pages 13 to 14.</w:t>
      </w:r>
    </w:p>
  </w:footnote>
  <w:footnote w:id="48">
    <w:p w:rsidR="003007EC" w:rsidRDefault="003007EC">
      <w:pPr>
        <w:pStyle w:val="FootnoteText"/>
      </w:pPr>
      <w:r>
        <w:rPr>
          <w:rStyle w:val="FootnoteReference"/>
        </w:rPr>
        <w:footnoteRef/>
      </w:r>
      <w:r>
        <w:t xml:space="preserve"> Page 10.</w:t>
      </w:r>
    </w:p>
  </w:footnote>
  <w:footnote w:id="49">
    <w:p w:rsidR="003007EC" w:rsidRDefault="003007EC">
      <w:pPr>
        <w:pStyle w:val="FootnoteText"/>
      </w:pPr>
      <w:r>
        <w:rPr>
          <w:rStyle w:val="FootnoteReference"/>
        </w:rPr>
        <w:footnoteRef/>
      </w:r>
      <w:r>
        <w:t xml:space="preserve"> Page 14.</w:t>
      </w:r>
    </w:p>
  </w:footnote>
  <w:footnote w:id="50">
    <w:p w:rsidR="003007EC" w:rsidRDefault="003007EC">
      <w:pPr>
        <w:pStyle w:val="FootnoteText"/>
      </w:pPr>
      <w:r>
        <w:rPr>
          <w:rStyle w:val="FootnoteReference"/>
        </w:rPr>
        <w:footnoteRef/>
      </w:r>
      <w:r>
        <w:t xml:space="preserve"> Page 14.</w:t>
      </w:r>
    </w:p>
  </w:footnote>
  <w:footnote w:id="51">
    <w:p w:rsidR="003007EC" w:rsidRDefault="003007EC">
      <w:pPr>
        <w:pStyle w:val="FootnoteText"/>
      </w:pPr>
      <w:r>
        <w:rPr>
          <w:rStyle w:val="FootnoteReference"/>
        </w:rPr>
        <w:footnoteRef/>
      </w:r>
      <w:r>
        <w:t xml:space="preserve"> Page 14.</w:t>
      </w:r>
    </w:p>
  </w:footnote>
  <w:footnote w:id="52">
    <w:p w:rsidR="003007EC" w:rsidRDefault="003007EC">
      <w:pPr>
        <w:pStyle w:val="FootnoteText"/>
      </w:pPr>
      <w:r>
        <w:rPr>
          <w:rStyle w:val="FootnoteReference"/>
        </w:rPr>
        <w:footnoteRef/>
      </w:r>
      <w:r>
        <w:t xml:space="preserve"> Page 14.</w:t>
      </w:r>
    </w:p>
  </w:footnote>
  <w:footnote w:id="53">
    <w:p w:rsidR="003007EC" w:rsidRDefault="003007EC">
      <w:pPr>
        <w:pStyle w:val="FootnoteText"/>
      </w:pPr>
      <w:r>
        <w:rPr>
          <w:rStyle w:val="FootnoteReference"/>
        </w:rPr>
        <w:footnoteRef/>
      </w:r>
      <w:r>
        <w:t xml:space="preserve"> EPA Publication 1625, June 2016.</w:t>
      </w:r>
    </w:p>
  </w:footnote>
  <w:footnote w:id="54">
    <w:p w:rsidR="003007EC" w:rsidRDefault="003007EC">
      <w:pPr>
        <w:pStyle w:val="FootnoteText"/>
      </w:pPr>
      <w:r>
        <w:rPr>
          <w:rStyle w:val="FootnoteReference"/>
        </w:rPr>
        <w:footnoteRef/>
      </w:r>
      <w:r>
        <w:t xml:space="preserve"> Page 2.</w:t>
      </w:r>
    </w:p>
  </w:footnote>
  <w:footnote w:id="55">
    <w:p w:rsidR="003007EC" w:rsidRPr="00002C78" w:rsidRDefault="003007EC">
      <w:pPr>
        <w:pStyle w:val="FootnoteText"/>
      </w:pPr>
      <w:r>
        <w:rPr>
          <w:rStyle w:val="FootnoteReference"/>
        </w:rPr>
        <w:footnoteRef/>
      </w:r>
      <w:r>
        <w:t xml:space="preserve"> EPA Publication 1518, March 2013 (</w:t>
      </w:r>
      <w:r>
        <w:rPr>
          <w:b/>
        </w:rPr>
        <w:t>Separation Distance Guideline</w:t>
      </w:r>
      <w:r>
        <w:t>).</w:t>
      </w:r>
    </w:p>
  </w:footnote>
  <w:footnote w:id="56">
    <w:p w:rsidR="003007EC" w:rsidRDefault="003007EC">
      <w:pPr>
        <w:pStyle w:val="FootnoteText"/>
      </w:pPr>
      <w:r>
        <w:rPr>
          <w:rStyle w:val="FootnoteReference"/>
        </w:rPr>
        <w:footnoteRef/>
      </w:r>
      <w:r>
        <w:t xml:space="preserve"> Page 16.</w:t>
      </w:r>
    </w:p>
  </w:footnote>
  <w:footnote w:id="57">
    <w:p w:rsidR="003007EC" w:rsidRDefault="003007EC">
      <w:pPr>
        <w:pStyle w:val="FootnoteText"/>
      </w:pPr>
      <w:r>
        <w:rPr>
          <w:rStyle w:val="FootnoteReference"/>
        </w:rPr>
        <w:footnoteRef/>
      </w:r>
      <w:r>
        <w:t xml:space="preserve"> Page 17.</w:t>
      </w:r>
    </w:p>
  </w:footnote>
  <w:footnote w:id="58">
    <w:p w:rsidR="003007EC" w:rsidRDefault="003007EC">
      <w:pPr>
        <w:pStyle w:val="FootnoteText"/>
      </w:pPr>
      <w:r>
        <w:rPr>
          <w:rStyle w:val="FootnoteReference"/>
        </w:rPr>
        <w:footnoteRef/>
      </w:r>
      <w:r>
        <w:t xml:space="preserve"> Page 15.</w:t>
      </w:r>
    </w:p>
  </w:footnote>
  <w:footnote w:id="59">
    <w:p w:rsidR="003007EC" w:rsidRDefault="003007EC">
      <w:pPr>
        <w:pStyle w:val="FootnoteText"/>
      </w:pPr>
      <w:r>
        <w:rPr>
          <w:rStyle w:val="FootnoteReference"/>
        </w:rPr>
        <w:footnoteRef/>
      </w:r>
      <w:r>
        <w:t xml:space="preserve"> Page 14.</w:t>
      </w:r>
    </w:p>
  </w:footnote>
  <w:footnote w:id="60">
    <w:p w:rsidR="003007EC" w:rsidRDefault="003007EC">
      <w:pPr>
        <w:pStyle w:val="FootnoteText"/>
      </w:pPr>
      <w:r>
        <w:rPr>
          <w:rStyle w:val="FootnoteReference"/>
        </w:rPr>
        <w:footnoteRef/>
      </w:r>
      <w:r>
        <w:t xml:space="preserve"> Pages 17 to 18.</w:t>
      </w:r>
    </w:p>
  </w:footnote>
  <w:footnote w:id="61">
    <w:p w:rsidR="003007EC" w:rsidRDefault="003007EC">
      <w:pPr>
        <w:pStyle w:val="FootnoteText"/>
      </w:pPr>
      <w:r>
        <w:rPr>
          <w:rStyle w:val="FootnoteReference"/>
        </w:rPr>
        <w:footnoteRef/>
      </w:r>
      <w:r>
        <w:t xml:space="preserve"> Page 38 in Table 2.2.</w:t>
      </w:r>
    </w:p>
  </w:footnote>
  <w:footnote w:id="62">
    <w:p w:rsidR="003007EC" w:rsidRDefault="003007EC">
      <w:pPr>
        <w:pStyle w:val="FootnoteText"/>
      </w:pPr>
      <w:r>
        <w:rPr>
          <w:rStyle w:val="FootnoteReference"/>
        </w:rPr>
        <w:footnoteRef/>
      </w:r>
      <w:r>
        <w:t xml:space="preserve"> Page 80 in Table 5.4.</w:t>
      </w:r>
    </w:p>
  </w:footnote>
  <w:footnote w:id="63">
    <w:p w:rsidR="003007EC" w:rsidRDefault="003007EC">
      <w:pPr>
        <w:pStyle w:val="FootnoteText"/>
      </w:pPr>
      <w:r>
        <w:rPr>
          <w:rStyle w:val="FootnoteReference"/>
        </w:rPr>
        <w:footnoteRef/>
      </w:r>
      <w:r>
        <w:t xml:space="preserve"> Page 39 in Table 8.</w:t>
      </w:r>
    </w:p>
  </w:footnote>
  <w:footnote w:id="64">
    <w:p w:rsidR="003007EC" w:rsidRDefault="003007EC">
      <w:pPr>
        <w:pStyle w:val="FootnoteText"/>
      </w:pPr>
      <w:r>
        <w:rPr>
          <w:rStyle w:val="FootnoteReference"/>
        </w:rPr>
        <w:footnoteRef/>
      </w:r>
      <w:r>
        <w:t xml:space="preserve"> Page 72 in Table 15.</w:t>
      </w:r>
    </w:p>
  </w:footnote>
  <w:footnote w:id="65">
    <w:p w:rsidR="003007EC" w:rsidRDefault="003007EC">
      <w:pPr>
        <w:pStyle w:val="FootnoteText"/>
      </w:pPr>
      <w:r>
        <w:rPr>
          <w:rStyle w:val="FootnoteReference"/>
        </w:rPr>
        <w:footnoteRef/>
      </w:r>
      <w:r>
        <w:t xml:space="preserve"> </w:t>
      </w:r>
      <w:r>
        <w:rPr>
          <w:i/>
        </w:rPr>
        <w:t xml:space="preserve">Hi-Quality Quarry Products Pty Ltd, Veolia Buffer Assessment: Odour monitoring and modelling results </w:t>
      </w:r>
      <w:r>
        <w:t>(GHD, August 2017) (</w:t>
      </w:r>
      <w:r>
        <w:rPr>
          <w:b/>
        </w:rPr>
        <w:t>GHD report</w:t>
      </w:r>
      <w:r>
        <w:t>).</w:t>
      </w:r>
    </w:p>
  </w:footnote>
  <w:footnote w:id="66">
    <w:p w:rsidR="003007EC" w:rsidRPr="007B5409" w:rsidRDefault="003007EC">
      <w:pPr>
        <w:pStyle w:val="FootnoteText"/>
      </w:pPr>
      <w:r>
        <w:rPr>
          <w:rStyle w:val="FootnoteReference"/>
        </w:rPr>
        <w:footnoteRef/>
      </w:r>
      <w:r>
        <w:t xml:space="preserve"> EPA Publication 1588.1, June 2017.</w:t>
      </w:r>
    </w:p>
  </w:footnote>
  <w:footnote w:id="67">
    <w:p w:rsidR="003007EC" w:rsidRDefault="003007EC">
      <w:pPr>
        <w:pStyle w:val="FootnoteText"/>
      </w:pPr>
      <w:r>
        <w:rPr>
          <w:rStyle w:val="FootnoteReference"/>
        </w:rPr>
        <w:footnoteRef/>
      </w:r>
      <w:r>
        <w:t xml:space="preserve"> Condition LI_A1. </w:t>
      </w:r>
    </w:p>
  </w:footnote>
  <w:footnote w:id="68">
    <w:p w:rsidR="003007EC" w:rsidRDefault="003007EC">
      <w:pPr>
        <w:pStyle w:val="FootnoteText"/>
      </w:pPr>
      <w:r>
        <w:rPr>
          <w:rStyle w:val="FootnoteReference"/>
        </w:rPr>
        <w:footnoteRef/>
      </w:r>
      <w:r>
        <w:t xml:space="preserve"> Property 72 in the Sunbury South PSP.</w:t>
      </w:r>
    </w:p>
  </w:footnote>
  <w:footnote w:id="69">
    <w:p w:rsidR="003007EC" w:rsidRDefault="003007EC">
      <w:pPr>
        <w:pStyle w:val="FootnoteText"/>
      </w:pPr>
      <w:r>
        <w:rPr>
          <w:rStyle w:val="FootnoteReference"/>
        </w:rPr>
        <w:footnoteRef/>
      </w:r>
      <w:r>
        <w:t xml:space="preserve"> Property 71 in the Sunbury South PSP.</w:t>
      </w:r>
    </w:p>
  </w:footnote>
  <w:footnote w:id="70">
    <w:p w:rsidR="003007EC" w:rsidRDefault="003007EC">
      <w:pPr>
        <w:pStyle w:val="FootnoteText"/>
      </w:pPr>
      <w:r>
        <w:rPr>
          <w:rStyle w:val="FootnoteReference"/>
        </w:rPr>
        <w:footnoteRef/>
      </w:r>
      <w:r>
        <w:t xml:space="preserve"> Page 3.</w:t>
      </w:r>
    </w:p>
  </w:footnote>
  <w:footnote w:id="71">
    <w:p w:rsidR="003007EC" w:rsidRDefault="003007EC">
      <w:pPr>
        <w:pStyle w:val="FootnoteText"/>
      </w:pPr>
      <w:r>
        <w:rPr>
          <w:rStyle w:val="FootnoteReference"/>
        </w:rPr>
        <w:footnoteRef/>
      </w:r>
      <w:r>
        <w:t xml:space="preserve"> Page 11.</w:t>
      </w:r>
    </w:p>
  </w:footnote>
  <w:footnote w:id="72">
    <w:p w:rsidR="003007EC" w:rsidRDefault="003007EC">
      <w:pPr>
        <w:pStyle w:val="FootnoteText"/>
      </w:pPr>
      <w:r>
        <w:rPr>
          <w:rStyle w:val="FootnoteReference"/>
        </w:rPr>
        <w:footnoteRef/>
      </w:r>
      <w:r>
        <w:t xml:space="preserve"> Page16.</w:t>
      </w:r>
    </w:p>
  </w:footnote>
  <w:footnote w:id="73">
    <w:p w:rsidR="003007EC" w:rsidRDefault="003007EC">
      <w:pPr>
        <w:pStyle w:val="FootnoteText"/>
      </w:pPr>
      <w:r>
        <w:rPr>
          <w:rStyle w:val="FootnoteReference"/>
        </w:rPr>
        <w:footnoteRef/>
      </w:r>
      <w:r>
        <w:t xml:space="preserve"> Pages 16 and 15 in their respective expert witness reports.</w:t>
      </w:r>
    </w:p>
  </w:footnote>
  <w:footnote w:id="74">
    <w:p w:rsidR="003007EC" w:rsidRDefault="003007EC">
      <w:pPr>
        <w:pStyle w:val="FootnoteText"/>
      </w:pPr>
      <w:r>
        <w:rPr>
          <w:rStyle w:val="FootnoteReference"/>
        </w:rPr>
        <w:footnoteRef/>
      </w:r>
      <w:r>
        <w:t xml:space="preserve"> Page 2.</w:t>
      </w:r>
    </w:p>
  </w:footnote>
  <w:footnote w:id="75">
    <w:p w:rsidR="003007EC" w:rsidRDefault="003007EC">
      <w:pPr>
        <w:pStyle w:val="FootnoteText"/>
      </w:pPr>
      <w:r>
        <w:rPr>
          <w:rStyle w:val="FootnoteReference"/>
        </w:rPr>
        <w:footnoteRef/>
      </w:r>
      <w:r>
        <w:t xml:space="preserve"> Page 14.</w:t>
      </w:r>
    </w:p>
  </w:footnote>
  <w:footnote w:id="76">
    <w:p w:rsidR="003007EC" w:rsidRDefault="003007EC">
      <w:pPr>
        <w:pStyle w:val="FootnoteText"/>
      </w:pPr>
      <w:r>
        <w:rPr>
          <w:rStyle w:val="FootnoteReference"/>
        </w:rPr>
        <w:footnoteRef/>
      </w:r>
      <w:r>
        <w:t xml:space="preserve"> Pages 20 and 23.</w:t>
      </w:r>
    </w:p>
  </w:footnote>
  <w:footnote w:id="77">
    <w:p w:rsidR="003007EC" w:rsidRDefault="003007EC">
      <w:pPr>
        <w:pStyle w:val="FootnoteText"/>
      </w:pPr>
      <w:r>
        <w:rPr>
          <w:rStyle w:val="FootnoteReference"/>
        </w:rPr>
        <w:footnoteRef/>
      </w:r>
      <w:r>
        <w:t xml:space="preserve"> Pages 23 to 28 in Mr Ramsay’s report and pages 7 to 12 in Mr </w:t>
      </w:r>
      <w:proofErr w:type="spellStart"/>
      <w:r>
        <w:t>Assal’s</w:t>
      </w:r>
      <w:proofErr w:type="spellEnd"/>
      <w:r>
        <w:t xml:space="preserve"> report.</w:t>
      </w:r>
    </w:p>
  </w:footnote>
  <w:footnote w:id="78">
    <w:p w:rsidR="003007EC" w:rsidRDefault="003007EC">
      <w:pPr>
        <w:pStyle w:val="FootnoteText"/>
      </w:pPr>
      <w:r>
        <w:rPr>
          <w:rStyle w:val="FootnoteReference"/>
        </w:rPr>
        <w:footnoteRef/>
      </w:r>
      <w:r>
        <w:t xml:space="preserve"> Page 25.</w:t>
      </w:r>
    </w:p>
  </w:footnote>
  <w:footnote w:id="79">
    <w:p w:rsidR="003007EC" w:rsidRDefault="003007EC">
      <w:pPr>
        <w:pStyle w:val="FootnoteText"/>
      </w:pPr>
      <w:r>
        <w:rPr>
          <w:rStyle w:val="FootnoteReference"/>
        </w:rPr>
        <w:footnoteRef/>
      </w:r>
      <w:r>
        <w:t xml:space="preserve"> Page 28.</w:t>
      </w:r>
    </w:p>
  </w:footnote>
  <w:footnote w:id="80">
    <w:p w:rsidR="003007EC" w:rsidRDefault="003007EC">
      <w:pPr>
        <w:pStyle w:val="FootnoteText"/>
      </w:pPr>
      <w:r>
        <w:rPr>
          <w:rStyle w:val="FootnoteReference"/>
        </w:rPr>
        <w:footnoteRef/>
      </w:r>
      <w:r>
        <w:t xml:space="preserve"> Page 9.</w:t>
      </w:r>
    </w:p>
  </w:footnote>
  <w:footnote w:id="81">
    <w:p w:rsidR="003007EC" w:rsidRDefault="003007EC">
      <w:pPr>
        <w:pStyle w:val="FootnoteText"/>
      </w:pPr>
      <w:r>
        <w:rPr>
          <w:rStyle w:val="FootnoteReference"/>
        </w:rPr>
        <w:footnoteRef/>
      </w:r>
      <w:r>
        <w:t xml:space="preserve"> There are likely to be additional matters raised </w:t>
      </w:r>
      <w:proofErr w:type="gramStart"/>
      <w:r>
        <w:t>in the course of</w:t>
      </w:r>
      <w:proofErr w:type="gramEnd"/>
      <w:r>
        <w:t xml:space="preserve"> the hearing, such as land tenure, by the relevant parties that must be considered when effecting long-term planning decisions.  </w:t>
      </w:r>
    </w:p>
  </w:footnote>
  <w:footnote w:id="82">
    <w:p w:rsidR="003007EC" w:rsidRDefault="003007EC">
      <w:pPr>
        <w:pStyle w:val="FootnoteText"/>
      </w:pPr>
      <w:r>
        <w:rPr>
          <w:rStyle w:val="FootnoteReference"/>
        </w:rPr>
        <w:footnoteRef/>
      </w:r>
      <w:r>
        <w:t xml:space="preserve"> Page 19.</w:t>
      </w:r>
    </w:p>
  </w:footnote>
  <w:footnote w:id="83">
    <w:p w:rsidR="003007EC" w:rsidRDefault="003007EC">
      <w:pPr>
        <w:pStyle w:val="FootnoteText"/>
      </w:pPr>
      <w:r>
        <w:rPr>
          <w:rStyle w:val="FootnoteReference"/>
        </w:rPr>
        <w:footnoteRef/>
      </w:r>
      <w:r>
        <w:t xml:space="preserve"> Paragraph 220, page 42.</w:t>
      </w:r>
    </w:p>
  </w:footnote>
  <w:footnote w:id="84">
    <w:p w:rsidR="003007EC" w:rsidRDefault="003007EC">
      <w:pPr>
        <w:pStyle w:val="FootnoteText"/>
      </w:pPr>
      <w:r>
        <w:rPr>
          <w:rStyle w:val="FootnoteReference"/>
        </w:rPr>
        <w:footnoteRef/>
      </w:r>
      <w:r>
        <w:t xml:space="preserve"> Amendment VC68 gazetted on 6 August 2010.</w:t>
      </w:r>
    </w:p>
  </w:footnote>
  <w:footnote w:id="85">
    <w:p w:rsidR="003007EC" w:rsidRDefault="003007EC">
      <w:pPr>
        <w:pStyle w:val="FootnoteText"/>
      </w:pPr>
      <w:r>
        <w:rPr>
          <w:rStyle w:val="FootnoteReference"/>
        </w:rPr>
        <w:footnoteRef/>
      </w:r>
      <w:r>
        <w:t xml:space="preserve"> 17 June 2012.</w:t>
      </w:r>
    </w:p>
  </w:footnote>
  <w:footnote w:id="86">
    <w:p w:rsidR="003007EC" w:rsidRDefault="003007EC">
      <w:pPr>
        <w:pStyle w:val="FootnoteText"/>
      </w:pPr>
      <w:r>
        <w:rPr>
          <w:rStyle w:val="FootnoteReference"/>
        </w:rPr>
        <w:footnoteRef/>
      </w:r>
      <w:r>
        <w:t xml:space="preserve"> Pages 3-5.</w:t>
      </w:r>
    </w:p>
  </w:footnote>
  <w:footnote w:id="87">
    <w:p w:rsidR="003007EC" w:rsidRDefault="003007EC">
      <w:pPr>
        <w:pStyle w:val="FootnoteText"/>
      </w:pPr>
      <w:r>
        <w:rPr>
          <w:rStyle w:val="FootnoteReference"/>
        </w:rPr>
        <w:footnoteRef/>
      </w:r>
      <w:r>
        <w:t xml:space="preserve"> Page 6.</w:t>
      </w:r>
    </w:p>
  </w:footnote>
  <w:footnote w:id="88">
    <w:p w:rsidR="003007EC" w:rsidRDefault="003007EC">
      <w:pPr>
        <w:pStyle w:val="FootnoteText"/>
      </w:pPr>
      <w:r>
        <w:rPr>
          <w:rStyle w:val="FootnoteReference"/>
        </w:rPr>
        <w:footnoteRef/>
      </w:r>
      <w:r>
        <w:t xml:space="preserve"> Pages 9-11 (text cited on page 10).</w:t>
      </w:r>
    </w:p>
  </w:footnote>
  <w:footnote w:id="89">
    <w:p w:rsidR="003007EC" w:rsidRDefault="003007EC">
      <w:pPr>
        <w:pStyle w:val="FootnoteText"/>
      </w:pPr>
      <w:r>
        <w:rPr>
          <w:rStyle w:val="FootnoteReference"/>
        </w:rPr>
        <w:footnoteRef/>
      </w:r>
      <w:r>
        <w:t xml:space="preserve"> Page 16.</w:t>
      </w:r>
    </w:p>
  </w:footnote>
  <w:footnote w:id="90">
    <w:p w:rsidR="003007EC" w:rsidRDefault="003007EC">
      <w:pPr>
        <w:pStyle w:val="FootnoteText"/>
      </w:pPr>
      <w:r>
        <w:rPr>
          <w:rStyle w:val="FootnoteReference"/>
        </w:rPr>
        <w:footnoteRef/>
      </w:r>
      <w:r>
        <w:t xml:space="preserve"> Page 15.</w:t>
      </w:r>
    </w:p>
  </w:footnote>
  <w:footnote w:id="91">
    <w:p w:rsidR="003007EC" w:rsidRDefault="003007EC">
      <w:pPr>
        <w:pStyle w:val="FootnoteText"/>
      </w:pPr>
      <w:r>
        <w:rPr>
          <w:rStyle w:val="FootnoteReference"/>
        </w:rPr>
        <w:footnoteRef/>
      </w:r>
      <w:r>
        <w:t xml:space="preserve"> Pages 25-26.</w:t>
      </w:r>
    </w:p>
  </w:footnote>
  <w:footnote w:id="92">
    <w:p w:rsidR="003007EC" w:rsidRDefault="003007EC">
      <w:pPr>
        <w:pStyle w:val="FootnoteText"/>
      </w:pPr>
      <w:r>
        <w:rPr>
          <w:rStyle w:val="FootnoteReference"/>
        </w:rPr>
        <w:footnoteRef/>
      </w:r>
      <w:r>
        <w:t xml:space="preserve"> Page 26.</w:t>
      </w:r>
    </w:p>
  </w:footnote>
  <w:footnote w:id="93">
    <w:p w:rsidR="003007EC" w:rsidRDefault="003007EC">
      <w:pPr>
        <w:pStyle w:val="FootnoteText"/>
      </w:pPr>
      <w:r>
        <w:rPr>
          <w:rStyle w:val="FootnoteReference"/>
        </w:rPr>
        <w:footnoteRef/>
      </w:r>
      <w:r>
        <w:t xml:space="preserve"> Page 28.</w:t>
      </w:r>
    </w:p>
  </w:footnote>
  <w:footnote w:id="94">
    <w:p w:rsidR="003007EC" w:rsidRDefault="003007EC">
      <w:pPr>
        <w:pStyle w:val="FootnoteText"/>
      </w:pPr>
      <w:r>
        <w:rPr>
          <w:rStyle w:val="FootnoteReference"/>
        </w:rPr>
        <w:footnoteRef/>
      </w:r>
      <w:r>
        <w:t xml:space="preserve"> Page 31.</w:t>
      </w:r>
    </w:p>
  </w:footnote>
  <w:footnote w:id="95">
    <w:p w:rsidR="003007EC" w:rsidRDefault="003007EC">
      <w:pPr>
        <w:pStyle w:val="FootnoteText"/>
      </w:pPr>
      <w:r>
        <w:rPr>
          <w:rStyle w:val="FootnoteReference"/>
        </w:rPr>
        <w:footnoteRef/>
      </w:r>
      <w:r>
        <w:t xml:space="preserve"> Page 32.</w:t>
      </w:r>
    </w:p>
  </w:footnote>
  <w:footnote w:id="96">
    <w:p w:rsidR="003007EC" w:rsidRDefault="003007EC">
      <w:pPr>
        <w:pStyle w:val="FootnoteText"/>
      </w:pPr>
      <w:r>
        <w:rPr>
          <w:rStyle w:val="FootnoteReference"/>
        </w:rPr>
        <w:footnoteRef/>
      </w:r>
      <w:r>
        <w:t xml:space="preserve"> Pages 26-27.</w:t>
      </w:r>
    </w:p>
  </w:footnote>
  <w:footnote w:id="97">
    <w:p w:rsidR="003007EC" w:rsidRDefault="003007EC" w:rsidP="00E41250">
      <w:pPr>
        <w:pStyle w:val="FootnoteText"/>
      </w:pPr>
      <w:r>
        <w:rPr>
          <w:rStyle w:val="FootnoteReference"/>
        </w:rPr>
        <w:footnoteRef/>
      </w:r>
      <w:r>
        <w:t xml:space="preserve"> Page 8.</w:t>
      </w:r>
    </w:p>
  </w:footnote>
  <w:footnote w:id="98">
    <w:p w:rsidR="003007EC" w:rsidRDefault="003007EC" w:rsidP="00E24D62">
      <w:pPr>
        <w:pStyle w:val="FootnoteText"/>
      </w:pPr>
      <w:r>
        <w:rPr>
          <w:rStyle w:val="FootnoteReference"/>
        </w:rPr>
        <w:footnoteRef/>
      </w:r>
      <w:r>
        <w:t xml:space="preserve"> Page 33.</w:t>
      </w:r>
    </w:p>
  </w:footnote>
  <w:footnote w:id="99">
    <w:p w:rsidR="003007EC" w:rsidRDefault="003007EC" w:rsidP="007245E8">
      <w:pPr>
        <w:pStyle w:val="FootnoteText"/>
      </w:pPr>
      <w:r>
        <w:rPr>
          <w:rStyle w:val="FootnoteReference"/>
        </w:rPr>
        <w:footnoteRef/>
      </w:r>
      <w:r>
        <w:t xml:space="preserve"> Page 34.</w:t>
      </w:r>
    </w:p>
  </w:footnote>
  <w:footnote w:id="100">
    <w:p w:rsidR="003007EC" w:rsidRDefault="003007EC">
      <w:pPr>
        <w:pStyle w:val="FootnoteText"/>
      </w:pPr>
      <w:r>
        <w:rPr>
          <w:rStyle w:val="FootnoteReference"/>
        </w:rPr>
        <w:footnoteRef/>
      </w:r>
      <w:r>
        <w:t xml:space="preserve"> Pages 34-35.</w:t>
      </w:r>
    </w:p>
  </w:footnote>
  <w:footnote w:id="101">
    <w:p w:rsidR="003007EC" w:rsidRDefault="003007EC">
      <w:pPr>
        <w:pStyle w:val="FootnoteText"/>
      </w:pPr>
      <w:r>
        <w:rPr>
          <w:rStyle w:val="FootnoteReference"/>
        </w:rPr>
        <w:footnoteRef/>
      </w:r>
      <w:r>
        <w:t xml:space="preserve"> Page 37.</w:t>
      </w:r>
    </w:p>
  </w:footnote>
  <w:footnote w:id="102">
    <w:p w:rsidR="003007EC" w:rsidRDefault="003007EC">
      <w:pPr>
        <w:pStyle w:val="FootnoteText"/>
      </w:pPr>
      <w:r>
        <w:rPr>
          <w:rStyle w:val="FootnoteReference"/>
        </w:rPr>
        <w:footnoteRef/>
      </w:r>
      <w:r>
        <w:t xml:space="preserve"> Page 36.</w:t>
      </w:r>
    </w:p>
  </w:footnote>
  <w:footnote w:id="103">
    <w:p w:rsidR="003007EC" w:rsidRDefault="003007EC">
      <w:pPr>
        <w:pStyle w:val="FootnoteText"/>
      </w:pPr>
      <w:r>
        <w:rPr>
          <w:rStyle w:val="FootnoteReference"/>
        </w:rPr>
        <w:footnoteRef/>
      </w:r>
      <w:r>
        <w:t xml:space="preserve"> Melbourne Water, June 2007.</w:t>
      </w:r>
    </w:p>
  </w:footnote>
  <w:footnote w:id="104">
    <w:p w:rsidR="003007EC" w:rsidRDefault="003007EC">
      <w:pPr>
        <w:pStyle w:val="FootnoteText"/>
      </w:pPr>
      <w:r>
        <w:rPr>
          <w:rStyle w:val="FootnoteReference"/>
        </w:rPr>
        <w:footnoteRef/>
      </w:r>
      <w:r>
        <w:t xml:space="preserve"> CSIRO, 1999.  Currently 45% in total nitrogen and phosphorus, 80% reduction in total suspended solids.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07EC" w:rsidRDefault="003007EC">
    <w:r>
      <w:rPr>
        <w:noProof/>
      </w:rPr>
      <w:drawing>
        <wp:anchor distT="0" distB="0" distL="114300" distR="114300" simplePos="0" relativeHeight="251668480" behindDoc="0" locked="1" layoutInCell="1" allowOverlap="1" wp14:anchorId="2BB40EB6" wp14:editId="35A51849">
          <wp:simplePos x="0" y="0"/>
          <wp:positionH relativeFrom="page">
            <wp:posOffset>180340</wp:posOffset>
          </wp:positionH>
          <wp:positionV relativeFrom="page">
            <wp:posOffset>179070</wp:posOffset>
          </wp:positionV>
          <wp:extent cx="7200000" cy="496800"/>
          <wp:effectExtent l="0" t="0" r="127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SP_Header_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0" cy="4968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07EC" w:rsidRDefault="003007EC">
    <w:r>
      <w:rPr>
        <w:noProof/>
      </w:rPr>
      <w:drawing>
        <wp:anchor distT="0" distB="0" distL="114300" distR="114300" simplePos="0" relativeHeight="251666432" behindDoc="0" locked="1" layoutInCell="1" allowOverlap="1" wp14:anchorId="19A17CE4" wp14:editId="6340FE88">
          <wp:simplePos x="0" y="0"/>
          <wp:positionH relativeFrom="page">
            <wp:posOffset>179705</wp:posOffset>
          </wp:positionH>
          <wp:positionV relativeFrom="page">
            <wp:posOffset>182880</wp:posOffset>
          </wp:positionV>
          <wp:extent cx="7199630" cy="497205"/>
          <wp:effectExtent l="0" t="0" r="127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SP_Header_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99630" cy="49720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07EC" w:rsidRDefault="003007EC"/>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07EC" w:rsidRDefault="003007E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4CD89148"/>
    <w:lvl w:ilvl="0">
      <w:start w:val="17"/>
      <w:numFmt w:val="decimal"/>
      <w:pStyle w:val="ListNumber"/>
      <w:lvlText w:val="%1."/>
      <w:lvlJc w:val="left"/>
      <w:pPr>
        <w:tabs>
          <w:tab w:val="num" w:pos="360"/>
        </w:tabs>
        <w:ind w:left="360" w:hanging="360"/>
      </w:pPr>
    </w:lvl>
  </w:abstractNum>
  <w:abstractNum w:abstractNumId="1" w15:restartNumberingAfterBreak="0">
    <w:nsid w:val="015833CB"/>
    <w:multiLevelType w:val="hybridMultilevel"/>
    <w:tmpl w:val="73CE0A3E"/>
    <w:lvl w:ilvl="0" w:tplc="0C090001">
      <w:start w:val="1"/>
      <w:numFmt w:val="bullet"/>
      <w:lvlText w:val=""/>
      <w:lvlJc w:val="left"/>
      <w:pPr>
        <w:ind w:left="720" w:hanging="360"/>
      </w:pPr>
      <w:rPr>
        <w:rFonts w:ascii="Symbol" w:hAnsi="Symbol" w:hint="default"/>
      </w:rPr>
    </w:lvl>
    <w:lvl w:ilvl="1" w:tplc="D74C1240">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35316E"/>
    <w:multiLevelType w:val="hybridMultilevel"/>
    <w:tmpl w:val="F782B6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3C957D9"/>
    <w:multiLevelType w:val="hybridMultilevel"/>
    <w:tmpl w:val="AFF832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7D46ED"/>
    <w:multiLevelType w:val="hybridMultilevel"/>
    <w:tmpl w:val="8DCE9A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58B53BD"/>
    <w:multiLevelType w:val="hybridMultilevel"/>
    <w:tmpl w:val="8794C9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7EC1767"/>
    <w:multiLevelType w:val="hybridMultilevel"/>
    <w:tmpl w:val="22B628FE"/>
    <w:lvl w:ilvl="0" w:tplc="04848CDE">
      <w:start w:val="1"/>
      <w:numFmt w:val="bullet"/>
      <w:pStyle w:val="Tablelis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ADC49FE"/>
    <w:multiLevelType w:val="hybridMultilevel"/>
    <w:tmpl w:val="A8EE5E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AE6437F"/>
    <w:multiLevelType w:val="hybridMultilevel"/>
    <w:tmpl w:val="33D60A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1A17411"/>
    <w:multiLevelType w:val="hybridMultilevel"/>
    <w:tmpl w:val="0672876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2516E5E"/>
    <w:multiLevelType w:val="hybridMultilevel"/>
    <w:tmpl w:val="4366EE42"/>
    <w:lvl w:ilvl="0" w:tplc="79BE0B34">
      <w:start w:val="1"/>
      <w:numFmt w:val="decimal"/>
      <w:pStyle w:val="Tablenoreq"/>
      <w:lvlText w:val="R%1"/>
      <w:lvlJc w:val="left"/>
      <w:pPr>
        <w:ind w:left="360" w:hanging="360"/>
      </w:pPr>
      <w:rPr>
        <w:rFonts w:hint="default"/>
        <w:b w:val="0"/>
        <w:i w:val="0"/>
        <w:color w:val="95C11F" w:themeColor="accent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5B27991"/>
    <w:multiLevelType w:val="hybridMultilevel"/>
    <w:tmpl w:val="23EEE1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6DB7F92"/>
    <w:multiLevelType w:val="hybridMultilevel"/>
    <w:tmpl w:val="D5B07E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83A16B6"/>
    <w:multiLevelType w:val="hybridMultilevel"/>
    <w:tmpl w:val="DDB053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9E34E88"/>
    <w:multiLevelType w:val="hybridMultilevel"/>
    <w:tmpl w:val="FB023BB4"/>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A637781"/>
    <w:multiLevelType w:val="hybridMultilevel"/>
    <w:tmpl w:val="E70A3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A770351"/>
    <w:multiLevelType w:val="multilevel"/>
    <w:tmpl w:val="0160F844"/>
    <w:lvl w:ilvl="0">
      <w:start w:val="1"/>
      <w:numFmt w:val="decimal"/>
      <w:pStyle w:val="List1numb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D063470"/>
    <w:multiLevelType w:val="hybridMultilevel"/>
    <w:tmpl w:val="F89628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D823550"/>
    <w:multiLevelType w:val="hybridMultilevel"/>
    <w:tmpl w:val="F27E548A"/>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19" w15:restartNumberingAfterBreak="0">
    <w:nsid w:val="1F507234"/>
    <w:multiLevelType w:val="hybridMultilevel"/>
    <w:tmpl w:val="0C5EDD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2474613"/>
    <w:multiLevelType w:val="hybridMultilevel"/>
    <w:tmpl w:val="05F4C4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232C7E4B"/>
    <w:multiLevelType w:val="hybridMultilevel"/>
    <w:tmpl w:val="CAFEF18E"/>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22" w15:restartNumberingAfterBreak="0">
    <w:nsid w:val="238604AE"/>
    <w:multiLevelType w:val="hybridMultilevel"/>
    <w:tmpl w:val="6EEA5F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741207E"/>
    <w:multiLevelType w:val="hybridMultilevel"/>
    <w:tmpl w:val="748CA6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77D3090"/>
    <w:multiLevelType w:val="hybridMultilevel"/>
    <w:tmpl w:val="7A00BFF0"/>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25" w15:restartNumberingAfterBreak="0">
    <w:nsid w:val="281C7393"/>
    <w:multiLevelType w:val="multilevel"/>
    <w:tmpl w:val="0060C338"/>
    <w:styleLink w:val="NumberedList"/>
    <w:lvl w:ilvl="0">
      <w:start w:val="1"/>
      <w:numFmt w:val="decimal"/>
      <w:lvlText w:val="%1."/>
      <w:lvlJc w:val="left"/>
      <w:pPr>
        <w:ind w:left="720" w:hanging="360"/>
      </w:pPr>
      <w:rPr>
        <w:rFonts w:ascii="Arial Narrow" w:hAnsi="Arial Narrow"/>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B2A305B"/>
    <w:multiLevelType w:val="hybridMultilevel"/>
    <w:tmpl w:val="B82AD2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29714BF"/>
    <w:multiLevelType w:val="hybridMultilevel"/>
    <w:tmpl w:val="37E82E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56773A3"/>
    <w:multiLevelType w:val="hybridMultilevel"/>
    <w:tmpl w:val="F92A59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74047EB"/>
    <w:multiLevelType w:val="hybridMultilevel"/>
    <w:tmpl w:val="725CAC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7DB7EB3"/>
    <w:multiLevelType w:val="hybridMultilevel"/>
    <w:tmpl w:val="BA1E8C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A952033"/>
    <w:multiLevelType w:val="hybridMultilevel"/>
    <w:tmpl w:val="FA7CFE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BA86799"/>
    <w:multiLevelType w:val="hybridMultilevel"/>
    <w:tmpl w:val="346217AA"/>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33" w15:restartNumberingAfterBreak="0">
    <w:nsid w:val="43165C10"/>
    <w:multiLevelType w:val="hybridMultilevel"/>
    <w:tmpl w:val="21C4B012"/>
    <w:lvl w:ilvl="0" w:tplc="0C090001">
      <w:start w:val="1"/>
      <w:numFmt w:val="bullet"/>
      <w:lvlText w:val=""/>
      <w:lvlJc w:val="left"/>
      <w:pPr>
        <w:ind w:left="825" w:hanging="360"/>
      </w:pPr>
      <w:rPr>
        <w:rFonts w:ascii="Symbol" w:hAnsi="Symbol" w:hint="default"/>
      </w:rPr>
    </w:lvl>
    <w:lvl w:ilvl="1" w:tplc="0C090003" w:tentative="1">
      <w:start w:val="1"/>
      <w:numFmt w:val="bullet"/>
      <w:lvlText w:val="o"/>
      <w:lvlJc w:val="left"/>
      <w:pPr>
        <w:ind w:left="1545" w:hanging="360"/>
      </w:pPr>
      <w:rPr>
        <w:rFonts w:ascii="Courier New" w:hAnsi="Courier New" w:cs="Courier New" w:hint="default"/>
      </w:rPr>
    </w:lvl>
    <w:lvl w:ilvl="2" w:tplc="0C090005" w:tentative="1">
      <w:start w:val="1"/>
      <w:numFmt w:val="bullet"/>
      <w:lvlText w:val=""/>
      <w:lvlJc w:val="left"/>
      <w:pPr>
        <w:ind w:left="2265" w:hanging="360"/>
      </w:pPr>
      <w:rPr>
        <w:rFonts w:ascii="Wingdings" w:hAnsi="Wingdings" w:hint="default"/>
      </w:rPr>
    </w:lvl>
    <w:lvl w:ilvl="3" w:tplc="0C090001" w:tentative="1">
      <w:start w:val="1"/>
      <w:numFmt w:val="bullet"/>
      <w:lvlText w:val=""/>
      <w:lvlJc w:val="left"/>
      <w:pPr>
        <w:ind w:left="2985" w:hanging="360"/>
      </w:pPr>
      <w:rPr>
        <w:rFonts w:ascii="Symbol" w:hAnsi="Symbol" w:hint="default"/>
      </w:rPr>
    </w:lvl>
    <w:lvl w:ilvl="4" w:tplc="0C090003" w:tentative="1">
      <w:start w:val="1"/>
      <w:numFmt w:val="bullet"/>
      <w:lvlText w:val="o"/>
      <w:lvlJc w:val="left"/>
      <w:pPr>
        <w:ind w:left="3705" w:hanging="360"/>
      </w:pPr>
      <w:rPr>
        <w:rFonts w:ascii="Courier New" w:hAnsi="Courier New" w:cs="Courier New" w:hint="default"/>
      </w:rPr>
    </w:lvl>
    <w:lvl w:ilvl="5" w:tplc="0C090005" w:tentative="1">
      <w:start w:val="1"/>
      <w:numFmt w:val="bullet"/>
      <w:lvlText w:val=""/>
      <w:lvlJc w:val="left"/>
      <w:pPr>
        <w:ind w:left="4425" w:hanging="360"/>
      </w:pPr>
      <w:rPr>
        <w:rFonts w:ascii="Wingdings" w:hAnsi="Wingdings" w:hint="default"/>
      </w:rPr>
    </w:lvl>
    <w:lvl w:ilvl="6" w:tplc="0C090001" w:tentative="1">
      <w:start w:val="1"/>
      <w:numFmt w:val="bullet"/>
      <w:lvlText w:val=""/>
      <w:lvlJc w:val="left"/>
      <w:pPr>
        <w:ind w:left="5145" w:hanging="360"/>
      </w:pPr>
      <w:rPr>
        <w:rFonts w:ascii="Symbol" w:hAnsi="Symbol" w:hint="default"/>
      </w:rPr>
    </w:lvl>
    <w:lvl w:ilvl="7" w:tplc="0C090003" w:tentative="1">
      <w:start w:val="1"/>
      <w:numFmt w:val="bullet"/>
      <w:lvlText w:val="o"/>
      <w:lvlJc w:val="left"/>
      <w:pPr>
        <w:ind w:left="5865" w:hanging="360"/>
      </w:pPr>
      <w:rPr>
        <w:rFonts w:ascii="Courier New" w:hAnsi="Courier New" w:cs="Courier New" w:hint="default"/>
      </w:rPr>
    </w:lvl>
    <w:lvl w:ilvl="8" w:tplc="0C090005" w:tentative="1">
      <w:start w:val="1"/>
      <w:numFmt w:val="bullet"/>
      <w:lvlText w:val=""/>
      <w:lvlJc w:val="left"/>
      <w:pPr>
        <w:ind w:left="6585" w:hanging="360"/>
      </w:pPr>
      <w:rPr>
        <w:rFonts w:ascii="Wingdings" w:hAnsi="Wingdings" w:hint="default"/>
      </w:rPr>
    </w:lvl>
  </w:abstractNum>
  <w:abstractNum w:abstractNumId="34" w15:restartNumberingAfterBreak="0">
    <w:nsid w:val="474024BE"/>
    <w:multiLevelType w:val="hybridMultilevel"/>
    <w:tmpl w:val="69E618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8522E39"/>
    <w:multiLevelType w:val="hybridMultilevel"/>
    <w:tmpl w:val="5AA847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ABA008D"/>
    <w:multiLevelType w:val="hybridMultilevel"/>
    <w:tmpl w:val="BF0CAE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1241612"/>
    <w:multiLevelType w:val="hybridMultilevel"/>
    <w:tmpl w:val="A97C76A8"/>
    <w:lvl w:ilvl="0" w:tplc="0C090001">
      <w:start w:val="1"/>
      <w:numFmt w:val="bullet"/>
      <w:lvlText w:val=""/>
      <w:lvlJc w:val="left"/>
      <w:pPr>
        <w:ind w:left="818" w:hanging="360"/>
      </w:pPr>
      <w:rPr>
        <w:rFonts w:ascii="Symbol" w:hAnsi="Symbol" w:hint="default"/>
      </w:rPr>
    </w:lvl>
    <w:lvl w:ilvl="1" w:tplc="0C090003" w:tentative="1">
      <w:start w:val="1"/>
      <w:numFmt w:val="bullet"/>
      <w:lvlText w:val="o"/>
      <w:lvlJc w:val="left"/>
      <w:pPr>
        <w:ind w:left="1538" w:hanging="360"/>
      </w:pPr>
      <w:rPr>
        <w:rFonts w:ascii="Courier New" w:hAnsi="Courier New" w:cs="Courier New" w:hint="default"/>
      </w:rPr>
    </w:lvl>
    <w:lvl w:ilvl="2" w:tplc="0C090005" w:tentative="1">
      <w:start w:val="1"/>
      <w:numFmt w:val="bullet"/>
      <w:lvlText w:val=""/>
      <w:lvlJc w:val="left"/>
      <w:pPr>
        <w:ind w:left="2258" w:hanging="360"/>
      </w:pPr>
      <w:rPr>
        <w:rFonts w:ascii="Wingdings" w:hAnsi="Wingdings" w:hint="default"/>
      </w:rPr>
    </w:lvl>
    <w:lvl w:ilvl="3" w:tplc="0C090001" w:tentative="1">
      <w:start w:val="1"/>
      <w:numFmt w:val="bullet"/>
      <w:lvlText w:val=""/>
      <w:lvlJc w:val="left"/>
      <w:pPr>
        <w:ind w:left="2978" w:hanging="360"/>
      </w:pPr>
      <w:rPr>
        <w:rFonts w:ascii="Symbol" w:hAnsi="Symbol" w:hint="default"/>
      </w:rPr>
    </w:lvl>
    <w:lvl w:ilvl="4" w:tplc="0C090003" w:tentative="1">
      <w:start w:val="1"/>
      <w:numFmt w:val="bullet"/>
      <w:lvlText w:val="o"/>
      <w:lvlJc w:val="left"/>
      <w:pPr>
        <w:ind w:left="3698" w:hanging="360"/>
      </w:pPr>
      <w:rPr>
        <w:rFonts w:ascii="Courier New" w:hAnsi="Courier New" w:cs="Courier New" w:hint="default"/>
      </w:rPr>
    </w:lvl>
    <w:lvl w:ilvl="5" w:tplc="0C090005" w:tentative="1">
      <w:start w:val="1"/>
      <w:numFmt w:val="bullet"/>
      <w:lvlText w:val=""/>
      <w:lvlJc w:val="left"/>
      <w:pPr>
        <w:ind w:left="4418" w:hanging="360"/>
      </w:pPr>
      <w:rPr>
        <w:rFonts w:ascii="Wingdings" w:hAnsi="Wingdings" w:hint="default"/>
      </w:rPr>
    </w:lvl>
    <w:lvl w:ilvl="6" w:tplc="0C090001" w:tentative="1">
      <w:start w:val="1"/>
      <w:numFmt w:val="bullet"/>
      <w:lvlText w:val=""/>
      <w:lvlJc w:val="left"/>
      <w:pPr>
        <w:ind w:left="5138" w:hanging="360"/>
      </w:pPr>
      <w:rPr>
        <w:rFonts w:ascii="Symbol" w:hAnsi="Symbol" w:hint="default"/>
      </w:rPr>
    </w:lvl>
    <w:lvl w:ilvl="7" w:tplc="0C090003" w:tentative="1">
      <w:start w:val="1"/>
      <w:numFmt w:val="bullet"/>
      <w:lvlText w:val="o"/>
      <w:lvlJc w:val="left"/>
      <w:pPr>
        <w:ind w:left="5858" w:hanging="360"/>
      </w:pPr>
      <w:rPr>
        <w:rFonts w:ascii="Courier New" w:hAnsi="Courier New" w:cs="Courier New" w:hint="default"/>
      </w:rPr>
    </w:lvl>
    <w:lvl w:ilvl="8" w:tplc="0C090005" w:tentative="1">
      <w:start w:val="1"/>
      <w:numFmt w:val="bullet"/>
      <w:lvlText w:val=""/>
      <w:lvlJc w:val="left"/>
      <w:pPr>
        <w:ind w:left="6578" w:hanging="360"/>
      </w:pPr>
      <w:rPr>
        <w:rFonts w:ascii="Wingdings" w:hAnsi="Wingdings" w:hint="default"/>
      </w:rPr>
    </w:lvl>
  </w:abstractNum>
  <w:abstractNum w:abstractNumId="38" w15:restartNumberingAfterBreak="0">
    <w:nsid w:val="51660519"/>
    <w:multiLevelType w:val="hybridMultilevel"/>
    <w:tmpl w:val="707EF028"/>
    <w:lvl w:ilvl="0" w:tplc="0C090001">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39" w15:restartNumberingAfterBreak="0">
    <w:nsid w:val="52ED26A4"/>
    <w:multiLevelType w:val="hybridMultilevel"/>
    <w:tmpl w:val="5D0C2B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3470859"/>
    <w:multiLevelType w:val="hybridMultilevel"/>
    <w:tmpl w:val="01067A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5C35A1C"/>
    <w:multiLevelType w:val="hybridMultilevel"/>
    <w:tmpl w:val="665C5006"/>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42" w15:restartNumberingAfterBreak="0">
    <w:nsid w:val="55FF53B6"/>
    <w:multiLevelType w:val="hybridMultilevel"/>
    <w:tmpl w:val="EA44C27C"/>
    <w:lvl w:ilvl="0" w:tplc="84088F3E">
      <w:start w:val="1"/>
      <w:numFmt w:val="decimal"/>
      <w:pStyle w:val="Tablenoguid"/>
      <w:lvlText w:val="G%1"/>
      <w:lvlJc w:val="left"/>
      <w:pPr>
        <w:ind w:left="360" w:hanging="360"/>
      </w:pPr>
      <w:rPr>
        <w:rFonts w:hint="default"/>
        <w:b w:val="0"/>
        <w:i w:val="0"/>
        <w:color w:val="008BD2" w:themeColor="accent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56152698"/>
    <w:multiLevelType w:val="multilevel"/>
    <w:tmpl w:val="0060C338"/>
    <w:styleLink w:val="Numbers"/>
    <w:lvl w:ilvl="0">
      <w:start w:val="1"/>
      <w:numFmt w:val="decimal"/>
      <w:lvlText w:val="%1."/>
      <w:lvlJc w:val="left"/>
      <w:pPr>
        <w:ind w:left="720" w:hanging="360"/>
      </w:pPr>
      <w:rPr>
        <w:rFonts w:ascii="Arial Narrow" w:hAnsi="Arial Narrow"/>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59600754"/>
    <w:multiLevelType w:val="hybridMultilevel"/>
    <w:tmpl w:val="C79091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A972301"/>
    <w:multiLevelType w:val="hybridMultilevel"/>
    <w:tmpl w:val="1A14E8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ABA6CC8"/>
    <w:multiLevelType w:val="hybridMultilevel"/>
    <w:tmpl w:val="0ED2D8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C962F22"/>
    <w:multiLevelType w:val="hybridMultilevel"/>
    <w:tmpl w:val="B1162B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D280C10"/>
    <w:multiLevelType w:val="hybridMultilevel"/>
    <w:tmpl w:val="092421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08652AA"/>
    <w:multiLevelType w:val="hybridMultilevel"/>
    <w:tmpl w:val="FD843370"/>
    <w:lvl w:ilvl="0" w:tplc="0C090001">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50" w15:restartNumberingAfterBreak="0">
    <w:nsid w:val="618C0288"/>
    <w:multiLevelType w:val="hybridMultilevel"/>
    <w:tmpl w:val="E13C7EEE"/>
    <w:lvl w:ilvl="0" w:tplc="12C438F2">
      <w:start w:val="1"/>
      <w:numFmt w:val="bullet"/>
      <w:pStyle w:val="List3dash"/>
      <w:lvlText w:val=""/>
      <w:lvlJc w:val="left"/>
      <w:pPr>
        <w:ind w:left="1996" w:hanging="360"/>
      </w:pPr>
      <w:rPr>
        <w:rFonts w:ascii="Symbol" w:hAnsi="Symbol" w:hint="default"/>
        <w:color w:val="005EA1" w:themeColor="accent1"/>
      </w:rPr>
    </w:lvl>
    <w:lvl w:ilvl="1" w:tplc="0C090003" w:tentative="1">
      <w:start w:val="1"/>
      <w:numFmt w:val="bullet"/>
      <w:lvlText w:val="o"/>
      <w:lvlJc w:val="left"/>
      <w:pPr>
        <w:ind w:left="2716" w:hanging="360"/>
      </w:pPr>
      <w:rPr>
        <w:rFonts w:ascii="Courier New" w:hAnsi="Courier New" w:cs="Symbol" w:hint="default"/>
      </w:rPr>
    </w:lvl>
    <w:lvl w:ilvl="2" w:tplc="0C090005" w:tentative="1">
      <w:start w:val="1"/>
      <w:numFmt w:val="bullet"/>
      <w:lvlText w:val=""/>
      <w:lvlJc w:val="left"/>
      <w:pPr>
        <w:ind w:left="3436" w:hanging="360"/>
      </w:pPr>
      <w:rPr>
        <w:rFonts w:ascii="Wingdings" w:hAnsi="Wingdings" w:hint="default"/>
      </w:rPr>
    </w:lvl>
    <w:lvl w:ilvl="3" w:tplc="0C090001" w:tentative="1">
      <w:start w:val="1"/>
      <w:numFmt w:val="bullet"/>
      <w:lvlText w:val=""/>
      <w:lvlJc w:val="left"/>
      <w:pPr>
        <w:ind w:left="4156" w:hanging="360"/>
      </w:pPr>
      <w:rPr>
        <w:rFonts w:ascii="Symbol" w:hAnsi="Symbol" w:hint="default"/>
      </w:rPr>
    </w:lvl>
    <w:lvl w:ilvl="4" w:tplc="0C090003" w:tentative="1">
      <w:start w:val="1"/>
      <w:numFmt w:val="bullet"/>
      <w:lvlText w:val="o"/>
      <w:lvlJc w:val="left"/>
      <w:pPr>
        <w:ind w:left="4876" w:hanging="360"/>
      </w:pPr>
      <w:rPr>
        <w:rFonts w:ascii="Courier New" w:hAnsi="Courier New" w:cs="Symbol" w:hint="default"/>
      </w:rPr>
    </w:lvl>
    <w:lvl w:ilvl="5" w:tplc="0C090005" w:tentative="1">
      <w:start w:val="1"/>
      <w:numFmt w:val="bullet"/>
      <w:lvlText w:val=""/>
      <w:lvlJc w:val="left"/>
      <w:pPr>
        <w:ind w:left="5596" w:hanging="360"/>
      </w:pPr>
      <w:rPr>
        <w:rFonts w:ascii="Wingdings" w:hAnsi="Wingdings" w:hint="default"/>
      </w:rPr>
    </w:lvl>
    <w:lvl w:ilvl="6" w:tplc="0C090001" w:tentative="1">
      <w:start w:val="1"/>
      <w:numFmt w:val="bullet"/>
      <w:lvlText w:val=""/>
      <w:lvlJc w:val="left"/>
      <w:pPr>
        <w:ind w:left="6316" w:hanging="360"/>
      </w:pPr>
      <w:rPr>
        <w:rFonts w:ascii="Symbol" w:hAnsi="Symbol" w:hint="default"/>
      </w:rPr>
    </w:lvl>
    <w:lvl w:ilvl="7" w:tplc="0C090003" w:tentative="1">
      <w:start w:val="1"/>
      <w:numFmt w:val="bullet"/>
      <w:lvlText w:val="o"/>
      <w:lvlJc w:val="left"/>
      <w:pPr>
        <w:ind w:left="7036" w:hanging="360"/>
      </w:pPr>
      <w:rPr>
        <w:rFonts w:ascii="Courier New" w:hAnsi="Courier New" w:cs="Symbol" w:hint="default"/>
      </w:rPr>
    </w:lvl>
    <w:lvl w:ilvl="8" w:tplc="0C090005" w:tentative="1">
      <w:start w:val="1"/>
      <w:numFmt w:val="bullet"/>
      <w:lvlText w:val=""/>
      <w:lvlJc w:val="left"/>
      <w:pPr>
        <w:ind w:left="7756" w:hanging="360"/>
      </w:pPr>
      <w:rPr>
        <w:rFonts w:ascii="Wingdings" w:hAnsi="Wingdings" w:hint="default"/>
      </w:rPr>
    </w:lvl>
  </w:abstractNum>
  <w:abstractNum w:abstractNumId="51" w15:restartNumberingAfterBreak="0">
    <w:nsid w:val="61D91E6C"/>
    <w:multiLevelType w:val="hybridMultilevel"/>
    <w:tmpl w:val="9A5E8F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57E6DF6"/>
    <w:multiLevelType w:val="hybridMultilevel"/>
    <w:tmpl w:val="955EE3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8D45CE0"/>
    <w:multiLevelType w:val="hybridMultilevel"/>
    <w:tmpl w:val="75141DBA"/>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54" w15:restartNumberingAfterBreak="0">
    <w:nsid w:val="6E18555C"/>
    <w:multiLevelType w:val="hybridMultilevel"/>
    <w:tmpl w:val="F98039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E1E33FC"/>
    <w:multiLevelType w:val="hybridMultilevel"/>
    <w:tmpl w:val="03F41B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F59057F"/>
    <w:multiLevelType w:val="hybridMultilevel"/>
    <w:tmpl w:val="317A8C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F7E1148"/>
    <w:multiLevelType w:val="hybridMultilevel"/>
    <w:tmpl w:val="72DA7620"/>
    <w:lvl w:ilvl="0" w:tplc="21DEC20E">
      <w:start w:val="1"/>
      <w:numFmt w:val="bullet"/>
      <w:pStyle w:val="List1bullet"/>
      <w:lvlText w:val=""/>
      <w:lvlJc w:val="left"/>
      <w:pPr>
        <w:ind w:left="1145" w:hanging="360"/>
      </w:pPr>
      <w:rPr>
        <w:rFonts w:ascii="Symbol" w:hAnsi="Symbol" w:hint="default"/>
        <w:color w:val="005EA1" w:themeColor="accent1"/>
      </w:rPr>
    </w:lvl>
    <w:lvl w:ilvl="1" w:tplc="04090003">
      <w:start w:val="1"/>
      <w:numFmt w:val="bullet"/>
      <w:lvlText w:val="o"/>
      <w:lvlJc w:val="left"/>
      <w:pPr>
        <w:ind w:left="1865" w:hanging="360"/>
      </w:pPr>
      <w:rPr>
        <w:rFonts w:ascii="Courier New" w:hAnsi="Courier New" w:cs="Symbol" w:hint="default"/>
      </w:rPr>
    </w:lvl>
    <w:lvl w:ilvl="2" w:tplc="04090005">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Symbol"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Symbol" w:hint="default"/>
      </w:rPr>
    </w:lvl>
    <w:lvl w:ilvl="8" w:tplc="04090005" w:tentative="1">
      <w:start w:val="1"/>
      <w:numFmt w:val="bullet"/>
      <w:lvlText w:val=""/>
      <w:lvlJc w:val="left"/>
      <w:pPr>
        <w:ind w:left="6905" w:hanging="360"/>
      </w:pPr>
      <w:rPr>
        <w:rFonts w:ascii="Wingdings" w:hAnsi="Wingdings" w:hint="default"/>
      </w:rPr>
    </w:lvl>
  </w:abstractNum>
  <w:abstractNum w:abstractNumId="58" w15:restartNumberingAfterBreak="0">
    <w:nsid w:val="72CF3666"/>
    <w:multiLevelType w:val="hybridMultilevel"/>
    <w:tmpl w:val="2FC89302"/>
    <w:lvl w:ilvl="0" w:tplc="0C090001">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59" w15:restartNumberingAfterBreak="0">
    <w:nsid w:val="74D54F9A"/>
    <w:multiLevelType w:val="multilevel"/>
    <w:tmpl w:val="27A65240"/>
    <w:lvl w:ilvl="0">
      <w:start w:val="1"/>
      <w:numFmt w:val="decimal"/>
      <w:pStyle w:val="Heading1"/>
      <w:lvlText w:val="%1"/>
      <w:lvlJc w:val="left"/>
      <w:pPr>
        <w:ind w:left="0" w:hanging="851"/>
      </w:pPr>
      <w:rPr>
        <w:rFonts w:ascii="VIC SemiBold" w:hAnsi="VIC SemiBold" w:hint="default"/>
        <w:b w:val="0"/>
        <w:i w:val="0"/>
        <w:color w:val="005EA1" w:themeColor="accent1"/>
      </w:rPr>
    </w:lvl>
    <w:lvl w:ilvl="1">
      <w:start w:val="1"/>
      <w:numFmt w:val="decimal"/>
      <w:pStyle w:val="Heading2"/>
      <w:lvlText w:val="%1.%2"/>
      <w:lvlJc w:val="left"/>
      <w:pPr>
        <w:ind w:left="0" w:hanging="851"/>
      </w:pPr>
      <w:rPr>
        <w:rFonts w:hint="default"/>
        <w:color w:val="005EA1" w:themeColor="accent1"/>
      </w:rPr>
    </w:lvl>
    <w:lvl w:ilvl="2">
      <w:start w:val="1"/>
      <w:numFmt w:val="decimal"/>
      <w:pStyle w:val="Heading3"/>
      <w:lvlText w:val="%1.%2.%3"/>
      <w:lvlJc w:val="left"/>
      <w:pPr>
        <w:ind w:left="0" w:hanging="851"/>
      </w:pPr>
      <w:rPr>
        <w:rFonts w:hint="default"/>
        <w:color w:val="005EA1" w:themeColor="accent1"/>
      </w:rPr>
    </w:lvl>
    <w:lvl w:ilvl="3">
      <w:start w:val="1"/>
      <w:numFmt w:val="decimal"/>
      <w:lvlText w:val="%1.%2.%3.%4."/>
      <w:lvlJc w:val="left"/>
      <w:pPr>
        <w:ind w:left="0" w:hanging="851"/>
      </w:pPr>
      <w:rPr>
        <w:rFonts w:hint="default"/>
      </w:rPr>
    </w:lvl>
    <w:lvl w:ilvl="4">
      <w:start w:val="1"/>
      <w:numFmt w:val="decimal"/>
      <w:lvlText w:val="%1.%2.%3.%4.%5."/>
      <w:lvlJc w:val="left"/>
      <w:pPr>
        <w:ind w:left="0" w:hanging="851"/>
      </w:pPr>
      <w:rPr>
        <w:rFonts w:hint="default"/>
      </w:rPr>
    </w:lvl>
    <w:lvl w:ilvl="5">
      <w:start w:val="1"/>
      <w:numFmt w:val="decimal"/>
      <w:lvlText w:val="%1.%2.%3.%4.%5.%6."/>
      <w:lvlJc w:val="left"/>
      <w:pPr>
        <w:ind w:left="0" w:hanging="851"/>
      </w:pPr>
      <w:rPr>
        <w:rFonts w:hint="default"/>
      </w:rPr>
    </w:lvl>
    <w:lvl w:ilvl="6">
      <w:start w:val="1"/>
      <w:numFmt w:val="decimal"/>
      <w:lvlText w:val="%1.%2.%3.%4.%5.%6.%7."/>
      <w:lvlJc w:val="left"/>
      <w:pPr>
        <w:ind w:left="0" w:hanging="851"/>
      </w:pPr>
      <w:rPr>
        <w:rFonts w:hint="default"/>
      </w:rPr>
    </w:lvl>
    <w:lvl w:ilvl="7">
      <w:start w:val="1"/>
      <w:numFmt w:val="decimal"/>
      <w:lvlText w:val="%1.%2.%3.%4.%5.%6.%7.%8."/>
      <w:lvlJc w:val="left"/>
      <w:pPr>
        <w:ind w:left="0" w:hanging="851"/>
      </w:pPr>
      <w:rPr>
        <w:rFonts w:hint="default"/>
      </w:rPr>
    </w:lvl>
    <w:lvl w:ilvl="8">
      <w:start w:val="1"/>
      <w:numFmt w:val="decimal"/>
      <w:lvlText w:val="%1.%2.%3.%4.%5.%6.%7.%8.%9."/>
      <w:lvlJc w:val="left"/>
      <w:pPr>
        <w:ind w:left="0" w:hanging="851"/>
      </w:pPr>
      <w:rPr>
        <w:rFonts w:hint="default"/>
      </w:rPr>
    </w:lvl>
  </w:abstractNum>
  <w:abstractNum w:abstractNumId="60" w15:restartNumberingAfterBreak="0">
    <w:nsid w:val="76684F08"/>
    <w:multiLevelType w:val="hybridMultilevel"/>
    <w:tmpl w:val="51DAA1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7F45563A"/>
    <w:multiLevelType w:val="hybridMultilevel"/>
    <w:tmpl w:val="A620B504"/>
    <w:lvl w:ilvl="0" w:tplc="0292E5C0">
      <w:start w:val="1"/>
      <w:numFmt w:val="decimal"/>
      <w:pStyle w:val="Tablenoobj"/>
      <w:lvlText w:val="O%1"/>
      <w:lvlJc w:val="left"/>
      <w:pPr>
        <w:ind w:left="360" w:hanging="360"/>
      </w:pPr>
      <w:rPr>
        <w:rFonts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5"/>
  </w:num>
  <w:num w:numId="2">
    <w:abstractNumId w:val="43"/>
  </w:num>
  <w:num w:numId="3">
    <w:abstractNumId w:val="6"/>
  </w:num>
  <w:num w:numId="4">
    <w:abstractNumId w:val="59"/>
  </w:num>
  <w:num w:numId="5">
    <w:abstractNumId w:val="57"/>
  </w:num>
  <w:num w:numId="6">
    <w:abstractNumId w:val="50"/>
  </w:num>
  <w:num w:numId="7">
    <w:abstractNumId w:val="61"/>
  </w:num>
  <w:num w:numId="8">
    <w:abstractNumId w:val="10"/>
  </w:num>
  <w:num w:numId="9">
    <w:abstractNumId w:val="42"/>
  </w:num>
  <w:num w:numId="10">
    <w:abstractNumId w:val="59"/>
    <w:lvlOverride w:ilvl="0">
      <w:lvl w:ilvl="0">
        <w:start w:val="1"/>
        <w:numFmt w:val="decimal"/>
        <w:pStyle w:val="Heading1"/>
        <w:lvlText w:val="%1"/>
        <w:lvlJc w:val="left"/>
        <w:pPr>
          <w:ind w:left="0" w:hanging="851"/>
        </w:pPr>
        <w:rPr>
          <w:rFonts w:ascii="VIC SemiBold" w:hAnsi="VIC SemiBold" w:hint="default"/>
          <w:b w:val="0"/>
          <w:i w:val="0"/>
          <w:color w:val="005EA1" w:themeColor="accent1"/>
        </w:rPr>
      </w:lvl>
    </w:lvlOverride>
    <w:lvlOverride w:ilvl="1">
      <w:lvl w:ilvl="1">
        <w:start w:val="1"/>
        <w:numFmt w:val="decimal"/>
        <w:pStyle w:val="Heading2"/>
        <w:lvlText w:val="%1.%2"/>
        <w:lvlJc w:val="left"/>
        <w:pPr>
          <w:ind w:left="0" w:hanging="851"/>
        </w:pPr>
        <w:rPr>
          <w:rFonts w:ascii="VIC SemiBold" w:hAnsi="VIC SemiBold" w:hint="default"/>
          <w:b/>
          <w:color w:val="005EA1" w:themeColor="accent1"/>
        </w:rPr>
      </w:lvl>
    </w:lvlOverride>
    <w:lvlOverride w:ilvl="2">
      <w:lvl w:ilvl="2">
        <w:start w:val="1"/>
        <w:numFmt w:val="decimal"/>
        <w:pStyle w:val="Heading3"/>
        <w:lvlText w:val="%1.%2.%3"/>
        <w:lvlJc w:val="left"/>
        <w:pPr>
          <w:ind w:left="0" w:hanging="851"/>
        </w:pPr>
        <w:rPr>
          <w:rFonts w:hint="default"/>
          <w:color w:val="005EA1" w:themeColor="accent1"/>
        </w:rPr>
      </w:lvl>
    </w:lvlOverride>
    <w:lvlOverride w:ilvl="3">
      <w:lvl w:ilvl="3">
        <w:start w:val="1"/>
        <w:numFmt w:val="decimal"/>
        <w:lvlText w:val="%1.%2.%3.%4."/>
        <w:lvlJc w:val="left"/>
        <w:pPr>
          <w:ind w:left="0" w:hanging="851"/>
        </w:pPr>
        <w:rPr>
          <w:rFonts w:hint="default"/>
        </w:rPr>
      </w:lvl>
    </w:lvlOverride>
    <w:lvlOverride w:ilvl="4">
      <w:lvl w:ilvl="4">
        <w:start w:val="1"/>
        <w:numFmt w:val="decimal"/>
        <w:lvlText w:val="%1.%2.%3.%4.%5."/>
        <w:lvlJc w:val="left"/>
        <w:pPr>
          <w:ind w:left="0" w:hanging="851"/>
        </w:pPr>
        <w:rPr>
          <w:rFonts w:hint="default"/>
        </w:rPr>
      </w:lvl>
    </w:lvlOverride>
    <w:lvlOverride w:ilvl="5">
      <w:lvl w:ilvl="5">
        <w:start w:val="1"/>
        <w:numFmt w:val="decimal"/>
        <w:lvlText w:val="%1.%2.%3.%4.%5.%6."/>
        <w:lvlJc w:val="left"/>
        <w:pPr>
          <w:ind w:left="0" w:hanging="851"/>
        </w:pPr>
        <w:rPr>
          <w:rFonts w:hint="default"/>
        </w:rPr>
      </w:lvl>
    </w:lvlOverride>
    <w:lvlOverride w:ilvl="6">
      <w:lvl w:ilvl="6">
        <w:start w:val="1"/>
        <w:numFmt w:val="decimal"/>
        <w:lvlText w:val="%1.%2.%3.%4.%5.%6.%7."/>
        <w:lvlJc w:val="left"/>
        <w:pPr>
          <w:ind w:left="0" w:hanging="851"/>
        </w:pPr>
        <w:rPr>
          <w:rFonts w:hint="default"/>
        </w:rPr>
      </w:lvl>
    </w:lvlOverride>
    <w:lvlOverride w:ilvl="7">
      <w:lvl w:ilvl="7">
        <w:start w:val="1"/>
        <w:numFmt w:val="decimal"/>
        <w:lvlText w:val="%1.%2.%3.%4.%5.%6.%7.%8."/>
        <w:lvlJc w:val="left"/>
        <w:pPr>
          <w:ind w:left="0" w:hanging="851"/>
        </w:pPr>
        <w:rPr>
          <w:rFonts w:hint="default"/>
        </w:rPr>
      </w:lvl>
    </w:lvlOverride>
    <w:lvlOverride w:ilvl="8">
      <w:lvl w:ilvl="8">
        <w:start w:val="1"/>
        <w:numFmt w:val="decimal"/>
        <w:lvlText w:val="%1.%2.%3.%4.%5.%6.%7.%8.%9."/>
        <w:lvlJc w:val="left"/>
        <w:pPr>
          <w:ind w:left="0" w:hanging="851"/>
        </w:pPr>
        <w:rPr>
          <w:rFonts w:hint="default"/>
        </w:rPr>
      </w:lvl>
    </w:lvlOverride>
  </w:num>
  <w:num w:numId="11">
    <w:abstractNumId w:val="59"/>
    <w:lvlOverride w:ilvl="0">
      <w:lvl w:ilvl="0">
        <w:start w:val="1"/>
        <w:numFmt w:val="decimal"/>
        <w:pStyle w:val="Heading1"/>
        <w:lvlText w:val="%1"/>
        <w:lvlJc w:val="left"/>
        <w:pPr>
          <w:ind w:left="0" w:hanging="851"/>
        </w:pPr>
        <w:rPr>
          <w:rFonts w:ascii="VIC SemiBold" w:hAnsi="VIC SemiBold" w:hint="default"/>
          <w:b w:val="0"/>
          <w:i w:val="0"/>
          <w:color w:val="005EA1" w:themeColor="accent1"/>
        </w:rPr>
      </w:lvl>
    </w:lvlOverride>
    <w:lvlOverride w:ilvl="1">
      <w:lvl w:ilvl="1">
        <w:start w:val="1"/>
        <w:numFmt w:val="decimal"/>
        <w:pStyle w:val="Heading2"/>
        <w:lvlText w:val="%1.%2"/>
        <w:lvlJc w:val="left"/>
        <w:pPr>
          <w:ind w:left="0" w:hanging="851"/>
        </w:pPr>
        <w:rPr>
          <w:rFonts w:ascii="VIC SemiBold" w:hAnsi="VIC SemiBold" w:hint="default"/>
          <w:color w:val="005EA1" w:themeColor="accent1"/>
        </w:rPr>
      </w:lvl>
    </w:lvlOverride>
    <w:lvlOverride w:ilvl="2">
      <w:lvl w:ilvl="2">
        <w:start w:val="1"/>
        <w:numFmt w:val="decimal"/>
        <w:pStyle w:val="Heading3"/>
        <w:lvlText w:val="%1.%2.%3"/>
        <w:lvlJc w:val="left"/>
        <w:pPr>
          <w:ind w:left="0" w:hanging="851"/>
        </w:pPr>
        <w:rPr>
          <w:rFonts w:ascii="VIC SemiBold" w:hAnsi="VIC SemiBold" w:hint="default"/>
          <w:b/>
          <w:color w:val="005EA1" w:themeColor="accent1"/>
        </w:rPr>
      </w:lvl>
    </w:lvlOverride>
    <w:lvlOverride w:ilvl="3">
      <w:lvl w:ilvl="3">
        <w:start w:val="1"/>
        <w:numFmt w:val="decimal"/>
        <w:lvlText w:val="%1.%2.%3.%4."/>
        <w:lvlJc w:val="left"/>
        <w:pPr>
          <w:ind w:left="0" w:hanging="851"/>
        </w:pPr>
        <w:rPr>
          <w:rFonts w:hint="default"/>
        </w:rPr>
      </w:lvl>
    </w:lvlOverride>
    <w:lvlOverride w:ilvl="4">
      <w:lvl w:ilvl="4">
        <w:start w:val="1"/>
        <w:numFmt w:val="decimal"/>
        <w:lvlText w:val="%1.%2.%3.%4.%5."/>
        <w:lvlJc w:val="left"/>
        <w:pPr>
          <w:ind w:left="0" w:hanging="851"/>
        </w:pPr>
        <w:rPr>
          <w:rFonts w:hint="default"/>
        </w:rPr>
      </w:lvl>
    </w:lvlOverride>
    <w:lvlOverride w:ilvl="5">
      <w:lvl w:ilvl="5">
        <w:start w:val="1"/>
        <w:numFmt w:val="decimal"/>
        <w:lvlText w:val="%1.%2.%3.%4.%5.%6."/>
        <w:lvlJc w:val="left"/>
        <w:pPr>
          <w:ind w:left="0" w:hanging="851"/>
        </w:pPr>
        <w:rPr>
          <w:rFonts w:hint="default"/>
        </w:rPr>
      </w:lvl>
    </w:lvlOverride>
    <w:lvlOverride w:ilvl="6">
      <w:lvl w:ilvl="6">
        <w:start w:val="1"/>
        <w:numFmt w:val="decimal"/>
        <w:lvlText w:val="%1.%2.%3.%4.%5.%6.%7."/>
        <w:lvlJc w:val="left"/>
        <w:pPr>
          <w:ind w:left="0" w:hanging="851"/>
        </w:pPr>
        <w:rPr>
          <w:rFonts w:hint="default"/>
        </w:rPr>
      </w:lvl>
    </w:lvlOverride>
    <w:lvlOverride w:ilvl="7">
      <w:lvl w:ilvl="7">
        <w:start w:val="1"/>
        <w:numFmt w:val="decimal"/>
        <w:lvlText w:val="%1.%2.%3.%4.%5.%6.%7.%8."/>
        <w:lvlJc w:val="left"/>
        <w:pPr>
          <w:ind w:left="0" w:hanging="851"/>
        </w:pPr>
        <w:rPr>
          <w:rFonts w:hint="default"/>
        </w:rPr>
      </w:lvl>
    </w:lvlOverride>
    <w:lvlOverride w:ilvl="8">
      <w:lvl w:ilvl="8">
        <w:start w:val="1"/>
        <w:numFmt w:val="decimal"/>
        <w:lvlText w:val="%1.%2.%3.%4.%5.%6.%7.%8.%9."/>
        <w:lvlJc w:val="left"/>
        <w:pPr>
          <w:ind w:left="0" w:hanging="851"/>
        </w:pPr>
        <w:rPr>
          <w:rFonts w:hint="default"/>
        </w:rPr>
      </w:lvl>
    </w:lvlOverride>
  </w:num>
  <w:num w:numId="12">
    <w:abstractNumId w:val="16"/>
  </w:num>
  <w:num w:numId="13">
    <w:abstractNumId w:val="9"/>
  </w:num>
  <w:num w:numId="14">
    <w:abstractNumId w:val="23"/>
  </w:num>
  <w:num w:numId="15">
    <w:abstractNumId w:val="7"/>
  </w:num>
  <w:num w:numId="16">
    <w:abstractNumId w:val="31"/>
  </w:num>
  <w:num w:numId="17">
    <w:abstractNumId w:val="19"/>
  </w:num>
  <w:num w:numId="18">
    <w:abstractNumId w:val="13"/>
  </w:num>
  <w:num w:numId="19">
    <w:abstractNumId w:val="34"/>
  </w:num>
  <w:num w:numId="20">
    <w:abstractNumId w:val="36"/>
  </w:num>
  <w:num w:numId="21">
    <w:abstractNumId w:val="46"/>
  </w:num>
  <w:num w:numId="22">
    <w:abstractNumId w:val="58"/>
  </w:num>
  <w:num w:numId="23">
    <w:abstractNumId w:val="33"/>
  </w:num>
  <w:num w:numId="24">
    <w:abstractNumId w:val="17"/>
  </w:num>
  <w:num w:numId="25">
    <w:abstractNumId w:val="28"/>
  </w:num>
  <w:num w:numId="26">
    <w:abstractNumId w:val="49"/>
  </w:num>
  <w:num w:numId="27">
    <w:abstractNumId w:val="2"/>
  </w:num>
  <w:num w:numId="28">
    <w:abstractNumId w:val="27"/>
  </w:num>
  <w:num w:numId="29">
    <w:abstractNumId w:val="41"/>
  </w:num>
  <w:num w:numId="30">
    <w:abstractNumId w:val="1"/>
  </w:num>
  <w:num w:numId="31">
    <w:abstractNumId w:val="14"/>
  </w:num>
  <w:num w:numId="32">
    <w:abstractNumId w:val="30"/>
  </w:num>
  <w:num w:numId="33">
    <w:abstractNumId w:val="18"/>
  </w:num>
  <w:num w:numId="34">
    <w:abstractNumId w:val="38"/>
  </w:num>
  <w:num w:numId="35">
    <w:abstractNumId w:val="4"/>
  </w:num>
  <w:num w:numId="36">
    <w:abstractNumId w:val="29"/>
  </w:num>
  <w:num w:numId="37">
    <w:abstractNumId w:val="60"/>
  </w:num>
  <w:num w:numId="38">
    <w:abstractNumId w:val="56"/>
  </w:num>
  <w:num w:numId="39">
    <w:abstractNumId w:val="24"/>
  </w:num>
  <w:num w:numId="40">
    <w:abstractNumId w:val="39"/>
  </w:num>
  <w:num w:numId="41">
    <w:abstractNumId w:val="45"/>
  </w:num>
  <w:num w:numId="42">
    <w:abstractNumId w:val="5"/>
  </w:num>
  <w:num w:numId="43">
    <w:abstractNumId w:val="40"/>
  </w:num>
  <w:num w:numId="44">
    <w:abstractNumId w:val="47"/>
  </w:num>
  <w:num w:numId="45">
    <w:abstractNumId w:val="54"/>
  </w:num>
  <w:num w:numId="46">
    <w:abstractNumId w:val="20"/>
  </w:num>
  <w:num w:numId="47">
    <w:abstractNumId w:val="22"/>
  </w:num>
  <w:num w:numId="48">
    <w:abstractNumId w:val="32"/>
  </w:num>
  <w:num w:numId="49">
    <w:abstractNumId w:val="12"/>
  </w:num>
  <w:num w:numId="50">
    <w:abstractNumId w:val="21"/>
  </w:num>
  <w:num w:numId="51">
    <w:abstractNumId w:val="55"/>
  </w:num>
  <w:num w:numId="52">
    <w:abstractNumId w:val="48"/>
  </w:num>
  <w:num w:numId="53">
    <w:abstractNumId w:val="37"/>
  </w:num>
  <w:num w:numId="54">
    <w:abstractNumId w:val="35"/>
  </w:num>
  <w:num w:numId="55">
    <w:abstractNumId w:val="8"/>
  </w:num>
  <w:num w:numId="56">
    <w:abstractNumId w:val="44"/>
  </w:num>
  <w:num w:numId="57">
    <w:abstractNumId w:val="53"/>
  </w:num>
  <w:num w:numId="58">
    <w:abstractNumId w:val="52"/>
  </w:num>
  <w:num w:numId="59">
    <w:abstractNumId w:val="26"/>
  </w:num>
  <w:num w:numId="60">
    <w:abstractNumId w:val="51"/>
  </w:num>
  <w:num w:numId="61">
    <w:abstractNumId w:val="0"/>
    <w:lvlOverride w:ilvl="0">
      <w:startOverride w:val="17"/>
    </w:lvlOverride>
  </w:num>
  <w:num w:numId="62">
    <w:abstractNumId w:val="11"/>
  </w:num>
  <w:num w:numId="63">
    <w:abstractNumId w:val="15"/>
  </w:num>
  <w:num w:numId="64">
    <w:abstractNumId w:val="3"/>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TrueTypeFonts/>
  <w:embedSystemFonts/>
  <w:saveSubset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6508"/>
    <w:rsid w:val="000001D2"/>
    <w:rsid w:val="000002FA"/>
    <w:rsid w:val="0000072B"/>
    <w:rsid w:val="00000A33"/>
    <w:rsid w:val="00000E14"/>
    <w:rsid w:val="00000EC5"/>
    <w:rsid w:val="00001673"/>
    <w:rsid w:val="0000175E"/>
    <w:rsid w:val="00001A45"/>
    <w:rsid w:val="00001C3E"/>
    <w:rsid w:val="00001CF6"/>
    <w:rsid w:val="00002C42"/>
    <w:rsid w:val="00002C78"/>
    <w:rsid w:val="00003092"/>
    <w:rsid w:val="000030B9"/>
    <w:rsid w:val="00004FBA"/>
    <w:rsid w:val="000053EB"/>
    <w:rsid w:val="000061BB"/>
    <w:rsid w:val="00006A99"/>
    <w:rsid w:val="00007E62"/>
    <w:rsid w:val="00007FCC"/>
    <w:rsid w:val="00010789"/>
    <w:rsid w:val="00010837"/>
    <w:rsid w:val="00010CBB"/>
    <w:rsid w:val="000121F9"/>
    <w:rsid w:val="000127FE"/>
    <w:rsid w:val="000134DB"/>
    <w:rsid w:val="00013CF6"/>
    <w:rsid w:val="000157EE"/>
    <w:rsid w:val="00015B34"/>
    <w:rsid w:val="00016F1A"/>
    <w:rsid w:val="000173EB"/>
    <w:rsid w:val="0001745F"/>
    <w:rsid w:val="00017F17"/>
    <w:rsid w:val="000207A6"/>
    <w:rsid w:val="00021137"/>
    <w:rsid w:val="00021369"/>
    <w:rsid w:val="000218F2"/>
    <w:rsid w:val="00021F91"/>
    <w:rsid w:val="000220AF"/>
    <w:rsid w:val="00022BBA"/>
    <w:rsid w:val="00022CC2"/>
    <w:rsid w:val="00023526"/>
    <w:rsid w:val="00023837"/>
    <w:rsid w:val="000239D6"/>
    <w:rsid w:val="00023A38"/>
    <w:rsid w:val="00023F3F"/>
    <w:rsid w:val="00024286"/>
    <w:rsid w:val="00024F84"/>
    <w:rsid w:val="000251AF"/>
    <w:rsid w:val="0002692E"/>
    <w:rsid w:val="00026A52"/>
    <w:rsid w:val="000273CE"/>
    <w:rsid w:val="00027F98"/>
    <w:rsid w:val="0003001E"/>
    <w:rsid w:val="0003006F"/>
    <w:rsid w:val="00030FB1"/>
    <w:rsid w:val="000335B8"/>
    <w:rsid w:val="0003378B"/>
    <w:rsid w:val="000341F5"/>
    <w:rsid w:val="000345CF"/>
    <w:rsid w:val="000348C3"/>
    <w:rsid w:val="00034F89"/>
    <w:rsid w:val="0003555A"/>
    <w:rsid w:val="0003639D"/>
    <w:rsid w:val="0003649A"/>
    <w:rsid w:val="00036FCC"/>
    <w:rsid w:val="00037682"/>
    <w:rsid w:val="00037693"/>
    <w:rsid w:val="00037D55"/>
    <w:rsid w:val="00040284"/>
    <w:rsid w:val="000402CC"/>
    <w:rsid w:val="000409FC"/>
    <w:rsid w:val="0004111B"/>
    <w:rsid w:val="000411CF"/>
    <w:rsid w:val="000418F8"/>
    <w:rsid w:val="00041948"/>
    <w:rsid w:val="00042A9C"/>
    <w:rsid w:val="00043F54"/>
    <w:rsid w:val="00044854"/>
    <w:rsid w:val="000454CC"/>
    <w:rsid w:val="000455B0"/>
    <w:rsid w:val="000467C8"/>
    <w:rsid w:val="00046ABD"/>
    <w:rsid w:val="00047995"/>
    <w:rsid w:val="00047CAA"/>
    <w:rsid w:val="0005083A"/>
    <w:rsid w:val="000517A0"/>
    <w:rsid w:val="000524F4"/>
    <w:rsid w:val="00053AD5"/>
    <w:rsid w:val="0005408E"/>
    <w:rsid w:val="00054298"/>
    <w:rsid w:val="00054535"/>
    <w:rsid w:val="00055394"/>
    <w:rsid w:val="0005543A"/>
    <w:rsid w:val="0005632D"/>
    <w:rsid w:val="000565FF"/>
    <w:rsid w:val="00056BC0"/>
    <w:rsid w:val="00057339"/>
    <w:rsid w:val="0005773E"/>
    <w:rsid w:val="00057A97"/>
    <w:rsid w:val="00060421"/>
    <w:rsid w:val="00060AB2"/>
    <w:rsid w:val="0006116E"/>
    <w:rsid w:val="00061363"/>
    <w:rsid w:val="00061568"/>
    <w:rsid w:val="00061BCF"/>
    <w:rsid w:val="000620FE"/>
    <w:rsid w:val="000636B8"/>
    <w:rsid w:val="0006377E"/>
    <w:rsid w:val="00064F12"/>
    <w:rsid w:val="00065392"/>
    <w:rsid w:val="00065C18"/>
    <w:rsid w:val="00065F84"/>
    <w:rsid w:val="0006652C"/>
    <w:rsid w:val="0006678F"/>
    <w:rsid w:val="00067AE8"/>
    <w:rsid w:val="00067E56"/>
    <w:rsid w:val="00070CE1"/>
    <w:rsid w:val="00071735"/>
    <w:rsid w:val="00071D83"/>
    <w:rsid w:val="0007272B"/>
    <w:rsid w:val="00072998"/>
    <w:rsid w:val="00072E83"/>
    <w:rsid w:val="00073058"/>
    <w:rsid w:val="00073CE9"/>
    <w:rsid w:val="00074456"/>
    <w:rsid w:val="000746B4"/>
    <w:rsid w:val="00074ECF"/>
    <w:rsid w:val="00076487"/>
    <w:rsid w:val="00076DFF"/>
    <w:rsid w:val="0007705C"/>
    <w:rsid w:val="0007715B"/>
    <w:rsid w:val="00077D21"/>
    <w:rsid w:val="00080C27"/>
    <w:rsid w:val="00081769"/>
    <w:rsid w:val="000818D2"/>
    <w:rsid w:val="000822FA"/>
    <w:rsid w:val="00082365"/>
    <w:rsid w:val="0008261C"/>
    <w:rsid w:val="000828A4"/>
    <w:rsid w:val="000833CC"/>
    <w:rsid w:val="00083458"/>
    <w:rsid w:val="0008382A"/>
    <w:rsid w:val="000839C8"/>
    <w:rsid w:val="00084340"/>
    <w:rsid w:val="0008449A"/>
    <w:rsid w:val="00084725"/>
    <w:rsid w:val="000847F6"/>
    <w:rsid w:val="00085459"/>
    <w:rsid w:val="00085705"/>
    <w:rsid w:val="0008676A"/>
    <w:rsid w:val="00086B4A"/>
    <w:rsid w:val="000877C3"/>
    <w:rsid w:val="00090DA4"/>
    <w:rsid w:val="00091540"/>
    <w:rsid w:val="00092658"/>
    <w:rsid w:val="00092888"/>
    <w:rsid w:val="000929D9"/>
    <w:rsid w:val="00093464"/>
    <w:rsid w:val="00093A7B"/>
    <w:rsid w:val="00094530"/>
    <w:rsid w:val="000951CA"/>
    <w:rsid w:val="000953AD"/>
    <w:rsid w:val="000967A9"/>
    <w:rsid w:val="00096A45"/>
    <w:rsid w:val="00096D61"/>
    <w:rsid w:val="000975F0"/>
    <w:rsid w:val="000A0C89"/>
    <w:rsid w:val="000A0EF0"/>
    <w:rsid w:val="000A12D9"/>
    <w:rsid w:val="000A1315"/>
    <w:rsid w:val="000A1618"/>
    <w:rsid w:val="000A1F8B"/>
    <w:rsid w:val="000A328E"/>
    <w:rsid w:val="000A51EE"/>
    <w:rsid w:val="000A55D1"/>
    <w:rsid w:val="000A5D10"/>
    <w:rsid w:val="000A60B0"/>
    <w:rsid w:val="000A678A"/>
    <w:rsid w:val="000A6DD8"/>
    <w:rsid w:val="000A793C"/>
    <w:rsid w:val="000A7E56"/>
    <w:rsid w:val="000B022E"/>
    <w:rsid w:val="000B0463"/>
    <w:rsid w:val="000B08E2"/>
    <w:rsid w:val="000B173E"/>
    <w:rsid w:val="000B190F"/>
    <w:rsid w:val="000B2876"/>
    <w:rsid w:val="000B2D05"/>
    <w:rsid w:val="000B3C39"/>
    <w:rsid w:val="000B3EB1"/>
    <w:rsid w:val="000B4235"/>
    <w:rsid w:val="000B4854"/>
    <w:rsid w:val="000B502A"/>
    <w:rsid w:val="000B52FF"/>
    <w:rsid w:val="000B583C"/>
    <w:rsid w:val="000B5C59"/>
    <w:rsid w:val="000B6629"/>
    <w:rsid w:val="000B6A11"/>
    <w:rsid w:val="000B7D5E"/>
    <w:rsid w:val="000C04B5"/>
    <w:rsid w:val="000C138C"/>
    <w:rsid w:val="000C1D41"/>
    <w:rsid w:val="000C1FE8"/>
    <w:rsid w:val="000C28B1"/>
    <w:rsid w:val="000C3CEE"/>
    <w:rsid w:val="000C3D76"/>
    <w:rsid w:val="000C44EA"/>
    <w:rsid w:val="000C70F0"/>
    <w:rsid w:val="000C731C"/>
    <w:rsid w:val="000C73D1"/>
    <w:rsid w:val="000D01F4"/>
    <w:rsid w:val="000D07F3"/>
    <w:rsid w:val="000D0F68"/>
    <w:rsid w:val="000D0F91"/>
    <w:rsid w:val="000D1BB7"/>
    <w:rsid w:val="000D21E2"/>
    <w:rsid w:val="000D3095"/>
    <w:rsid w:val="000D3FD2"/>
    <w:rsid w:val="000D437D"/>
    <w:rsid w:val="000D4A12"/>
    <w:rsid w:val="000D4DA7"/>
    <w:rsid w:val="000D5D10"/>
    <w:rsid w:val="000D60B7"/>
    <w:rsid w:val="000D62B0"/>
    <w:rsid w:val="000D6485"/>
    <w:rsid w:val="000D66D4"/>
    <w:rsid w:val="000D6786"/>
    <w:rsid w:val="000D69EE"/>
    <w:rsid w:val="000D6B3A"/>
    <w:rsid w:val="000E0A17"/>
    <w:rsid w:val="000E0E5F"/>
    <w:rsid w:val="000E162F"/>
    <w:rsid w:val="000E1C67"/>
    <w:rsid w:val="000E1D93"/>
    <w:rsid w:val="000E228D"/>
    <w:rsid w:val="000E25CC"/>
    <w:rsid w:val="000E2B24"/>
    <w:rsid w:val="000E2CFC"/>
    <w:rsid w:val="000E5789"/>
    <w:rsid w:val="000E58B7"/>
    <w:rsid w:val="000E58DF"/>
    <w:rsid w:val="000E5B3C"/>
    <w:rsid w:val="000E6341"/>
    <w:rsid w:val="000E63FB"/>
    <w:rsid w:val="000E6496"/>
    <w:rsid w:val="000E66CC"/>
    <w:rsid w:val="000E7A74"/>
    <w:rsid w:val="000F1021"/>
    <w:rsid w:val="000F16D8"/>
    <w:rsid w:val="000F1782"/>
    <w:rsid w:val="000F1B7A"/>
    <w:rsid w:val="000F203D"/>
    <w:rsid w:val="000F26C8"/>
    <w:rsid w:val="000F2C61"/>
    <w:rsid w:val="000F3316"/>
    <w:rsid w:val="000F36DC"/>
    <w:rsid w:val="000F3D5F"/>
    <w:rsid w:val="000F3FB8"/>
    <w:rsid w:val="000F4BAC"/>
    <w:rsid w:val="000F4D02"/>
    <w:rsid w:val="000F4E95"/>
    <w:rsid w:val="000F67E1"/>
    <w:rsid w:val="00100076"/>
    <w:rsid w:val="00101981"/>
    <w:rsid w:val="00101A58"/>
    <w:rsid w:val="00101C78"/>
    <w:rsid w:val="00101E40"/>
    <w:rsid w:val="00101FB4"/>
    <w:rsid w:val="00102062"/>
    <w:rsid w:val="0010245D"/>
    <w:rsid w:val="00102960"/>
    <w:rsid w:val="00102F25"/>
    <w:rsid w:val="001034C9"/>
    <w:rsid w:val="00103ACF"/>
    <w:rsid w:val="001046A7"/>
    <w:rsid w:val="00104923"/>
    <w:rsid w:val="00104B46"/>
    <w:rsid w:val="00104C5B"/>
    <w:rsid w:val="00104FDA"/>
    <w:rsid w:val="0010588C"/>
    <w:rsid w:val="00105F58"/>
    <w:rsid w:val="00106314"/>
    <w:rsid w:val="00106801"/>
    <w:rsid w:val="00107676"/>
    <w:rsid w:val="00107820"/>
    <w:rsid w:val="00110F41"/>
    <w:rsid w:val="00111520"/>
    <w:rsid w:val="00112D04"/>
    <w:rsid w:val="00113917"/>
    <w:rsid w:val="00113A34"/>
    <w:rsid w:val="0011446B"/>
    <w:rsid w:val="00115487"/>
    <w:rsid w:val="00115605"/>
    <w:rsid w:val="00115CEC"/>
    <w:rsid w:val="00116087"/>
    <w:rsid w:val="001176CA"/>
    <w:rsid w:val="00117876"/>
    <w:rsid w:val="001178D3"/>
    <w:rsid w:val="00117C31"/>
    <w:rsid w:val="0012015A"/>
    <w:rsid w:val="00120402"/>
    <w:rsid w:val="0012048C"/>
    <w:rsid w:val="0012262F"/>
    <w:rsid w:val="0012351B"/>
    <w:rsid w:val="0012389B"/>
    <w:rsid w:val="0012696A"/>
    <w:rsid w:val="00126DFF"/>
    <w:rsid w:val="00126E91"/>
    <w:rsid w:val="00126F53"/>
    <w:rsid w:val="00126FE5"/>
    <w:rsid w:val="001274DE"/>
    <w:rsid w:val="00127D50"/>
    <w:rsid w:val="0013048D"/>
    <w:rsid w:val="00130BC4"/>
    <w:rsid w:val="00130C28"/>
    <w:rsid w:val="001315DD"/>
    <w:rsid w:val="001317A2"/>
    <w:rsid w:val="001321D6"/>
    <w:rsid w:val="00132B50"/>
    <w:rsid w:val="0013321F"/>
    <w:rsid w:val="00133BE1"/>
    <w:rsid w:val="001340B0"/>
    <w:rsid w:val="00134420"/>
    <w:rsid w:val="001347A5"/>
    <w:rsid w:val="001347C7"/>
    <w:rsid w:val="001352AE"/>
    <w:rsid w:val="00136219"/>
    <w:rsid w:val="0013673B"/>
    <w:rsid w:val="00136EE1"/>
    <w:rsid w:val="001373F4"/>
    <w:rsid w:val="00137A74"/>
    <w:rsid w:val="00137B47"/>
    <w:rsid w:val="00137EA6"/>
    <w:rsid w:val="00140311"/>
    <w:rsid w:val="00141C89"/>
    <w:rsid w:val="001437FE"/>
    <w:rsid w:val="001439DC"/>
    <w:rsid w:val="001439E1"/>
    <w:rsid w:val="00143CE6"/>
    <w:rsid w:val="001446FC"/>
    <w:rsid w:val="00144E28"/>
    <w:rsid w:val="00145223"/>
    <w:rsid w:val="00145B4E"/>
    <w:rsid w:val="00145F4A"/>
    <w:rsid w:val="0014624A"/>
    <w:rsid w:val="001467AF"/>
    <w:rsid w:val="001478A8"/>
    <w:rsid w:val="00147B1B"/>
    <w:rsid w:val="00147B3D"/>
    <w:rsid w:val="00147CEF"/>
    <w:rsid w:val="00147EFE"/>
    <w:rsid w:val="0015037E"/>
    <w:rsid w:val="00151100"/>
    <w:rsid w:val="00151607"/>
    <w:rsid w:val="0015220F"/>
    <w:rsid w:val="00152C88"/>
    <w:rsid w:val="0015321B"/>
    <w:rsid w:val="00153E37"/>
    <w:rsid w:val="00154D1D"/>
    <w:rsid w:val="00155A2B"/>
    <w:rsid w:val="001575D6"/>
    <w:rsid w:val="00157F6C"/>
    <w:rsid w:val="0016139B"/>
    <w:rsid w:val="00161FEA"/>
    <w:rsid w:val="00162AAB"/>
    <w:rsid w:val="00163721"/>
    <w:rsid w:val="00163772"/>
    <w:rsid w:val="00164084"/>
    <w:rsid w:val="00164984"/>
    <w:rsid w:val="00164DCF"/>
    <w:rsid w:val="00165071"/>
    <w:rsid w:val="00165845"/>
    <w:rsid w:val="001658C2"/>
    <w:rsid w:val="00165967"/>
    <w:rsid w:val="001667EC"/>
    <w:rsid w:val="0016735B"/>
    <w:rsid w:val="00167AE3"/>
    <w:rsid w:val="00170222"/>
    <w:rsid w:val="00170246"/>
    <w:rsid w:val="001703E4"/>
    <w:rsid w:val="0017131B"/>
    <w:rsid w:val="00171431"/>
    <w:rsid w:val="00173415"/>
    <w:rsid w:val="00173E69"/>
    <w:rsid w:val="001743AA"/>
    <w:rsid w:val="001744DD"/>
    <w:rsid w:val="00175B49"/>
    <w:rsid w:val="00175BFE"/>
    <w:rsid w:val="00175DFC"/>
    <w:rsid w:val="00176075"/>
    <w:rsid w:val="001766D3"/>
    <w:rsid w:val="00176BA6"/>
    <w:rsid w:val="00176BF7"/>
    <w:rsid w:val="001804E7"/>
    <w:rsid w:val="00181E7F"/>
    <w:rsid w:val="001821C3"/>
    <w:rsid w:val="00182E81"/>
    <w:rsid w:val="00183495"/>
    <w:rsid w:val="00183538"/>
    <w:rsid w:val="00183800"/>
    <w:rsid w:val="00184681"/>
    <w:rsid w:val="001849BC"/>
    <w:rsid w:val="00184F95"/>
    <w:rsid w:val="00186CC8"/>
    <w:rsid w:val="00186F81"/>
    <w:rsid w:val="00187957"/>
    <w:rsid w:val="00187C5B"/>
    <w:rsid w:val="001902B4"/>
    <w:rsid w:val="001903D9"/>
    <w:rsid w:val="00190B49"/>
    <w:rsid w:val="00191963"/>
    <w:rsid w:val="001924A8"/>
    <w:rsid w:val="00192D67"/>
    <w:rsid w:val="00193370"/>
    <w:rsid w:val="00193CB3"/>
    <w:rsid w:val="00193DF2"/>
    <w:rsid w:val="00194159"/>
    <w:rsid w:val="00194AB1"/>
    <w:rsid w:val="001952D8"/>
    <w:rsid w:val="00195A9E"/>
    <w:rsid w:val="00195BD5"/>
    <w:rsid w:val="001961FB"/>
    <w:rsid w:val="00196716"/>
    <w:rsid w:val="00196A39"/>
    <w:rsid w:val="00196C69"/>
    <w:rsid w:val="001A00EA"/>
    <w:rsid w:val="001A06FB"/>
    <w:rsid w:val="001A1AA7"/>
    <w:rsid w:val="001A1D38"/>
    <w:rsid w:val="001A24FE"/>
    <w:rsid w:val="001A376E"/>
    <w:rsid w:val="001A3986"/>
    <w:rsid w:val="001A3C2E"/>
    <w:rsid w:val="001A3E5C"/>
    <w:rsid w:val="001A42ED"/>
    <w:rsid w:val="001A465C"/>
    <w:rsid w:val="001A467F"/>
    <w:rsid w:val="001A4C73"/>
    <w:rsid w:val="001A4C74"/>
    <w:rsid w:val="001A573A"/>
    <w:rsid w:val="001A7695"/>
    <w:rsid w:val="001B0A01"/>
    <w:rsid w:val="001B0C42"/>
    <w:rsid w:val="001B1358"/>
    <w:rsid w:val="001B15F4"/>
    <w:rsid w:val="001B24A1"/>
    <w:rsid w:val="001B2B05"/>
    <w:rsid w:val="001B43BF"/>
    <w:rsid w:val="001B4DC6"/>
    <w:rsid w:val="001B5733"/>
    <w:rsid w:val="001B6369"/>
    <w:rsid w:val="001B6E58"/>
    <w:rsid w:val="001B7437"/>
    <w:rsid w:val="001B7688"/>
    <w:rsid w:val="001B7E8E"/>
    <w:rsid w:val="001C003F"/>
    <w:rsid w:val="001C022A"/>
    <w:rsid w:val="001C1179"/>
    <w:rsid w:val="001C13D5"/>
    <w:rsid w:val="001C34AD"/>
    <w:rsid w:val="001C396F"/>
    <w:rsid w:val="001C4B7A"/>
    <w:rsid w:val="001C4E61"/>
    <w:rsid w:val="001C4E70"/>
    <w:rsid w:val="001C56E0"/>
    <w:rsid w:val="001C5B5F"/>
    <w:rsid w:val="001C5FE9"/>
    <w:rsid w:val="001C616E"/>
    <w:rsid w:val="001C66E4"/>
    <w:rsid w:val="001C6B21"/>
    <w:rsid w:val="001C6BD9"/>
    <w:rsid w:val="001D0900"/>
    <w:rsid w:val="001D29F7"/>
    <w:rsid w:val="001D2A8E"/>
    <w:rsid w:val="001D2D83"/>
    <w:rsid w:val="001D2FE4"/>
    <w:rsid w:val="001D385E"/>
    <w:rsid w:val="001D4B3F"/>
    <w:rsid w:val="001D4B55"/>
    <w:rsid w:val="001D5121"/>
    <w:rsid w:val="001D5800"/>
    <w:rsid w:val="001D5DE2"/>
    <w:rsid w:val="001D63BD"/>
    <w:rsid w:val="001D6D05"/>
    <w:rsid w:val="001D6DD8"/>
    <w:rsid w:val="001D7B00"/>
    <w:rsid w:val="001E0004"/>
    <w:rsid w:val="001E06D3"/>
    <w:rsid w:val="001E0D2B"/>
    <w:rsid w:val="001E135F"/>
    <w:rsid w:val="001E1CD1"/>
    <w:rsid w:val="001E2277"/>
    <w:rsid w:val="001E2657"/>
    <w:rsid w:val="001E31CD"/>
    <w:rsid w:val="001E3461"/>
    <w:rsid w:val="001E36B2"/>
    <w:rsid w:val="001E39E0"/>
    <w:rsid w:val="001E3AD5"/>
    <w:rsid w:val="001E3F41"/>
    <w:rsid w:val="001E4199"/>
    <w:rsid w:val="001E446A"/>
    <w:rsid w:val="001E4F1A"/>
    <w:rsid w:val="001E5D3B"/>
    <w:rsid w:val="001E5F66"/>
    <w:rsid w:val="001E69F5"/>
    <w:rsid w:val="001E7513"/>
    <w:rsid w:val="001E7AA7"/>
    <w:rsid w:val="001E7C50"/>
    <w:rsid w:val="001F0F50"/>
    <w:rsid w:val="001F1520"/>
    <w:rsid w:val="001F39E5"/>
    <w:rsid w:val="001F4B73"/>
    <w:rsid w:val="001F5D77"/>
    <w:rsid w:val="001F68B9"/>
    <w:rsid w:val="001F68CE"/>
    <w:rsid w:val="001F7202"/>
    <w:rsid w:val="001F73DB"/>
    <w:rsid w:val="001F7BF5"/>
    <w:rsid w:val="0020013B"/>
    <w:rsid w:val="00200486"/>
    <w:rsid w:val="00200D7D"/>
    <w:rsid w:val="00200E67"/>
    <w:rsid w:val="00201229"/>
    <w:rsid w:val="0020167F"/>
    <w:rsid w:val="00201AF7"/>
    <w:rsid w:val="00201C6C"/>
    <w:rsid w:val="002024A7"/>
    <w:rsid w:val="0020294E"/>
    <w:rsid w:val="002036D0"/>
    <w:rsid w:val="00204021"/>
    <w:rsid w:val="0020481B"/>
    <w:rsid w:val="002054DA"/>
    <w:rsid w:val="002057E6"/>
    <w:rsid w:val="0020641B"/>
    <w:rsid w:val="002065B8"/>
    <w:rsid w:val="002067CD"/>
    <w:rsid w:val="00206DB1"/>
    <w:rsid w:val="00206FC0"/>
    <w:rsid w:val="00207060"/>
    <w:rsid w:val="002071FA"/>
    <w:rsid w:val="00207277"/>
    <w:rsid w:val="002073C7"/>
    <w:rsid w:val="002075C6"/>
    <w:rsid w:val="00210666"/>
    <w:rsid w:val="002106C9"/>
    <w:rsid w:val="00210946"/>
    <w:rsid w:val="00210A01"/>
    <w:rsid w:val="00210CDF"/>
    <w:rsid w:val="0021186F"/>
    <w:rsid w:val="002129DE"/>
    <w:rsid w:val="002131EA"/>
    <w:rsid w:val="00214303"/>
    <w:rsid w:val="0021570F"/>
    <w:rsid w:val="00217DF7"/>
    <w:rsid w:val="00217F63"/>
    <w:rsid w:val="002205C2"/>
    <w:rsid w:val="00220A10"/>
    <w:rsid w:val="00220EB8"/>
    <w:rsid w:val="00221763"/>
    <w:rsid w:val="002228E3"/>
    <w:rsid w:val="00222A9F"/>
    <w:rsid w:val="00222BD4"/>
    <w:rsid w:val="0022307F"/>
    <w:rsid w:val="002238DF"/>
    <w:rsid w:val="00224272"/>
    <w:rsid w:val="002258BF"/>
    <w:rsid w:val="002258F7"/>
    <w:rsid w:val="0022602A"/>
    <w:rsid w:val="00226D79"/>
    <w:rsid w:val="0022771A"/>
    <w:rsid w:val="00227986"/>
    <w:rsid w:val="00230761"/>
    <w:rsid w:val="00232316"/>
    <w:rsid w:val="00232843"/>
    <w:rsid w:val="00232F5D"/>
    <w:rsid w:val="002336A2"/>
    <w:rsid w:val="00233725"/>
    <w:rsid w:val="00234C05"/>
    <w:rsid w:val="00235044"/>
    <w:rsid w:val="00235622"/>
    <w:rsid w:val="00235888"/>
    <w:rsid w:val="00235AA1"/>
    <w:rsid w:val="00235C4E"/>
    <w:rsid w:val="00235C86"/>
    <w:rsid w:val="00235E8A"/>
    <w:rsid w:val="002378B7"/>
    <w:rsid w:val="00237BB7"/>
    <w:rsid w:val="0024028D"/>
    <w:rsid w:val="002404C4"/>
    <w:rsid w:val="00240E11"/>
    <w:rsid w:val="00240E77"/>
    <w:rsid w:val="00240F64"/>
    <w:rsid w:val="00240F6B"/>
    <w:rsid w:val="00241925"/>
    <w:rsid w:val="00241A7D"/>
    <w:rsid w:val="002428D1"/>
    <w:rsid w:val="00242BFB"/>
    <w:rsid w:val="002433C3"/>
    <w:rsid w:val="0024369D"/>
    <w:rsid w:val="00243E37"/>
    <w:rsid w:val="00243E40"/>
    <w:rsid w:val="00244DF3"/>
    <w:rsid w:val="00245F00"/>
    <w:rsid w:val="0024604E"/>
    <w:rsid w:val="002461EB"/>
    <w:rsid w:val="002469FB"/>
    <w:rsid w:val="00247854"/>
    <w:rsid w:val="00251898"/>
    <w:rsid w:val="00252250"/>
    <w:rsid w:val="0025251D"/>
    <w:rsid w:val="002535F8"/>
    <w:rsid w:val="0025389B"/>
    <w:rsid w:val="00253C52"/>
    <w:rsid w:val="0025537A"/>
    <w:rsid w:val="002555BB"/>
    <w:rsid w:val="00255934"/>
    <w:rsid w:val="0025675C"/>
    <w:rsid w:val="00256AF3"/>
    <w:rsid w:val="0025712E"/>
    <w:rsid w:val="00257A77"/>
    <w:rsid w:val="002600A9"/>
    <w:rsid w:val="00260A8D"/>
    <w:rsid w:val="00261A05"/>
    <w:rsid w:val="0026217A"/>
    <w:rsid w:val="00262896"/>
    <w:rsid w:val="002638F4"/>
    <w:rsid w:val="00263E75"/>
    <w:rsid w:val="00264282"/>
    <w:rsid w:val="0026430D"/>
    <w:rsid w:val="00264454"/>
    <w:rsid w:val="0026452E"/>
    <w:rsid w:val="00264994"/>
    <w:rsid w:val="00264DBD"/>
    <w:rsid w:val="0026522B"/>
    <w:rsid w:val="00265943"/>
    <w:rsid w:val="00266B4C"/>
    <w:rsid w:val="00266EC2"/>
    <w:rsid w:val="0026755F"/>
    <w:rsid w:val="00270E96"/>
    <w:rsid w:val="00271780"/>
    <w:rsid w:val="0027212B"/>
    <w:rsid w:val="00272769"/>
    <w:rsid w:val="00272D4D"/>
    <w:rsid w:val="00273004"/>
    <w:rsid w:val="00273F07"/>
    <w:rsid w:val="002746EA"/>
    <w:rsid w:val="00274BAA"/>
    <w:rsid w:val="00274BE1"/>
    <w:rsid w:val="00275266"/>
    <w:rsid w:val="002752E8"/>
    <w:rsid w:val="002753DC"/>
    <w:rsid w:val="002758DC"/>
    <w:rsid w:val="00276DF7"/>
    <w:rsid w:val="002824F4"/>
    <w:rsid w:val="00284BC1"/>
    <w:rsid w:val="002851B2"/>
    <w:rsid w:val="002856BA"/>
    <w:rsid w:val="00285EDF"/>
    <w:rsid w:val="00286212"/>
    <w:rsid w:val="002863B2"/>
    <w:rsid w:val="0028679F"/>
    <w:rsid w:val="00286B3A"/>
    <w:rsid w:val="0028774D"/>
    <w:rsid w:val="00287C2D"/>
    <w:rsid w:val="00287C35"/>
    <w:rsid w:val="002907E5"/>
    <w:rsid w:val="00291307"/>
    <w:rsid w:val="00292800"/>
    <w:rsid w:val="0029295F"/>
    <w:rsid w:val="0029359B"/>
    <w:rsid w:val="0029374A"/>
    <w:rsid w:val="00293BFD"/>
    <w:rsid w:val="002947D3"/>
    <w:rsid w:val="00295844"/>
    <w:rsid w:val="00297F25"/>
    <w:rsid w:val="002A03EF"/>
    <w:rsid w:val="002A0AB2"/>
    <w:rsid w:val="002A0C8D"/>
    <w:rsid w:val="002A17F0"/>
    <w:rsid w:val="002A3C39"/>
    <w:rsid w:val="002A3D08"/>
    <w:rsid w:val="002A4676"/>
    <w:rsid w:val="002A46BD"/>
    <w:rsid w:val="002A57D2"/>
    <w:rsid w:val="002A6295"/>
    <w:rsid w:val="002A6B65"/>
    <w:rsid w:val="002A73C8"/>
    <w:rsid w:val="002A7BB3"/>
    <w:rsid w:val="002A7E23"/>
    <w:rsid w:val="002A7FB5"/>
    <w:rsid w:val="002B002D"/>
    <w:rsid w:val="002B0CFD"/>
    <w:rsid w:val="002B0F3B"/>
    <w:rsid w:val="002B1438"/>
    <w:rsid w:val="002B31DA"/>
    <w:rsid w:val="002B357C"/>
    <w:rsid w:val="002B409A"/>
    <w:rsid w:val="002B44A2"/>
    <w:rsid w:val="002B45AC"/>
    <w:rsid w:val="002B577C"/>
    <w:rsid w:val="002B65F6"/>
    <w:rsid w:val="002B68F0"/>
    <w:rsid w:val="002B6934"/>
    <w:rsid w:val="002B69FE"/>
    <w:rsid w:val="002B6BE4"/>
    <w:rsid w:val="002B6D8D"/>
    <w:rsid w:val="002B71F5"/>
    <w:rsid w:val="002C073B"/>
    <w:rsid w:val="002C0F12"/>
    <w:rsid w:val="002C17E4"/>
    <w:rsid w:val="002C19BE"/>
    <w:rsid w:val="002C23D8"/>
    <w:rsid w:val="002C2833"/>
    <w:rsid w:val="002C2DC6"/>
    <w:rsid w:val="002C2E3F"/>
    <w:rsid w:val="002C3023"/>
    <w:rsid w:val="002C392D"/>
    <w:rsid w:val="002C39CD"/>
    <w:rsid w:val="002C49F9"/>
    <w:rsid w:val="002C5606"/>
    <w:rsid w:val="002C636F"/>
    <w:rsid w:val="002C67EC"/>
    <w:rsid w:val="002D0111"/>
    <w:rsid w:val="002D050F"/>
    <w:rsid w:val="002D0A72"/>
    <w:rsid w:val="002D0E29"/>
    <w:rsid w:val="002D1531"/>
    <w:rsid w:val="002D1669"/>
    <w:rsid w:val="002D19D7"/>
    <w:rsid w:val="002D1A44"/>
    <w:rsid w:val="002D2889"/>
    <w:rsid w:val="002D2CA1"/>
    <w:rsid w:val="002D2EF1"/>
    <w:rsid w:val="002D3619"/>
    <w:rsid w:val="002D3818"/>
    <w:rsid w:val="002D3A96"/>
    <w:rsid w:val="002D3FB1"/>
    <w:rsid w:val="002D4B89"/>
    <w:rsid w:val="002D5606"/>
    <w:rsid w:val="002D5B5A"/>
    <w:rsid w:val="002D5DA7"/>
    <w:rsid w:val="002D60CA"/>
    <w:rsid w:val="002D613C"/>
    <w:rsid w:val="002D653E"/>
    <w:rsid w:val="002D6C82"/>
    <w:rsid w:val="002D7E7A"/>
    <w:rsid w:val="002E0409"/>
    <w:rsid w:val="002E0BBA"/>
    <w:rsid w:val="002E0E04"/>
    <w:rsid w:val="002E3B00"/>
    <w:rsid w:val="002E4553"/>
    <w:rsid w:val="002E495E"/>
    <w:rsid w:val="002E5BC4"/>
    <w:rsid w:val="002E6ED9"/>
    <w:rsid w:val="002E7744"/>
    <w:rsid w:val="002E7E97"/>
    <w:rsid w:val="002E7F2A"/>
    <w:rsid w:val="002E7F75"/>
    <w:rsid w:val="002F0628"/>
    <w:rsid w:val="002F0DDC"/>
    <w:rsid w:val="002F1FB2"/>
    <w:rsid w:val="002F2BFF"/>
    <w:rsid w:val="002F2D3D"/>
    <w:rsid w:val="002F31B0"/>
    <w:rsid w:val="002F4D1D"/>
    <w:rsid w:val="002F5272"/>
    <w:rsid w:val="002F5337"/>
    <w:rsid w:val="002F58E2"/>
    <w:rsid w:val="002F6055"/>
    <w:rsid w:val="002F648D"/>
    <w:rsid w:val="003007EC"/>
    <w:rsid w:val="00300B72"/>
    <w:rsid w:val="00301D8F"/>
    <w:rsid w:val="003024BF"/>
    <w:rsid w:val="00302F7D"/>
    <w:rsid w:val="00302FB2"/>
    <w:rsid w:val="0030317B"/>
    <w:rsid w:val="00303AD4"/>
    <w:rsid w:val="00303D6C"/>
    <w:rsid w:val="00304F15"/>
    <w:rsid w:val="00305042"/>
    <w:rsid w:val="003059DD"/>
    <w:rsid w:val="00306646"/>
    <w:rsid w:val="00306E86"/>
    <w:rsid w:val="003071B3"/>
    <w:rsid w:val="00307921"/>
    <w:rsid w:val="00310139"/>
    <w:rsid w:val="00310D87"/>
    <w:rsid w:val="00312173"/>
    <w:rsid w:val="0031369A"/>
    <w:rsid w:val="003148D1"/>
    <w:rsid w:val="00314AC5"/>
    <w:rsid w:val="00315565"/>
    <w:rsid w:val="00315B78"/>
    <w:rsid w:val="00315E22"/>
    <w:rsid w:val="003178BF"/>
    <w:rsid w:val="003203FE"/>
    <w:rsid w:val="0032045D"/>
    <w:rsid w:val="00320632"/>
    <w:rsid w:val="003213B2"/>
    <w:rsid w:val="00321D16"/>
    <w:rsid w:val="00321F37"/>
    <w:rsid w:val="00322B30"/>
    <w:rsid w:val="00322F50"/>
    <w:rsid w:val="00323844"/>
    <w:rsid w:val="00323D72"/>
    <w:rsid w:val="0032411D"/>
    <w:rsid w:val="00324567"/>
    <w:rsid w:val="00326C75"/>
    <w:rsid w:val="00326F37"/>
    <w:rsid w:val="00326FC6"/>
    <w:rsid w:val="00327070"/>
    <w:rsid w:val="0033032A"/>
    <w:rsid w:val="00330EE9"/>
    <w:rsid w:val="0033207D"/>
    <w:rsid w:val="00332346"/>
    <w:rsid w:val="00332F04"/>
    <w:rsid w:val="00333785"/>
    <w:rsid w:val="003340E2"/>
    <w:rsid w:val="00335A84"/>
    <w:rsid w:val="00337107"/>
    <w:rsid w:val="0033733F"/>
    <w:rsid w:val="00337B9D"/>
    <w:rsid w:val="00340239"/>
    <w:rsid w:val="003409EF"/>
    <w:rsid w:val="00340A96"/>
    <w:rsid w:val="00342432"/>
    <w:rsid w:val="003427F0"/>
    <w:rsid w:val="00342B3F"/>
    <w:rsid w:val="003435FC"/>
    <w:rsid w:val="0034472E"/>
    <w:rsid w:val="00344AE7"/>
    <w:rsid w:val="00345AB0"/>
    <w:rsid w:val="00345DE5"/>
    <w:rsid w:val="0034687E"/>
    <w:rsid w:val="00346B0B"/>
    <w:rsid w:val="00346D7B"/>
    <w:rsid w:val="00347243"/>
    <w:rsid w:val="00347402"/>
    <w:rsid w:val="00347B6B"/>
    <w:rsid w:val="00350335"/>
    <w:rsid w:val="003506BA"/>
    <w:rsid w:val="00350C0D"/>
    <w:rsid w:val="00351009"/>
    <w:rsid w:val="00351802"/>
    <w:rsid w:val="003519B8"/>
    <w:rsid w:val="00351ACD"/>
    <w:rsid w:val="00352D0E"/>
    <w:rsid w:val="00352FF9"/>
    <w:rsid w:val="003539D0"/>
    <w:rsid w:val="00353C10"/>
    <w:rsid w:val="003540BD"/>
    <w:rsid w:val="00354122"/>
    <w:rsid w:val="00355D0A"/>
    <w:rsid w:val="00355E5D"/>
    <w:rsid w:val="003561D3"/>
    <w:rsid w:val="00356639"/>
    <w:rsid w:val="00356BBC"/>
    <w:rsid w:val="003609C5"/>
    <w:rsid w:val="00360ABA"/>
    <w:rsid w:val="00361145"/>
    <w:rsid w:val="003621CA"/>
    <w:rsid w:val="003621F8"/>
    <w:rsid w:val="0036227D"/>
    <w:rsid w:val="00362A18"/>
    <w:rsid w:val="003642DC"/>
    <w:rsid w:val="00364414"/>
    <w:rsid w:val="0036477D"/>
    <w:rsid w:val="00364AA6"/>
    <w:rsid w:val="00365D51"/>
    <w:rsid w:val="00365E7F"/>
    <w:rsid w:val="00365F08"/>
    <w:rsid w:val="003663C6"/>
    <w:rsid w:val="003672D6"/>
    <w:rsid w:val="003704B0"/>
    <w:rsid w:val="00370B5D"/>
    <w:rsid w:val="00370D9D"/>
    <w:rsid w:val="003715C5"/>
    <w:rsid w:val="003721E2"/>
    <w:rsid w:val="00372E73"/>
    <w:rsid w:val="00373830"/>
    <w:rsid w:val="00374113"/>
    <w:rsid w:val="00374FB5"/>
    <w:rsid w:val="003753C8"/>
    <w:rsid w:val="00376CC8"/>
    <w:rsid w:val="00376E93"/>
    <w:rsid w:val="0037719F"/>
    <w:rsid w:val="003778F6"/>
    <w:rsid w:val="00377AAF"/>
    <w:rsid w:val="00377DE3"/>
    <w:rsid w:val="00380D64"/>
    <w:rsid w:val="00380FB3"/>
    <w:rsid w:val="00381386"/>
    <w:rsid w:val="00382D89"/>
    <w:rsid w:val="00382DDD"/>
    <w:rsid w:val="0038384B"/>
    <w:rsid w:val="00385011"/>
    <w:rsid w:val="00385DB9"/>
    <w:rsid w:val="00385E7E"/>
    <w:rsid w:val="0038788D"/>
    <w:rsid w:val="00391DCB"/>
    <w:rsid w:val="00391E09"/>
    <w:rsid w:val="00392270"/>
    <w:rsid w:val="00392409"/>
    <w:rsid w:val="00392624"/>
    <w:rsid w:val="00393006"/>
    <w:rsid w:val="00393096"/>
    <w:rsid w:val="00393C5C"/>
    <w:rsid w:val="0039442D"/>
    <w:rsid w:val="00394978"/>
    <w:rsid w:val="00394ACC"/>
    <w:rsid w:val="00394B5C"/>
    <w:rsid w:val="00396AA4"/>
    <w:rsid w:val="00396F13"/>
    <w:rsid w:val="00396FCB"/>
    <w:rsid w:val="00397021"/>
    <w:rsid w:val="00397F7A"/>
    <w:rsid w:val="003A0480"/>
    <w:rsid w:val="003A0852"/>
    <w:rsid w:val="003A1553"/>
    <w:rsid w:val="003A297A"/>
    <w:rsid w:val="003A2A94"/>
    <w:rsid w:val="003A2E6C"/>
    <w:rsid w:val="003A318F"/>
    <w:rsid w:val="003A4C84"/>
    <w:rsid w:val="003A5E62"/>
    <w:rsid w:val="003A6B74"/>
    <w:rsid w:val="003A711B"/>
    <w:rsid w:val="003A746F"/>
    <w:rsid w:val="003A75D5"/>
    <w:rsid w:val="003A7C66"/>
    <w:rsid w:val="003A7F11"/>
    <w:rsid w:val="003B08A7"/>
    <w:rsid w:val="003B1096"/>
    <w:rsid w:val="003B2549"/>
    <w:rsid w:val="003B2CB6"/>
    <w:rsid w:val="003B30E9"/>
    <w:rsid w:val="003B467F"/>
    <w:rsid w:val="003B5961"/>
    <w:rsid w:val="003B5E38"/>
    <w:rsid w:val="003B5FD5"/>
    <w:rsid w:val="003B633A"/>
    <w:rsid w:val="003B6C06"/>
    <w:rsid w:val="003B6EED"/>
    <w:rsid w:val="003B780C"/>
    <w:rsid w:val="003B7F58"/>
    <w:rsid w:val="003C00B5"/>
    <w:rsid w:val="003C032D"/>
    <w:rsid w:val="003C0DDF"/>
    <w:rsid w:val="003C0F8F"/>
    <w:rsid w:val="003C1086"/>
    <w:rsid w:val="003C16FB"/>
    <w:rsid w:val="003C18A9"/>
    <w:rsid w:val="003C21E3"/>
    <w:rsid w:val="003C25B2"/>
    <w:rsid w:val="003C2617"/>
    <w:rsid w:val="003C271A"/>
    <w:rsid w:val="003C2C59"/>
    <w:rsid w:val="003C2D04"/>
    <w:rsid w:val="003C39F2"/>
    <w:rsid w:val="003C3EF5"/>
    <w:rsid w:val="003C4345"/>
    <w:rsid w:val="003C43E6"/>
    <w:rsid w:val="003C4AF7"/>
    <w:rsid w:val="003C562B"/>
    <w:rsid w:val="003C5833"/>
    <w:rsid w:val="003C5F3D"/>
    <w:rsid w:val="003C7474"/>
    <w:rsid w:val="003C781D"/>
    <w:rsid w:val="003C7E66"/>
    <w:rsid w:val="003D049B"/>
    <w:rsid w:val="003D07EF"/>
    <w:rsid w:val="003D09DB"/>
    <w:rsid w:val="003D0EB1"/>
    <w:rsid w:val="003D1377"/>
    <w:rsid w:val="003D1777"/>
    <w:rsid w:val="003D19AD"/>
    <w:rsid w:val="003D1B8E"/>
    <w:rsid w:val="003D2785"/>
    <w:rsid w:val="003D2D8F"/>
    <w:rsid w:val="003D3090"/>
    <w:rsid w:val="003D3AC6"/>
    <w:rsid w:val="003D445A"/>
    <w:rsid w:val="003D4558"/>
    <w:rsid w:val="003D4800"/>
    <w:rsid w:val="003D4A99"/>
    <w:rsid w:val="003D4E23"/>
    <w:rsid w:val="003D4FF4"/>
    <w:rsid w:val="003D589E"/>
    <w:rsid w:val="003D5D49"/>
    <w:rsid w:val="003D5ED2"/>
    <w:rsid w:val="003D7410"/>
    <w:rsid w:val="003D76CF"/>
    <w:rsid w:val="003E06C6"/>
    <w:rsid w:val="003E0B22"/>
    <w:rsid w:val="003E13FD"/>
    <w:rsid w:val="003E1716"/>
    <w:rsid w:val="003E1F68"/>
    <w:rsid w:val="003E234F"/>
    <w:rsid w:val="003E2FBE"/>
    <w:rsid w:val="003E3EAF"/>
    <w:rsid w:val="003E463B"/>
    <w:rsid w:val="003E4AF8"/>
    <w:rsid w:val="003E555C"/>
    <w:rsid w:val="003E5750"/>
    <w:rsid w:val="003E656B"/>
    <w:rsid w:val="003E6DA4"/>
    <w:rsid w:val="003E726B"/>
    <w:rsid w:val="003E78A6"/>
    <w:rsid w:val="003F07F0"/>
    <w:rsid w:val="003F09A2"/>
    <w:rsid w:val="003F0FED"/>
    <w:rsid w:val="003F1083"/>
    <w:rsid w:val="003F119A"/>
    <w:rsid w:val="003F1B0A"/>
    <w:rsid w:val="003F1CB0"/>
    <w:rsid w:val="003F2BB1"/>
    <w:rsid w:val="003F2D9F"/>
    <w:rsid w:val="003F2ED5"/>
    <w:rsid w:val="003F30AF"/>
    <w:rsid w:val="003F49A9"/>
    <w:rsid w:val="003F550A"/>
    <w:rsid w:val="003F5D29"/>
    <w:rsid w:val="003F6654"/>
    <w:rsid w:val="003F696B"/>
    <w:rsid w:val="003F75C0"/>
    <w:rsid w:val="00400D72"/>
    <w:rsid w:val="00400E92"/>
    <w:rsid w:val="00401046"/>
    <w:rsid w:val="004013D6"/>
    <w:rsid w:val="00401CCC"/>
    <w:rsid w:val="004024FA"/>
    <w:rsid w:val="00402E1A"/>
    <w:rsid w:val="00404298"/>
    <w:rsid w:val="0040486F"/>
    <w:rsid w:val="004048E4"/>
    <w:rsid w:val="00404BF7"/>
    <w:rsid w:val="004061A8"/>
    <w:rsid w:val="0040758D"/>
    <w:rsid w:val="00407B56"/>
    <w:rsid w:val="0041101F"/>
    <w:rsid w:val="0041106E"/>
    <w:rsid w:val="00412EF8"/>
    <w:rsid w:val="00413000"/>
    <w:rsid w:val="0041330A"/>
    <w:rsid w:val="0041494D"/>
    <w:rsid w:val="00414C47"/>
    <w:rsid w:val="00414DE8"/>
    <w:rsid w:val="004153C5"/>
    <w:rsid w:val="00415D41"/>
    <w:rsid w:val="004161AA"/>
    <w:rsid w:val="004201B0"/>
    <w:rsid w:val="0042086F"/>
    <w:rsid w:val="004211F6"/>
    <w:rsid w:val="00421A32"/>
    <w:rsid w:val="00421C02"/>
    <w:rsid w:val="00422417"/>
    <w:rsid w:val="00422CC7"/>
    <w:rsid w:val="00424468"/>
    <w:rsid w:val="004249C9"/>
    <w:rsid w:val="00424FB6"/>
    <w:rsid w:val="004271CB"/>
    <w:rsid w:val="004272EB"/>
    <w:rsid w:val="004278D8"/>
    <w:rsid w:val="00427966"/>
    <w:rsid w:val="00427AFF"/>
    <w:rsid w:val="00431725"/>
    <w:rsid w:val="00431849"/>
    <w:rsid w:val="00432272"/>
    <w:rsid w:val="004325F6"/>
    <w:rsid w:val="00432CF2"/>
    <w:rsid w:val="00433095"/>
    <w:rsid w:val="0043377B"/>
    <w:rsid w:val="00433BE3"/>
    <w:rsid w:val="00435DA3"/>
    <w:rsid w:val="00436148"/>
    <w:rsid w:val="00436420"/>
    <w:rsid w:val="004366C4"/>
    <w:rsid w:val="00436DF4"/>
    <w:rsid w:val="0044037C"/>
    <w:rsid w:val="00440392"/>
    <w:rsid w:val="004411C9"/>
    <w:rsid w:val="004412B4"/>
    <w:rsid w:val="004412F8"/>
    <w:rsid w:val="00441A0B"/>
    <w:rsid w:val="00442A5E"/>
    <w:rsid w:val="00443061"/>
    <w:rsid w:val="0044320D"/>
    <w:rsid w:val="00443337"/>
    <w:rsid w:val="004434CB"/>
    <w:rsid w:val="004434E3"/>
    <w:rsid w:val="00443584"/>
    <w:rsid w:val="00443904"/>
    <w:rsid w:val="004463AA"/>
    <w:rsid w:val="0044751D"/>
    <w:rsid w:val="00447B22"/>
    <w:rsid w:val="00447CC7"/>
    <w:rsid w:val="00450905"/>
    <w:rsid w:val="004514D5"/>
    <w:rsid w:val="0045269F"/>
    <w:rsid w:val="004529B9"/>
    <w:rsid w:val="00452E2C"/>
    <w:rsid w:val="004541B5"/>
    <w:rsid w:val="00454414"/>
    <w:rsid w:val="00457410"/>
    <w:rsid w:val="00460100"/>
    <w:rsid w:val="004614FA"/>
    <w:rsid w:val="00463077"/>
    <w:rsid w:val="00463CF3"/>
    <w:rsid w:val="004641E5"/>
    <w:rsid w:val="0046455A"/>
    <w:rsid w:val="004660FC"/>
    <w:rsid w:val="00466DBB"/>
    <w:rsid w:val="00466F66"/>
    <w:rsid w:val="004672E7"/>
    <w:rsid w:val="00467552"/>
    <w:rsid w:val="0046756C"/>
    <w:rsid w:val="00467C80"/>
    <w:rsid w:val="00467D6B"/>
    <w:rsid w:val="0047106A"/>
    <w:rsid w:val="00471582"/>
    <w:rsid w:val="00471E48"/>
    <w:rsid w:val="00471F30"/>
    <w:rsid w:val="00472A36"/>
    <w:rsid w:val="00472A76"/>
    <w:rsid w:val="00473686"/>
    <w:rsid w:val="00473DEB"/>
    <w:rsid w:val="00474012"/>
    <w:rsid w:val="0047436D"/>
    <w:rsid w:val="00474546"/>
    <w:rsid w:val="004748B8"/>
    <w:rsid w:val="00474E3C"/>
    <w:rsid w:val="00475C36"/>
    <w:rsid w:val="0047668C"/>
    <w:rsid w:val="00476E19"/>
    <w:rsid w:val="00477546"/>
    <w:rsid w:val="00477688"/>
    <w:rsid w:val="004808A9"/>
    <w:rsid w:val="00481C3C"/>
    <w:rsid w:val="004820B9"/>
    <w:rsid w:val="00482121"/>
    <w:rsid w:val="0048338B"/>
    <w:rsid w:val="00484405"/>
    <w:rsid w:val="00484813"/>
    <w:rsid w:val="00484B88"/>
    <w:rsid w:val="00485CD3"/>
    <w:rsid w:val="00485D21"/>
    <w:rsid w:val="00486102"/>
    <w:rsid w:val="00486489"/>
    <w:rsid w:val="00487362"/>
    <w:rsid w:val="004874AE"/>
    <w:rsid w:val="00491CFE"/>
    <w:rsid w:val="00493B58"/>
    <w:rsid w:val="004943B0"/>
    <w:rsid w:val="00494E1F"/>
    <w:rsid w:val="00495D70"/>
    <w:rsid w:val="004960C8"/>
    <w:rsid w:val="004961A3"/>
    <w:rsid w:val="0049693B"/>
    <w:rsid w:val="004971F9"/>
    <w:rsid w:val="00497AEF"/>
    <w:rsid w:val="004A1F7E"/>
    <w:rsid w:val="004A40FE"/>
    <w:rsid w:val="004A41D5"/>
    <w:rsid w:val="004A469C"/>
    <w:rsid w:val="004A49E8"/>
    <w:rsid w:val="004A5673"/>
    <w:rsid w:val="004A6188"/>
    <w:rsid w:val="004A68AD"/>
    <w:rsid w:val="004A6DF8"/>
    <w:rsid w:val="004A7502"/>
    <w:rsid w:val="004A784B"/>
    <w:rsid w:val="004B09A8"/>
    <w:rsid w:val="004B0B6E"/>
    <w:rsid w:val="004B1556"/>
    <w:rsid w:val="004B16F4"/>
    <w:rsid w:val="004B2076"/>
    <w:rsid w:val="004B2298"/>
    <w:rsid w:val="004B2572"/>
    <w:rsid w:val="004B2B58"/>
    <w:rsid w:val="004B30EC"/>
    <w:rsid w:val="004B3103"/>
    <w:rsid w:val="004B3D3F"/>
    <w:rsid w:val="004B530D"/>
    <w:rsid w:val="004B5B71"/>
    <w:rsid w:val="004B5FF7"/>
    <w:rsid w:val="004B6030"/>
    <w:rsid w:val="004B6A8C"/>
    <w:rsid w:val="004B7B30"/>
    <w:rsid w:val="004B7FD3"/>
    <w:rsid w:val="004C12CA"/>
    <w:rsid w:val="004C150F"/>
    <w:rsid w:val="004C1548"/>
    <w:rsid w:val="004C1D50"/>
    <w:rsid w:val="004C202F"/>
    <w:rsid w:val="004C3112"/>
    <w:rsid w:val="004C3D7C"/>
    <w:rsid w:val="004C3DE8"/>
    <w:rsid w:val="004C48E6"/>
    <w:rsid w:val="004C4D2D"/>
    <w:rsid w:val="004C5201"/>
    <w:rsid w:val="004C5E68"/>
    <w:rsid w:val="004C6257"/>
    <w:rsid w:val="004C656E"/>
    <w:rsid w:val="004C6D60"/>
    <w:rsid w:val="004C74B0"/>
    <w:rsid w:val="004C767A"/>
    <w:rsid w:val="004C7C83"/>
    <w:rsid w:val="004D0170"/>
    <w:rsid w:val="004D08AD"/>
    <w:rsid w:val="004D1980"/>
    <w:rsid w:val="004D1E85"/>
    <w:rsid w:val="004D20B8"/>
    <w:rsid w:val="004D22C2"/>
    <w:rsid w:val="004D249F"/>
    <w:rsid w:val="004D2D18"/>
    <w:rsid w:val="004D36EE"/>
    <w:rsid w:val="004D381C"/>
    <w:rsid w:val="004D5044"/>
    <w:rsid w:val="004D5393"/>
    <w:rsid w:val="004D54EE"/>
    <w:rsid w:val="004D56AF"/>
    <w:rsid w:val="004D645A"/>
    <w:rsid w:val="004D6AF5"/>
    <w:rsid w:val="004D6ED9"/>
    <w:rsid w:val="004D7343"/>
    <w:rsid w:val="004D7544"/>
    <w:rsid w:val="004D7EB9"/>
    <w:rsid w:val="004E05CD"/>
    <w:rsid w:val="004E06DD"/>
    <w:rsid w:val="004E0906"/>
    <w:rsid w:val="004E1394"/>
    <w:rsid w:val="004E23A8"/>
    <w:rsid w:val="004E256D"/>
    <w:rsid w:val="004E3CEE"/>
    <w:rsid w:val="004E4081"/>
    <w:rsid w:val="004E426D"/>
    <w:rsid w:val="004E4F99"/>
    <w:rsid w:val="004E5D5A"/>
    <w:rsid w:val="004E5E0A"/>
    <w:rsid w:val="004E639E"/>
    <w:rsid w:val="004E6C0D"/>
    <w:rsid w:val="004E7090"/>
    <w:rsid w:val="004E7387"/>
    <w:rsid w:val="004E7509"/>
    <w:rsid w:val="004F003D"/>
    <w:rsid w:val="004F0544"/>
    <w:rsid w:val="004F0855"/>
    <w:rsid w:val="004F1B6D"/>
    <w:rsid w:val="004F1D81"/>
    <w:rsid w:val="004F229C"/>
    <w:rsid w:val="004F2712"/>
    <w:rsid w:val="004F37F1"/>
    <w:rsid w:val="004F4A5F"/>
    <w:rsid w:val="004F54EF"/>
    <w:rsid w:val="004F638D"/>
    <w:rsid w:val="004F6CC6"/>
    <w:rsid w:val="004F7028"/>
    <w:rsid w:val="004F7205"/>
    <w:rsid w:val="004F755C"/>
    <w:rsid w:val="00500872"/>
    <w:rsid w:val="00500B8F"/>
    <w:rsid w:val="00500D5D"/>
    <w:rsid w:val="005024E1"/>
    <w:rsid w:val="00502DA3"/>
    <w:rsid w:val="005039CC"/>
    <w:rsid w:val="00504396"/>
    <w:rsid w:val="0050464B"/>
    <w:rsid w:val="00504FC1"/>
    <w:rsid w:val="00506D3A"/>
    <w:rsid w:val="0050716B"/>
    <w:rsid w:val="00507764"/>
    <w:rsid w:val="00507B1A"/>
    <w:rsid w:val="005102A9"/>
    <w:rsid w:val="005107F9"/>
    <w:rsid w:val="005112BC"/>
    <w:rsid w:val="00511464"/>
    <w:rsid w:val="00511491"/>
    <w:rsid w:val="00512465"/>
    <w:rsid w:val="00512992"/>
    <w:rsid w:val="00512BBA"/>
    <w:rsid w:val="0051346F"/>
    <w:rsid w:val="0051521F"/>
    <w:rsid w:val="00515247"/>
    <w:rsid w:val="005153A4"/>
    <w:rsid w:val="00516B84"/>
    <w:rsid w:val="0051745D"/>
    <w:rsid w:val="005174B9"/>
    <w:rsid w:val="005202C9"/>
    <w:rsid w:val="005204BD"/>
    <w:rsid w:val="0052122F"/>
    <w:rsid w:val="00521693"/>
    <w:rsid w:val="0052201B"/>
    <w:rsid w:val="005222DC"/>
    <w:rsid w:val="00522B69"/>
    <w:rsid w:val="00522E86"/>
    <w:rsid w:val="00524008"/>
    <w:rsid w:val="005241C2"/>
    <w:rsid w:val="00524612"/>
    <w:rsid w:val="005258E3"/>
    <w:rsid w:val="00525968"/>
    <w:rsid w:val="00527555"/>
    <w:rsid w:val="005275BC"/>
    <w:rsid w:val="00527708"/>
    <w:rsid w:val="00527D42"/>
    <w:rsid w:val="00527EE8"/>
    <w:rsid w:val="0053006D"/>
    <w:rsid w:val="0053026F"/>
    <w:rsid w:val="0053033D"/>
    <w:rsid w:val="00530446"/>
    <w:rsid w:val="00530F73"/>
    <w:rsid w:val="00531653"/>
    <w:rsid w:val="00531676"/>
    <w:rsid w:val="0053280D"/>
    <w:rsid w:val="00533161"/>
    <w:rsid w:val="00533EB8"/>
    <w:rsid w:val="005340A2"/>
    <w:rsid w:val="00534200"/>
    <w:rsid w:val="005346FF"/>
    <w:rsid w:val="00534FD7"/>
    <w:rsid w:val="00535313"/>
    <w:rsid w:val="00536606"/>
    <w:rsid w:val="0053750C"/>
    <w:rsid w:val="005376C3"/>
    <w:rsid w:val="00537B54"/>
    <w:rsid w:val="00540583"/>
    <w:rsid w:val="005407F8"/>
    <w:rsid w:val="005415F8"/>
    <w:rsid w:val="00543609"/>
    <w:rsid w:val="00543DEB"/>
    <w:rsid w:val="00544B9B"/>
    <w:rsid w:val="00545227"/>
    <w:rsid w:val="00545D48"/>
    <w:rsid w:val="005460B2"/>
    <w:rsid w:val="00546CE8"/>
    <w:rsid w:val="005470AA"/>
    <w:rsid w:val="00547730"/>
    <w:rsid w:val="00547B4D"/>
    <w:rsid w:val="0055046B"/>
    <w:rsid w:val="00550637"/>
    <w:rsid w:val="00550DA2"/>
    <w:rsid w:val="005522A7"/>
    <w:rsid w:val="00552BA8"/>
    <w:rsid w:val="00552F9A"/>
    <w:rsid w:val="00553E20"/>
    <w:rsid w:val="00554406"/>
    <w:rsid w:val="00554762"/>
    <w:rsid w:val="00554E34"/>
    <w:rsid w:val="00555876"/>
    <w:rsid w:val="00556580"/>
    <w:rsid w:val="00556736"/>
    <w:rsid w:val="00556A68"/>
    <w:rsid w:val="00557D5C"/>
    <w:rsid w:val="00557F7C"/>
    <w:rsid w:val="005600BF"/>
    <w:rsid w:val="0056021B"/>
    <w:rsid w:val="0056121E"/>
    <w:rsid w:val="005614F3"/>
    <w:rsid w:val="00562AF3"/>
    <w:rsid w:val="00563233"/>
    <w:rsid w:val="0056327E"/>
    <w:rsid w:val="00564B5F"/>
    <w:rsid w:val="00564CCF"/>
    <w:rsid w:val="005655AB"/>
    <w:rsid w:val="00565E27"/>
    <w:rsid w:val="0056707F"/>
    <w:rsid w:val="00567717"/>
    <w:rsid w:val="00567897"/>
    <w:rsid w:val="005678C0"/>
    <w:rsid w:val="00570652"/>
    <w:rsid w:val="00570AAB"/>
    <w:rsid w:val="005713DD"/>
    <w:rsid w:val="005728BD"/>
    <w:rsid w:val="00572A90"/>
    <w:rsid w:val="00572F30"/>
    <w:rsid w:val="00572FA4"/>
    <w:rsid w:val="00573BD8"/>
    <w:rsid w:val="0057437D"/>
    <w:rsid w:val="005745F6"/>
    <w:rsid w:val="005747B2"/>
    <w:rsid w:val="0057551E"/>
    <w:rsid w:val="00575D48"/>
    <w:rsid w:val="005761D6"/>
    <w:rsid w:val="005764BF"/>
    <w:rsid w:val="005800CE"/>
    <w:rsid w:val="00580232"/>
    <w:rsid w:val="005802AE"/>
    <w:rsid w:val="00581025"/>
    <w:rsid w:val="0058162D"/>
    <w:rsid w:val="005816C0"/>
    <w:rsid w:val="00581A4E"/>
    <w:rsid w:val="00581B82"/>
    <w:rsid w:val="00581F61"/>
    <w:rsid w:val="005823BF"/>
    <w:rsid w:val="00582930"/>
    <w:rsid w:val="0058309A"/>
    <w:rsid w:val="00583B36"/>
    <w:rsid w:val="00584627"/>
    <w:rsid w:val="00584DF5"/>
    <w:rsid w:val="005858D8"/>
    <w:rsid w:val="00585D90"/>
    <w:rsid w:val="00585E0E"/>
    <w:rsid w:val="005867B0"/>
    <w:rsid w:val="00586E87"/>
    <w:rsid w:val="00587897"/>
    <w:rsid w:val="005878CA"/>
    <w:rsid w:val="00587D41"/>
    <w:rsid w:val="00590064"/>
    <w:rsid w:val="00590127"/>
    <w:rsid w:val="00590344"/>
    <w:rsid w:val="005908A6"/>
    <w:rsid w:val="00590C41"/>
    <w:rsid w:val="0059168C"/>
    <w:rsid w:val="00591CDA"/>
    <w:rsid w:val="00592BE8"/>
    <w:rsid w:val="00593581"/>
    <w:rsid w:val="00593858"/>
    <w:rsid w:val="00594DEA"/>
    <w:rsid w:val="005955E9"/>
    <w:rsid w:val="00595B92"/>
    <w:rsid w:val="00596B76"/>
    <w:rsid w:val="0059797B"/>
    <w:rsid w:val="005A073E"/>
    <w:rsid w:val="005A0886"/>
    <w:rsid w:val="005A0D2A"/>
    <w:rsid w:val="005A1ECD"/>
    <w:rsid w:val="005A1FBA"/>
    <w:rsid w:val="005A2266"/>
    <w:rsid w:val="005A25E9"/>
    <w:rsid w:val="005A29C1"/>
    <w:rsid w:val="005A393A"/>
    <w:rsid w:val="005A3995"/>
    <w:rsid w:val="005A3BB9"/>
    <w:rsid w:val="005A4240"/>
    <w:rsid w:val="005A4FE0"/>
    <w:rsid w:val="005A65E8"/>
    <w:rsid w:val="005A694C"/>
    <w:rsid w:val="005A728A"/>
    <w:rsid w:val="005A7591"/>
    <w:rsid w:val="005B01C1"/>
    <w:rsid w:val="005B13D0"/>
    <w:rsid w:val="005B15ED"/>
    <w:rsid w:val="005B186F"/>
    <w:rsid w:val="005B1CE1"/>
    <w:rsid w:val="005B2716"/>
    <w:rsid w:val="005B2F77"/>
    <w:rsid w:val="005B4EE6"/>
    <w:rsid w:val="005B5340"/>
    <w:rsid w:val="005B65CC"/>
    <w:rsid w:val="005B69FF"/>
    <w:rsid w:val="005B6AF8"/>
    <w:rsid w:val="005B6C28"/>
    <w:rsid w:val="005B73C1"/>
    <w:rsid w:val="005C0200"/>
    <w:rsid w:val="005C02F3"/>
    <w:rsid w:val="005C0AE0"/>
    <w:rsid w:val="005C0CB1"/>
    <w:rsid w:val="005C0D72"/>
    <w:rsid w:val="005C15EE"/>
    <w:rsid w:val="005C1968"/>
    <w:rsid w:val="005C26DD"/>
    <w:rsid w:val="005C281B"/>
    <w:rsid w:val="005C2913"/>
    <w:rsid w:val="005C293C"/>
    <w:rsid w:val="005C31FD"/>
    <w:rsid w:val="005C3212"/>
    <w:rsid w:val="005C51CD"/>
    <w:rsid w:val="005C5556"/>
    <w:rsid w:val="005C557B"/>
    <w:rsid w:val="005C55F4"/>
    <w:rsid w:val="005C5A1F"/>
    <w:rsid w:val="005C5A48"/>
    <w:rsid w:val="005C5BB9"/>
    <w:rsid w:val="005C5FAC"/>
    <w:rsid w:val="005C63B7"/>
    <w:rsid w:val="005C6898"/>
    <w:rsid w:val="005C6C27"/>
    <w:rsid w:val="005C73E0"/>
    <w:rsid w:val="005C77E4"/>
    <w:rsid w:val="005D1911"/>
    <w:rsid w:val="005D1A99"/>
    <w:rsid w:val="005D24F1"/>
    <w:rsid w:val="005D3AB6"/>
    <w:rsid w:val="005D4B18"/>
    <w:rsid w:val="005D57A4"/>
    <w:rsid w:val="005D5A56"/>
    <w:rsid w:val="005D6884"/>
    <w:rsid w:val="005D6B50"/>
    <w:rsid w:val="005D6B83"/>
    <w:rsid w:val="005D7400"/>
    <w:rsid w:val="005D77C4"/>
    <w:rsid w:val="005D7B8C"/>
    <w:rsid w:val="005E097B"/>
    <w:rsid w:val="005E12FA"/>
    <w:rsid w:val="005E14C2"/>
    <w:rsid w:val="005E18B8"/>
    <w:rsid w:val="005E25F9"/>
    <w:rsid w:val="005E3D8B"/>
    <w:rsid w:val="005E41E1"/>
    <w:rsid w:val="005E4456"/>
    <w:rsid w:val="005E479D"/>
    <w:rsid w:val="005E48B1"/>
    <w:rsid w:val="005E4920"/>
    <w:rsid w:val="005E4C93"/>
    <w:rsid w:val="005E4D85"/>
    <w:rsid w:val="005E5562"/>
    <w:rsid w:val="005E5598"/>
    <w:rsid w:val="005E5986"/>
    <w:rsid w:val="005E5E96"/>
    <w:rsid w:val="005E601F"/>
    <w:rsid w:val="005E64C6"/>
    <w:rsid w:val="005E69EF"/>
    <w:rsid w:val="005E6A1F"/>
    <w:rsid w:val="005E7BDF"/>
    <w:rsid w:val="005F10A8"/>
    <w:rsid w:val="005F17AA"/>
    <w:rsid w:val="005F185B"/>
    <w:rsid w:val="005F1CA8"/>
    <w:rsid w:val="005F2B33"/>
    <w:rsid w:val="005F35C0"/>
    <w:rsid w:val="005F3C23"/>
    <w:rsid w:val="005F3EB4"/>
    <w:rsid w:val="005F42C4"/>
    <w:rsid w:val="005F4B54"/>
    <w:rsid w:val="005F57E2"/>
    <w:rsid w:val="005F5FB3"/>
    <w:rsid w:val="005F6A47"/>
    <w:rsid w:val="005F72A1"/>
    <w:rsid w:val="006006E0"/>
    <w:rsid w:val="00600742"/>
    <w:rsid w:val="00600B5F"/>
    <w:rsid w:val="00601DA0"/>
    <w:rsid w:val="00601F48"/>
    <w:rsid w:val="00601F93"/>
    <w:rsid w:val="006025C6"/>
    <w:rsid w:val="00603036"/>
    <w:rsid w:val="00603224"/>
    <w:rsid w:val="00603297"/>
    <w:rsid w:val="006035B5"/>
    <w:rsid w:val="006036D7"/>
    <w:rsid w:val="00603A5E"/>
    <w:rsid w:val="00603FFD"/>
    <w:rsid w:val="00605819"/>
    <w:rsid w:val="00605880"/>
    <w:rsid w:val="0060670A"/>
    <w:rsid w:val="00607070"/>
    <w:rsid w:val="00607352"/>
    <w:rsid w:val="00607EF4"/>
    <w:rsid w:val="00610326"/>
    <w:rsid w:val="00610800"/>
    <w:rsid w:val="00610FCA"/>
    <w:rsid w:val="0061107B"/>
    <w:rsid w:val="00611A32"/>
    <w:rsid w:val="00611A57"/>
    <w:rsid w:val="00612799"/>
    <w:rsid w:val="006147FC"/>
    <w:rsid w:val="00614C03"/>
    <w:rsid w:val="006159C5"/>
    <w:rsid w:val="00616085"/>
    <w:rsid w:val="0061689B"/>
    <w:rsid w:val="00616A9B"/>
    <w:rsid w:val="006208F6"/>
    <w:rsid w:val="00621165"/>
    <w:rsid w:val="00621654"/>
    <w:rsid w:val="00621C5D"/>
    <w:rsid w:val="00622020"/>
    <w:rsid w:val="00622032"/>
    <w:rsid w:val="006232C4"/>
    <w:rsid w:val="006240B5"/>
    <w:rsid w:val="00624190"/>
    <w:rsid w:val="0062494F"/>
    <w:rsid w:val="006255B5"/>
    <w:rsid w:val="006258A1"/>
    <w:rsid w:val="00625D40"/>
    <w:rsid w:val="00625EBC"/>
    <w:rsid w:val="006271B0"/>
    <w:rsid w:val="006273B7"/>
    <w:rsid w:val="0063107B"/>
    <w:rsid w:val="00631497"/>
    <w:rsid w:val="006317D8"/>
    <w:rsid w:val="00632AA1"/>
    <w:rsid w:val="006334BC"/>
    <w:rsid w:val="00633ADE"/>
    <w:rsid w:val="00634503"/>
    <w:rsid w:val="00634BBC"/>
    <w:rsid w:val="00635A4B"/>
    <w:rsid w:val="00635A7C"/>
    <w:rsid w:val="00635BB8"/>
    <w:rsid w:val="00636A18"/>
    <w:rsid w:val="00641625"/>
    <w:rsid w:val="0064179D"/>
    <w:rsid w:val="006419A3"/>
    <w:rsid w:val="00644469"/>
    <w:rsid w:val="00644F4A"/>
    <w:rsid w:val="00644FFE"/>
    <w:rsid w:val="00645042"/>
    <w:rsid w:val="00646B31"/>
    <w:rsid w:val="00646DE4"/>
    <w:rsid w:val="0064702A"/>
    <w:rsid w:val="00650BFF"/>
    <w:rsid w:val="00652E91"/>
    <w:rsid w:val="00653420"/>
    <w:rsid w:val="006543A5"/>
    <w:rsid w:val="00654768"/>
    <w:rsid w:val="00655105"/>
    <w:rsid w:val="00655195"/>
    <w:rsid w:val="006556A2"/>
    <w:rsid w:val="006558F9"/>
    <w:rsid w:val="00655F35"/>
    <w:rsid w:val="00656190"/>
    <w:rsid w:val="006562B1"/>
    <w:rsid w:val="006570B7"/>
    <w:rsid w:val="00657112"/>
    <w:rsid w:val="0065784B"/>
    <w:rsid w:val="00657B67"/>
    <w:rsid w:val="0066013E"/>
    <w:rsid w:val="00660644"/>
    <w:rsid w:val="0066220D"/>
    <w:rsid w:val="00662238"/>
    <w:rsid w:val="006626A1"/>
    <w:rsid w:val="00662D43"/>
    <w:rsid w:val="006630D0"/>
    <w:rsid w:val="00663184"/>
    <w:rsid w:val="00663C79"/>
    <w:rsid w:val="00663D67"/>
    <w:rsid w:val="00663E82"/>
    <w:rsid w:val="00663FFF"/>
    <w:rsid w:val="00664330"/>
    <w:rsid w:val="006645F5"/>
    <w:rsid w:val="00664970"/>
    <w:rsid w:val="0066759B"/>
    <w:rsid w:val="006678B6"/>
    <w:rsid w:val="00667A57"/>
    <w:rsid w:val="006704B1"/>
    <w:rsid w:val="00671754"/>
    <w:rsid w:val="00671B05"/>
    <w:rsid w:val="00672126"/>
    <w:rsid w:val="00672767"/>
    <w:rsid w:val="006728CD"/>
    <w:rsid w:val="00672982"/>
    <w:rsid w:val="0067368B"/>
    <w:rsid w:val="00673BF4"/>
    <w:rsid w:val="00673F9D"/>
    <w:rsid w:val="006746F2"/>
    <w:rsid w:val="0067471A"/>
    <w:rsid w:val="0067505C"/>
    <w:rsid w:val="00675301"/>
    <w:rsid w:val="00676034"/>
    <w:rsid w:val="006800CC"/>
    <w:rsid w:val="00680877"/>
    <w:rsid w:val="00681228"/>
    <w:rsid w:val="006813CF"/>
    <w:rsid w:val="00681D83"/>
    <w:rsid w:val="0068483F"/>
    <w:rsid w:val="00685567"/>
    <w:rsid w:val="00685633"/>
    <w:rsid w:val="00686378"/>
    <w:rsid w:val="00687457"/>
    <w:rsid w:val="00690C28"/>
    <w:rsid w:val="00691679"/>
    <w:rsid w:val="00691AC3"/>
    <w:rsid w:val="00692216"/>
    <w:rsid w:val="00692B95"/>
    <w:rsid w:val="00693274"/>
    <w:rsid w:val="00693287"/>
    <w:rsid w:val="00693FAE"/>
    <w:rsid w:val="00694728"/>
    <w:rsid w:val="00695791"/>
    <w:rsid w:val="00695E01"/>
    <w:rsid w:val="00695E1F"/>
    <w:rsid w:val="00696AD8"/>
    <w:rsid w:val="00696FDF"/>
    <w:rsid w:val="006974D6"/>
    <w:rsid w:val="0069760D"/>
    <w:rsid w:val="006A03F6"/>
    <w:rsid w:val="006A087D"/>
    <w:rsid w:val="006A0C7C"/>
    <w:rsid w:val="006A1EC3"/>
    <w:rsid w:val="006A3B2D"/>
    <w:rsid w:val="006A3C13"/>
    <w:rsid w:val="006A3C57"/>
    <w:rsid w:val="006A3F90"/>
    <w:rsid w:val="006A4839"/>
    <w:rsid w:val="006A4AA6"/>
    <w:rsid w:val="006A4D34"/>
    <w:rsid w:val="006A6B88"/>
    <w:rsid w:val="006A6BC5"/>
    <w:rsid w:val="006A715A"/>
    <w:rsid w:val="006A7416"/>
    <w:rsid w:val="006A7474"/>
    <w:rsid w:val="006A74B5"/>
    <w:rsid w:val="006A7C91"/>
    <w:rsid w:val="006A7D08"/>
    <w:rsid w:val="006B0238"/>
    <w:rsid w:val="006B15D6"/>
    <w:rsid w:val="006B17DA"/>
    <w:rsid w:val="006B2C20"/>
    <w:rsid w:val="006B365B"/>
    <w:rsid w:val="006B45B0"/>
    <w:rsid w:val="006B4709"/>
    <w:rsid w:val="006B4990"/>
    <w:rsid w:val="006B60C4"/>
    <w:rsid w:val="006B622C"/>
    <w:rsid w:val="006B7260"/>
    <w:rsid w:val="006B793C"/>
    <w:rsid w:val="006B7E8E"/>
    <w:rsid w:val="006C160F"/>
    <w:rsid w:val="006C1C66"/>
    <w:rsid w:val="006C3554"/>
    <w:rsid w:val="006C38E1"/>
    <w:rsid w:val="006C50E6"/>
    <w:rsid w:val="006C7C81"/>
    <w:rsid w:val="006C7D47"/>
    <w:rsid w:val="006D0210"/>
    <w:rsid w:val="006D0384"/>
    <w:rsid w:val="006D0416"/>
    <w:rsid w:val="006D0A15"/>
    <w:rsid w:val="006D1992"/>
    <w:rsid w:val="006D1A41"/>
    <w:rsid w:val="006D1F86"/>
    <w:rsid w:val="006D22EC"/>
    <w:rsid w:val="006D22F3"/>
    <w:rsid w:val="006D2CAE"/>
    <w:rsid w:val="006D3177"/>
    <w:rsid w:val="006D375F"/>
    <w:rsid w:val="006D3D19"/>
    <w:rsid w:val="006E0B12"/>
    <w:rsid w:val="006E10B7"/>
    <w:rsid w:val="006E11A5"/>
    <w:rsid w:val="006E1F10"/>
    <w:rsid w:val="006E2667"/>
    <w:rsid w:val="006E2749"/>
    <w:rsid w:val="006E2E5F"/>
    <w:rsid w:val="006E40D3"/>
    <w:rsid w:val="006E42A4"/>
    <w:rsid w:val="006E46C1"/>
    <w:rsid w:val="006E4B07"/>
    <w:rsid w:val="006E551F"/>
    <w:rsid w:val="006E57DB"/>
    <w:rsid w:val="006E5882"/>
    <w:rsid w:val="006E6D23"/>
    <w:rsid w:val="006E7956"/>
    <w:rsid w:val="006F006A"/>
    <w:rsid w:val="006F111C"/>
    <w:rsid w:val="006F15C2"/>
    <w:rsid w:val="006F19DA"/>
    <w:rsid w:val="006F1A3B"/>
    <w:rsid w:val="006F2026"/>
    <w:rsid w:val="006F3684"/>
    <w:rsid w:val="006F3B4F"/>
    <w:rsid w:val="006F45F7"/>
    <w:rsid w:val="006F484B"/>
    <w:rsid w:val="006F4D25"/>
    <w:rsid w:val="006F5C5D"/>
    <w:rsid w:val="006F5DAE"/>
    <w:rsid w:val="006F750F"/>
    <w:rsid w:val="006F7532"/>
    <w:rsid w:val="006F797F"/>
    <w:rsid w:val="0070071E"/>
    <w:rsid w:val="00700AF1"/>
    <w:rsid w:val="0070118F"/>
    <w:rsid w:val="007012C7"/>
    <w:rsid w:val="00702A5A"/>
    <w:rsid w:val="00703676"/>
    <w:rsid w:val="007046CF"/>
    <w:rsid w:val="0070472B"/>
    <w:rsid w:val="00705764"/>
    <w:rsid w:val="00705BAD"/>
    <w:rsid w:val="0070731A"/>
    <w:rsid w:val="00707FF4"/>
    <w:rsid w:val="007108BD"/>
    <w:rsid w:val="00711DD3"/>
    <w:rsid w:val="00711EEB"/>
    <w:rsid w:val="007123DE"/>
    <w:rsid w:val="007132D9"/>
    <w:rsid w:val="007134DD"/>
    <w:rsid w:val="00714839"/>
    <w:rsid w:val="00714961"/>
    <w:rsid w:val="0071538F"/>
    <w:rsid w:val="00715698"/>
    <w:rsid w:val="00715B8F"/>
    <w:rsid w:val="00715C4F"/>
    <w:rsid w:val="00716666"/>
    <w:rsid w:val="00717197"/>
    <w:rsid w:val="007172B7"/>
    <w:rsid w:val="0072085E"/>
    <w:rsid w:val="00721602"/>
    <w:rsid w:val="00724367"/>
    <w:rsid w:val="007245E8"/>
    <w:rsid w:val="0072464D"/>
    <w:rsid w:val="00724699"/>
    <w:rsid w:val="00724A34"/>
    <w:rsid w:val="00724FF7"/>
    <w:rsid w:val="00725F4E"/>
    <w:rsid w:val="00726C9B"/>
    <w:rsid w:val="00727DCC"/>
    <w:rsid w:val="00727ED0"/>
    <w:rsid w:val="007300D2"/>
    <w:rsid w:val="00730E20"/>
    <w:rsid w:val="00731F51"/>
    <w:rsid w:val="00732D2E"/>
    <w:rsid w:val="00732FBA"/>
    <w:rsid w:val="00733D53"/>
    <w:rsid w:val="00733EBC"/>
    <w:rsid w:val="00734CA9"/>
    <w:rsid w:val="0073541D"/>
    <w:rsid w:val="00735B82"/>
    <w:rsid w:val="00735CA5"/>
    <w:rsid w:val="00736848"/>
    <w:rsid w:val="007370D1"/>
    <w:rsid w:val="0073789C"/>
    <w:rsid w:val="00741083"/>
    <w:rsid w:val="007411BD"/>
    <w:rsid w:val="007416CA"/>
    <w:rsid w:val="00742754"/>
    <w:rsid w:val="00742C78"/>
    <w:rsid w:val="00743C62"/>
    <w:rsid w:val="00743F4B"/>
    <w:rsid w:val="0074480B"/>
    <w:rsid w:val="00744C37"/>
    <w:rsid w:val="00745273"/>
    <w:rsid w:val="00746F12"/>
    <w:rsid w:val="00747289"/>
    <w:rsid w:val="0074777B"/>
    <w:rsid w:val="00747E37"/>
    <w:rsid w:val="00751354"/>
    <w:rsid w:val="0075138F"/>
    <w:rsid w:val="0075189E"/>
    <w:rsid w:val="00751C27"/>
    <w:rsid w:val="00751E7E"/>
    <w:rsid w:val="0075248C"/>
    <w:rsid w:val="007541B6"/>
    <w:rsid w:val="007543EF"/>
    <w:rsid w:val="00754816"/>
    <w:rsid w:val="00754C26"/>
    <w:rsid w:val="007553E6"/>
    <w:rsid w:val="00755538"/>
    <w:rsid w:val="007555C1"/>
    <w:rsid w:val="007555EF"/>
    <w:rsid w:val="00755798"/>
    <w:rsid w:val="007562FD"/>
    <w:rsid w:val="00756D2C"/>
    <w:rsid w:val="00757C7F"/>
    <w:rsid w:val="007621D4"/>
    <w:rsid w:val="00762248"/>
    <w:rsid w:val="00762454"/>
    <w:rsid w:val="0076260D"/>
    <w:rsid w:val="0076280C"/>
    <w:rsid w:val="00762C7F"/>
    <w:rsid w:val="00762FAC"/>
    <w:rsid w:val="00763E54"/>
    <w:rsid w:val="00764240"/>
    <w:rsid w:val="0076427E"/>
    <w:rsid w:val="007649FF"/>
    <w:rsid w:val="00764DCA"/>
    <w:rsid w:val="00764E9F"/>
    <w:rsid w:val="00765857"/>
    <w:rsid w:val="007658E9"/>
    <w:rsid w:val="007661C5"/>
    <w:rsid w:val="00766CB5"/>
    <w:rsid w:val="00766E9A"/>
    <w:rsid w:val="0076782F"/>
    <w:rsid w:val="00767AC4"/>
    <w:rsid w:val="00767BC8"/>
    <w:rsid w:val="007703FD"/>
    <w:rsid w:val="00770752"/>
    <w:rsid w:val="00770B0A"/>
    <w:rsid w:val="00771F59"/>
    <w:rsid w:val="007729B6"/>
    <w:rsid w:val="007732FC"/>
    <w:rsid w:val="00773703"/>
    <w:rsid w:val="00773D10"/>
    <w:rsid w:val="0077490F"/>
    <w:rsid w:val="0077535C"/>
    <w:rsid w:val="00775E6F"/>
    <w:rsid w:val="0077619A"/>
    <w:rsid w:val="0077653D"/>
    <w:rsid w:val="00776F09"/>
    <w:rsid w:val="0077703D"/>
    <w:rsid w:val="00777F4C"/>
    <w:rsid w:val="0078146B"/>
    <w:rsid w:val="00782341"/>
    <w:rsid w:val="00782845"/>
    <w:rsid w:val="00782C94"/>
    <w:rsid w:val="0078355D"/>
    <w:rsid w:val="00783EDB"/>
    <w:rsid w:val="00784147"/>
    <w:rsid w:val="00784A49"/>
    <w:rsid w:val="00784D31"/>
    <w:rsid w:val="007902DF"/>
    <w:rsid w:val="007906D2"/>
    <w:rsid w:val="0079106A"/>
    <w:rsid w:val="007916D0"/>
    <w:rsid w:val="007918EA"/>
    <w:rsid w:val="007919C0"/>
    <w:rsid w:val="00791BD0"/>
    <w:rsid w:val="00791F1B"/>
    <w:rsid w:val="007924FB"/>
    <w:rsid w:val="00793381"/>
    <w:rsid w:val="007934D8"/>
    <w:rsid w:val="00793651"/>
    <w:rsid w:val="0079374F"/>
    <w:rsid w:val="00794300"/>
    <w:rsid w:val="00794D07"/>
    <w:rsid w:val="00794DAD"/>
    <w:rsid w:val="00795C2B"/>
    <w:rsid w:val="0079699E"/>
    <w:rsid w:val="00796E50"/>
    <w:rsid w:val="00796F96"/>
    <w:rsid w:val="00797790"/>
    <w:rsid w:val="00797B87"/>
    <w:rsid w:val="00797C52"/>
    <w:rsid w:val="00797FCC"/>
    <w:rsid w:val="007A007D"/>
    <w:rsid w:val="007A0FF0"/>
    <w:rsid w:val="007A303D"/>
    <w:rsid w:val="007A35CD"/>
    <w:rsid w:val="007A3A21"/>
    <w:rsid w:val="007A4292"/>
    <w:rsid w:val="007A42FF"/>
    <w:rsid w:val="007A48E9"/>
    <w:rsid w:val="007A492D"/>
    <w:rsid w:val="007A4E22"/>
    <w:rsid w:val="007A52E0"/>
    <w:rsid w:val="007A5FAD"/>
    <w:rsid w:val="007A6018"/>
    <w:rsid w:val="007B0193"/>
    <w:rsid w:val="007B039B"/>
    <w:rsid w:val="007B09AE"/>
    <w:rsid w:val="007B0FCB"/>
    <w:rsid w:val="007B2124"/>
    <w:rsid w:val="007B29F8"/>
    <w:rsid w:val="007B37BF"/>
    <w:rsid w:val="007B3EE2"/>
    <w:rsid w:val="007B47B3"/>
    <w:rsid w:val="007B5409"/>
    <w:rsid w:val="007B5E87"/>
    <w:rsid w:val="007B6865"/>
    <w:rsid w:val="007B6A08"/>
    <w:rsid w:val="007B6A5B"/>
    <w:rsid w:val="007B7B9B"/>
    <w:rsid w:val="007C07DC"/>
    <w:rsid w:val="007C08A9"/>
    <w:rsid w:val="007C1AC0"/>
    <w:rsid w:val="007C27EB"/>
    <w:rsid w:val="007C3530"/>
    <w:rsid w:val="007C400A"/>
    <w:rsid w:val="007C4352"/>
    <w:rsid w:val="007C4FC2"/>
    <w:rsid w:val="007C51BC"/>
    <w:rsid w:val="007C555E"/>
    <w:rsid w:val="007C585C"/>
    <w:rsid w:val="007C5DEE"/>
    <w:rsid w:val="007C6145"/>
    <w:rsid w:val="007C6280"/>
    <w:rsid w:val="007C634D"/>
    <w:rsid w:val="007C6514"/>
    <w:rsid w:val="007C680E"/>
    <w:rsid w:val="007C6852"/>
    <w:rsid w:val="007C6B5C"/>
    <w:rsid w:val="007C6EB8"/>
    <w:rsid w:val="007C6F9B"/>
    <w:rsid w:val="007D0F74"/>
    <w:rsid w:val="007D140E"/>
    <w:rsid w:val="007D178C"/>
    <w:rsid w:val="007D2191"/>
    <w:rsid w:val="007D2877"/>
    <w:rsid w:val="007D3C2B"/>
    <w:rsid w:val="007D3C47"/>
    <w:rsid w:val="007D3F70"/>
    <w:rsid w:val="007D4036"/>
    <w:rsid w:val="007D4B64"/>
    <w:rsid w:val="007D52E2"/>
    <w:rsid w:val="007D55FC"/>
    <w:rsid w:val="007D5A9A"/>
    <w:rsid w:val="007D5EF9"/>
    <w:rsid w:val="007D6BB2"/>
    <w:rsid w:val="007D7B16"/>
    <w:rsid w:val="007E0C4D"/>
    <w:rsid w:val="007E0CA0"/>
    <w:rsid w:val="007E0EAF"/>
    <w:rsid w:val="007E0FB7"/>
    <w:rsid w:val="007E16ED"/>
    <w:rsid w:val="007E17F5"/>
    <w:rsid w:val="007E203E"/>
    <w:rsid w:val="007E2123"/>
    <w:rsid w:val="007E2E88"/>
    <w:rsid w:val="007E37A1"/>
    <w:rsid w:val="007E4E62"/>
    <w:rsid w:val="007E5624"/>
    <w:rsid w:val="007E59DE"/>
    <w:rsid w:val="007E6E96"/>
    <w:rsid w:val="007E7554"/>
    <w:rsid w:val="007E75BC"/>
    <w:rsid w:val="007F0112"/>
    <w:rsid w:val="007F0B30"/>
    <w:rsid w:val="007F15BB"/>
    <w:rsid w:val="007F15BD"/>
    <w:rsid w:val="007F178C"/>
    <w:rsid w:val="007F17C1"/>
    <w:rsid w:val="007F2535"/>
    <w:rsid w:val="007F2740"/>
    <w:rsid w:val="007F27E7"/>
    <w:rsid w:val="007F3E2D"/>
    <w:rsid w:val="007F4199"/>
    <w:rsid w:val="007F5027"/>
    <w:rsid w:val="007F555E"/>
    <w:rsid w:val="007F5BA5"/>
    <w:rsid w:val="007F6B33"/>
    <w:rsid w:val="007F78DC"/>
    <w:rsid w:val="007F7C05"/>
    <w:rsid w:val="0080136B"/>
    <w:rsid w:val="00802A71"/>
    <w:rsid w:val="008048A0"/>
    <w:rsid w:val="00804D7D"/>
    <w:rsid w:val="008055EB"/>
    <w:rsid w:val="008056D7"/>
    <w:rsid w:val="008069CE"/>
    <w:rsid w:val="00807622"/>
    <w:rsid w:val="00807745"/>
    <w:rsid w:val="00807916"/>
    <w:rsid w:val="00807A71"/>
    <w:rsid w:val="008107CF"/>
    <w:rsid w:val="00810B78"/>
    <w:rsid w:val="00810BBD"/>
    <w:rsid w:val="00811301"/>
    <w:rsid w:val="0081139C"/>
    <w:rsid w:val="008115BA"/>
    <w:rsid w:val="008118FE"/>
    <w:rsid w:val="00811D36"/>
    <w:rsid w:val="00812096"/>
    <w:rsid w:val="00812FC7"/>
    <w:rsid w:val="00813168"/>
    <w:rsid w:val="008134D1"/>
    <w:rsid w:val="0081381C"/>
    <w:rsid w:val="008149AA"/>
    <w:rsid w:val="00814ADD"/>
    <w:rsid w:val="0081544B"/>
    <w:rsid w:val="00815E5F"/>
    <w:rsid w:val="0081622F"/>
    <w:rsid w:val="00817970"/>
    <w:rsid w:val="00817DBC"/>
    <w:rsid w:val="00817E4D"/>
    <w:rsid w:val="008205B8"/>
    <w:rsid w:val="0082086F"/>
    <w:rsid w:val="00820BBE"/>
    <w:rsid w:val="008212DC"/>
    <w:rsid w:val="00821F40"/>
    <w:rsid w:val="0082289F"/>
    <w:rsid w:val="00823F79"/>
    <w:rsid w:val="00824B8D"/>
    <w:rsid w:val="00824C85"/>
    <w:rsid w:val="00824FCA"/>
    <w:rsid w:val="00825549"/>
    <w:rsid w:val="00825EF6"/>
    <w:rsid w:val="00827048"/>
    <w:rsid w:val="0083187C"/>
    <w:rsid w:val="008327E2"/>
    <w:rsid w:val="00833091"/>
    <w:rsid w:val="00833BA2"/>
    <w:rsid w:val="00833DD3"/>
    <w:rsid w:val="008348CE"/>
    <w:rsid w:val="008361E1"/>
    <w:rsid w:val="0083636F"/>
    <w:rsid w:val="0083645B"/>
    <w:rsid w:val="00836533"/>
    <w:rsid w:val="00836F1B"/>
    <w:rsid w:val="00837482"/>
    <w:rsid w:val="00840726"/>
    <w:rsid w:val="008408D8"/>
    <w:rsid w:val="00840C48"/>
    <w:rsid w:val="00840DC7"/>
    <w:rsid w:val="00840E37"/>
    <w:rsid w:val="00840E80"/>
    <w:rsid w:val="008411AD"/>
    <w:rsid w:val="008418D3"/>
    <w:rsid w:val="00841FB2"/>
    <w:rsid w:val="00842F4D"/>
    <w:rsid w:val="0084359F"/>
    <w:rsid w:val="0084445D"/>
    <w:rsid w:val="00844E51"/>
    <w:rsid w:val="00845F5F"/>
    <w:rsid w:val="008465A1"/>
    <w:rsid w:val="00846AC9"/>
    <w:rsid w:val="008470DF"/>
    <w:rsid w:val="00847BA4"/>
    <w:rsid w:val="00847FF5"/>
    <w:rsid w:val="00851620"/>
    <w:rsid w:val="008517B5"/>
    <w:rsid w:val="0085185F"/>
    <w:rsid w:val="0085192F"/>
    <w:rsid w:val="00853934"/>
    <w:rsid w:val="00853E73"/>
    <w:rsid w:val="008542E1"/>
    <w:rsid w:val="008542F5"/>
    <w:rsid w:val="0085546A"/>
    <w:rsid w:val="00857674"/>
    <w:rsid w:val="00860374"/>
    <w:rsid w:val="00860DDD"/>
    <w:rsid w:val="008610D3"/>
    <w:rsid w:val="0086193B"/>
    <w:rsid w:val="00862327"/>
    <w:rsid w:val="0086250B"/>
    <w:rsid w:val="00862CDB"/>
    <w:rsid w:val="00862F1E"/>
    <w:rsid w:val="008634D3"/>
    <w:rsid w:val="0086383D"/>
    <w:rsid w:val="008647B1"/>
    <w:rsid w:val="008654AB"/>
    <w:rsid w:val="0086598F"/>
    <w:rsid w:val="00865A35"/>
    <w:rsid w:val="008661B0"/>
    <w:rsid w:val="0086646F"/>
    <w:rsid w:val="00866594"/>
    <w:rsid w:val="0086662D"/>
    <w:rsid w:val="00866C7E"/>
    <w:rsid w:val="00867309"/>
    <w:rsid w:val="00867860"/>
    <w:rsid w:val="00867F35"/>
    <w:rsid w:val="008701DD"/>
    <w:rsid w:val="0087066E"/>
    <w:rsid w:val="008709B6"/>
    <w:rsid w:val="00870B02"/>
    <w:rsid w:val="008713D4"/>
    <w:rsid w:val="00871402"/>
    <w:rsid w:val="00871E40"/>
    <w:rsid w:val="00872624"/>
    <w:rsid w:val="008736F9"/>
    <w:rsid w:val="00873AD5"/>
    <w:rsid w:val="00873EB9"/>
    <w:rsid w:val="0087416A"/>
    <w:rsid w:val="008759A7"/>
    <w:rsid w:val="00875DED"/>
    <w:rsid w:val="0087697E"/>
    <w:rsid w:val="00877DDF"/>
    <w:rsid w:val="008801B9"/>
    <w:rsid w:val="00880BAF"/>
    <w:rsid w:val="00880F64"/>
    <w:rsid w:val="008814A1"/>
    <w:rsid w:val="00881BAF"/>
    <w:rsid w:val="0088331E"/>
    <w:rsid w:val="00883355"/>
    <w:rsid w:val="008840C0"/>
    <w:rsid w:val="008845A7"/>
    <w:rsid w:val="008845C1"/>
    <w:rsid w:val="00884CB4"/>
    <w:rsid w:val="00884D1B"/>
    <w:rsid w:val="00884D58"/>
    <w:rsid w:val="0088695A"/>
    <w:rsid w:val="00886C13"/>
    <w:rsid w:val="00886C24"/>
    <w:rsid w:val="00886E96"/>
    <w:rsid w:val="00887658"/>
    <w:rsid w:val="008904ED"/>
    <w:rsid w:val="0089050F"/>
    <w:rsid w:val="008905A4"/>
    <w:rsid w:val="00890DA3"/>
    <w:rsid w:val="00890E30"/>
    <w:rsid w:val="00890EC5"/>
    <w:rsid w:val="00891011"/>
    <w:rsid w:val="008912AF"/>
    <w:rsid w:val="008916E6"/>
    <w:rsid w:val="00891C7D"/>
    <w:rsid w:val="0089213E"/>
    <w:rsid w:val="00892448"/>
    <w:rsid w:val="0089339E"/>
    <w:rsid w:val="008936F3"/>
    <w:rsid w:val="00893C06"/>
    <w:rsid w:val="00893FFD"/>
    <w:rsid w:val="00896340"/>
    <w:rsid w:val="0089679D"/>
    <w:rsid w:val="00896F70"/>
    <w:rsid w:val="008A1110"/>
    <w:rsid w:val="008A1A3A"/>
    <w:rsid w:val="008A1D01"/>
    <w:rsid w:val="008A21A2"/>
    <w:rsid w:val="008A324C"/>
    <w:rsid w:val="008A3951"/>
    <w:rsid w:val="008A3BF3"/>
    <w:rsid w:val="008A4483"/>
    <w:rsid w:val="008A46A0"/>
    <w:rsid w:val="008A4B21"/>
    <w:rsid w:val="008A5631"/>
    <w:rsid w:val="008A5B3F"/>
    <w:rsid w:val="008A6277"/>
    <w:rsid w:val="008A75A4"/>
    <w:rsid w:val="008A785E"/>
    <w:rsid w:val="008A79C4"/>
    <w:rsid w:val="008A7A50"/>
    <w:rsid w:val="008A7A52"/>
    <w:rsid w:val="008B075F"/>
    <w:rsid w:val="008B0A44"/>
    <w:rsid w:val="008B1D73"/>
    <w:rsid w:val="008B53B4"/>
    <w:rsid w:val="008B5454"/>
    <w:rsid w:val="008B57E9"/>
    <w:rsid w:val="008B6F21"/>
    <w:rsid w:val="008C046F"/>
    <w:rsid w:val="008C07A0"/>
    <w:rsid w:val="008C08B4"/>
    <w:rsid w:val="008C0921"/>
    <w:rsid w:val="008C0BBB"/>
    <w:rsid w:val="008C1820"/>
    <w:rsid w:val="008C1B4E"/>
    <w:rsid w:val="008C28EE"/>
    <w:rsid w:val="008C492D"/>
    <w:rsid w:val="008C513D"/>
    <w:rsid w:val="008C51A9"/>
    <w:rsid w:val="008C5740"/>
    <w:rsid w:val="008C5F91"/>
    <w:rsid w:val="008C645F"/>
    <w:rsid w:val="008C6A41"/>
    <w:rsid w:val="008C6A50"/>
    <w:rsid w:val="008C6C42"/>
    <w:rsid w:val="008D0270"/>
    <w:rsid w:val="008D04EC"/>
    <w:rsid w:val="008D0CFA"/>
    <w:rsid w:val="008D0D6E"/>
    <w:rsid w:val="008D167F"/>
    <w:rsid w:val="008D318D"/>
    <w:rsid w:val="008D3CD6"/>
    <w:rsid w:val="008D446A"/>
    <w:rsid w:val="008D4C7F"/>
    <w:rsid w:val="008D4E61"/>
    <w:rsid w:val="008D589F"/>
    <w:rsid w:val="008D5A38"/>
    <w:rsid w:val="008D5F7C"/>
    <w:rsid w:val="008D6674"/>
    <w:rsid w:val="008D75AC"/>
    <w:rsid w:val="008D7974"/>
    <w:rsid w:val="008D7A2F"/>
    <w:rsid w:val="008E1EF7"/>
    <w:rsid w:val="008E1FC2"/>
    <w:rsid w:val="008E24CE"/>
    <w:rsid w:val="008E2D98"/>
    <w:rsid w:val="008E2FA7"/>
    <w:rsid w:val="008E580C"/>
    <w:rsid w:val="008E67AA"/>
    <w:rsid w:val="008E6BDD"/>
    <w:rsid w:val="008E7352"/>
    <w:rsid w:val="008E7C45"/>
    <w:rsid w:val="008F0638"/>
    <w:rsid w:val="008F09AB"/>
    <w:rsid w:val="008F0A18"/>
    <w:rsid w:val="008F1EEC"/>
    <w:rsid w:val="008F2647"/>
    <w:rsid w:val="008F2CD4"/>
    <w:rsid w:val="008F2E02"/>
    <w:rsid w:val="008F2F62"/>
    <w:rsid w:val="008F4648"/>
    <w:rsid w:val="008F57B8"/>
    <w:rsid w:val="008F5E53"/>
    <w:rsid w:val="008F5FB7"/>
    <w:rsid w:val="008F61D1"/>
    <w:rsid w:val="008F761F"/>
    <w:rsid w:val="008F7A10"/>
    <w:rsid w:val="008F7CDD"/>
    <w:rsid w:val="009006CB"/>
    <w:rsid w:val="00900875"/>
    <w:rsid w:val="009008F5"/>
    <w:rsid w:val="00900DDA"/>
    <w:rsid w:val="00900F0F"/>
    <w:rsid w:val="009012C3"/>
    <w:rsid w:val="009016D9"/>
    <w:rsid w:val="00901844"/>
    <w:rsid w:val="0090195D"/>
    <w:rsid w:val="00901EBC"/>
    <w:rsid w:val="0090325C"/>
    <w:rsid w:val="0090403B"/>
    <w:rsid w:val="00904758"/>
    <w:rsid w:val="009048C8"/>
    <w:rsid w:val="0090559E"/>
    <w:rsid w:val="009062CC"/>
    <w:rsid w:val="00906961"/>
    <w:rsid w:val="009069C2"/>
    <w:rsid w:val="00912D18"/>
    <w:rsid w:val="00913BCD"/>
    <w:rsid w:val="00913CA9"/>
    <w:rsid w:val="00913DD9"/>
    <w:rsid w:val="009142E4"/>
    <w:rsid w:val="00914636"/>
    <w:rsid w:val="00914D77"/>
    <w:rsid w:val="009155A5"/>
    <w:rsid w:val="009155C2"/>
    <w:rsid w:val="009164B8"/>
    <w:rsid w:val="00916E98"/>
    <w:rsid w:val="00917139"/>
    <w:rsid w:val="009172FC"/>
    <w:rsid w:val="00917D71"/>
    <w:rsid w:val="0092031B"/>
    <w:rsid w:val="00920FCA"/>
    <w:rsid w:val="00921599"/>
    <w:rsid w:val="00921984"/>
    <w:rsid w:val="009227C5"/>
    <w:rsid w:val="009228F2"/>
    <w:rsid w:val="00922AB4"/>
    <w:rsid w:val="00922C92"/>
    <w:rsid w:val="00922D7D"/>
    <w:rsid w:val="00923D97"/>
    <w:rsid w:val="00923FB9"/>
    <w:rsid w:val="0092488B"/>
    <w:rsid w:val="00930554"/>
    <w:rsid w:val="0093066F"/>
    <w:rsid w:val="00930879"/>
    <w:rsid w:val="0093093B"/>
    <w:rsid w:val="00931047"/>
    <w:rsid w:val="0093113C"/>
    <w:rsid w:val="00931F31"/>
    <w:rsid w:val="00932539"/>
    <w:rsid w:val="00933EFE"/>
    <w:rsid w:val="0093591C"/>
    <w:rsid w:val="00935A75"/>
    <w:rsid w:val="00935E89"/>
    <w:rsid w:val="00936F13"/>
    <w:rsid w:val="00937364"/>
    <w:rsid w:val="0093762A"/>
    <w:rsid w:val="0093783B"/>
    <w:rsid w:val="0094008E"/>
    <w:rsid w:val="00940218"/>
    <w:rsid w:val="00940CCB"/>
    <w:rsid w:val="0094111B"/>
    <w:rsid w:val="0094161A"/>
    <w:rsid w:val="0094193C"/>
    <w:rsid w:val="00941EA2"/>
    <w:rsid w:val="00942AE7"/>
    <w:rsid w:val="00942C0C"/>
    <w:rsid w:val="00943757"/>
    <w:rsid w:val="00943C9F"/>
    <w:rsid w:val="00943FE0"/>
    <w:rsid w:val="009456D6"/>
    <w:rsid w:val="009458C0"/>
    <w:rsid w:val="0094621D"/>
    <w:rsid w:val="009468D9"/>
    <w:rsid w:val="00946AB9"/>
    <w:rsid w:val="00947216"/>
    <w:rsid w:val="009478EE"/>
    <w:rsid w:val="0094797E"/>
    <w:rsid w:val="00947A35"/>
    <w:rsid w:val="00947DC3"/>
    <w:rsid w:val="00950501"/>
    <w:rsid w:val="00950524"/>
    <w:rsid w:val="00950700"/>
    <w:rsid w:val="00950C4D"/>
    <w:rsid w:val="0095183A"/>
    <w:rsid w:val="00951BF0"/>
    <w:rsid w:val="00951D7B"/>
    <w:rsid w:val="009522E4"/>
    <w:rsid w:val="00952C3A"/>
    <w:rsid w:val="00953087"/>
    <w:rsid w:val="00954B99"/>
    <w:rsid w:val="00954C68"/>
    <w:rsid w:val="00955212"/>
    <w:rsid w:val="00955587"/>
    <w:rsid w:val="00955BEF"/>
    <w:rsid w:val="00956508"/>
    <w:rsid w:val="00957F5D"/>
    <w:rsid w:val="00960609"/>
    <w:rsid w:val="009608DB"/>
    <w:rsid w:val="00960918"/>
    <w:rsid w:val="00960DC4"/>
    <w:rsid w:val="0096134D"/>
    <w:rsid w:val="00961714"/>
    <w:rsid w:val="00961C26"/>
    <w:rsid w:val="0096223F"/>
    <w:rsid w:val="009644A5"/>
    <w:rsid w:val="00964955"/>
    <w:rsid w:val="00965E8E"/>
    <w:rsid w:val="009667FD"/>
    <w:rsid w:val="00966B04"/>
    <w:rsid w:val="00967E06"/>
    <w:rsid w:val="00970812"/>
    <w:rsid w:val="00970D6A"/>
    <w:rsid w:val="00970F1B"/>
    <w:rsid w:val="009710C8"/>
    <w:rsid w:val="00971132"/>
    <w:rsid w:val="00971349"/>
    <w:rsid w:val="0097159A"/>
    <w:rsid w:val="009725F7"/>
    <w:rsid w:val="00972624"/>
    <w:rsid w:val="009754ED"/>
    <w:rsid w:val="00975D94"/>
    <w:rsid w:val="00976661"/>
    <w:rsid w:val="00977493"/>
    <w:rsid w:val="00980730"/>
    <w:rsid w:val="009817AF"/>
    <w:rsid w:val="0098231C"/>
    <w:rsid w:val="00982897"/>
    <w:rsid w:val="009828AC"/>
    <w:rsid w:val="00982B57"/>
    <w:rsid w:val="00982EB2"/>
    <w:rsid w:val="00983B2E"/>
    <w:rsid w:val="009843F2"/>
    <w:rsid w:val="009845D4"/>
    <w:rsid w:val="00984E24"/>
    <w:rsid w:val="00985447"/>
    <w:rsid w:val="00985A1E"/>
    <w:rsid w:val="00985C02"/>
    <w:rsid w:val="00985C5F"/>
    <w:rsid w:val="00985E27"/>
    <w:rsid w:val="00987B7F"/>
    <w:rsid w:val="00987CB7"/>
    <w:rsid w:val="00987DC8"/>
    <w:rsid w:val="009904BE"/>
    <w:rsid w:val="00990A5D"/>
    <w:rsid w:val="009915FB"/>
    <w:rsid w:val="009920B2"/>
    <w:rsid w:val="0099227C"/>
    <w:rsid w:val="009937CE"/>
    <w:rsid w:val="00994737"/>
    <w:rsid w:val="00994E5F"/>
    <w:rsid w:val="009957D3"/>
    <w:rsid w:val="00995B4F"/>
    <w:rsid w:val="00995BBB"/>
    <w:rsid w:val="00995D63"/>
    <w:rsid w:val="00997D93"/>
    <w:rsid w:val="009A00CD"/>
    <w:rsid w:val="009A0103"/>
    <w:rsid w:val="009A11AD"/>
    <w:rsid w:val="009A14B6"/>
    <w:rsid w:val="009A29C8"/>
    <w:rsid w:val="009A2EFA"/>
    <w:rsid w:val="009A331C"/>
    <w:rsid w:val="009A39C6"/>
    <w:rsid w:val="009A4829"/>
    <w:rsid w:val="009A4C4C"/>
    <w:rsid w:val="009A4C61"/>
    <w:rsid w:val="009A4FD7"/>
    <w:rsid w:val="009A55D2"/>
    <w:rsid w:val="009A5C1F"/>
    <w:rsid w:val="009A5E01"/>
    <w:rsid w:val="009A6B0D"/>
    <w:rsid w:val="009A6B40"/>
    <w:rsid w:val="009A742E"/>
    <w:rsid w:val="009A76E5"/>
    <w:rsid w:val="009A7AAC"/>
    <w:rsid w:val="009A7D64"/>
    <w:rsid w:val="009B0401"/>
    <w:rsid w:val="009B0F78"/>
    <w:rsid w:val="009B1712"/>
    <w:rsid w:val="009B1A90"/>
    <w:rsid w:val="009B1E99"/>
    <w:rsid w:val="009B1FCB"/>
    <w:rsid w:val="009B27B5"/>
    <w:rsid w:val="009B3A18"/>
    <w:rsid w:val="009B421F"/>
    <w:rsid w:val="009B436C"/>
    <w:rsid w:val="009B4EA7"/>
    <w:rsid w:val="009B5C12"/>
    <w:rsid w:val="009B674F"/>
    <w:rsid w:val="009B715B"/>
    <w:rsid w:val="009B7311"/>
    <w:rsid w:val="009C0481"/>
    <w:rsid w:val="009C0797"/>
    <w:rsid w:val="009C0C9F"/>
    <w:rsid w:val="009C1256"/>
    <w:rsid w:val="009C15B1"/>
    <w:rsid w:val="009C161E"/>
    <w:rsid w:val="009C1BA5"/>
    <w:rsid w:val="009C1FFA"/>
    <w:rsid w:val="009C230F"/>
    <w:rsid w:val="009C26E6"/>
    <w:rsid w:val="009C2BC0"/>
    <w:rsid w:val="009C3CE1"/>
    <w:rsid w:val="009C3E09"/>
    <w:rsid w:val="009C43FD"/>
    <w:rsid w:val="009C443C"/>
    <w:rsid w:val="009C4695"/>
    <w:rsid w:val="009C587B"/>
    <w:rsid w:val="009C597C"/>
    <w:rsid w:val="009C6137"/>
    <w:rsid w:val="009C76EC"/>
    <w:rsid w:val="009C7C1A"/>
    <w:rsid w:val="009D0417"/>
    <w:rsid w:val="009D1B42"/>
    <w:rsid w:val="009D1B52"/>
    <w:rsid w:val="009D1BAF"/>
    <w:rsid w:val="009D2219"/>
    <w:rsid w:val="009D2586"/>
    <w:rsid w:val="009D33E6"/>
    <w:rsid w:val="009D3BF8"/>
    <w:rsid w:val="009D46EA"/>
    <w:rsid w:val="009D4CE5"/>
    <w:rsid w:val="009D5799"/>
    <w:rsid w:val="009D5DC5"/>
    <w:rsid w:val="009D6271"/>
    <w:rsid w:val="009D70DC"/>
    <w:rsid w:val="009E0313"/>
    <w:rsid w:val="009E0E01"/>
    <w:rsid w:val="009E0F0F"/>
    <w:rsid w:val="009E0FD2"/>
    <w:rsid w:val="009E1338"/>
    <w:rsid w:val="009E147C"/>
    <w:rsid w:val="009E14AE"/>
    <w:rsid w:val="009E1575"/>
    <w:rsid w:val="009E22E5"/>
    <w:rsid w:val="009E2351"/>
    <w:rsid w:val="009E2E92"/>
    <w:rsid w:val="009E529D"/>
    <w:rsid w:val="009E534D"/>
    <w:rsid w:val="009E5458"/>
    <w:rsid w:val="009E55B1"/>
    <w:rsid w:val="009E56BF"/>
    <w:rsid w:val="009E73A9"/>
    <w:rsid w:val="009E7F6B"/>
    <w:rsid w:val="009F1CC7"/>
    <w:rsid w:val="009F1E84"/>
    <w:rsid w:val="009F2884"/>
    <w:rsid w:val="009F295F"/>
    <w:rsid w:val="009F357A"/>
    <w:rsid w:val="009F39CC"/>
    <w:rsid w:val="009F3A2D"/>
    <w:rsid w:val="009F4113"/>
    <w:rsid w:val="009F446A"/>
    <w:rsid w:val="009F44C7"/>
    <w:rsid w:val="009F482B"/>
    <w:rsid w:val="009F4D16"/>
    <w:rsid w:val="009F60D9"/>
    <w:rsid w:val="009F649D"/>
    <w:rsid w:val="009F6663"/>
    <w:rsid w:val="009F6707"/>
    <w:rsid w:val="009F79F0"/>
    <w:rsid w:val="009F7FDA"/>
    <w:rsid w:val="00A005B9"/>
    <w:rsid w:val="00A00D33"/>
    <w:rsid w:val="00A016C7"/>
    <w:rsid w:val="00A01CA7"/>
    <w:rsid w:val="00A020A9"/>
    <w:rsid w:val="00A02275"/>
    <w:rsid w:val="00A024B1"/>
    <w:rsid w:val="00A026A8"/>
    <w:rsid w:val="00A02703"/>
    <w:rsid w:val="00A02ADC"/>
    <w:rsid w:val="00A03681"/>
    <w:rsid w:val="00A03C5D"/>
    <w:rsid w:val="00A03F42"/>
    <w:rsid w:val="00A04223"/>
    <w:rsid w:val="00A05FAA"/>
    <w:rsid w:val="00A0603A"/>
    <w:rsid w:val="00A06BB2"/>
    <w:rsid w:val="00A06F5C"/>
    <w:rsid w:val="00A07AEB"/>
    <w:rsid w:val="00A1088A"/>
    <w:rsid w:val="00A116B6"/>
    <w:rsid w:val="00A11B0C"/>
    <w:rsid w:val="00A11CF8"/>
    <w:rsid w:val="00A11EFB"/>
    <w:rsid w:val="00A12654"/>
    <w:rsid w:val="00A12AFF"/>
    <w:rsid w:val="00A13B58"/>
    <w:rsid w:val="00A14932"/>
    <w:rsid w:val="00A151E5"/>
    <w:rsid w:val="00A15576"/>
    <w:rsid w:val="00A15BFC"/>
    <w:rsid w:val="00A16BA1"/>
    <w:rsid w:val="00A20CF6"/>
    <w:rsid w:val="00A20E56"/>
    <w:rsid w:val="00A21A87"/>
    <w:rsid w:val="00A22AAC"/>
    <w:rsid w:val="00A2390C"/>
    <w:rsid w:val="00A23FD3"/>
    <w:rsid w:val="00A24302"/>
    <w:rsid w:val="00A25D88"/>
    <w:rsid w:val="00A260F9"/>
    <w:rsid w:val="00A26597"/>
    <w:rsid w:val="00A27023"/>
    <w:rsid w:val="00A3026C"/>
    <w:rsid w:val="00A31760"/>
    <w:rsid w:val="00A31800"/>
    <w:rsid w:val="00A31EB8"/>
    <w:rsid w:val="00A32171"/>
    <w:rsid w:val="00A32C18"/>
    <w:rsid w:val="00A32CF5"/>
    <w:rsid w:val="00A32DF8"/>
    <w:rsid w:val="00A3363F"/>
    <w:rsid w:val="00A3403D"/>
    <w:rsid w:val="00A344F4"/>
    <w:rsid w:val="00A3537C"/>
    <w:rsid w:val="00A360A9"/>
    <w:rsid w:val="00A367F3"/>
    <w:rsid w:val="00A36FA4"/>
    <w:rsid w:val="00A371A8"/>
    <w:rsid w:val="00A3760B"/>
    <w:rsid w:val="00A37E18"/>
    <w:rsid w:val="00A40419"/>
    <w:rsid w:val="00A405D1"/>
    <w:rsid w:val="00A41F2D"/>
    <w:rsid w:val="00A4246D"/>
    <w:rsid w:val="00A42663"/>
    <w:rsid w:val="00A43826"/>
    <w:rsid w:val="00A4450A"/>
    <w:rsid w:val="00A454F6"/>
    <w:rsid w:val="00A4701C"/>
    <w:rsid w:val="00A477FB"/>
    <w:rsid w:val="00A47B15"/>
    <w:rsid w:val="00A47BFF"/>
    <w:rsid w:val="00A50D7B"/>
    <w:rsid w:val="00A50E9B"/>
    <w:rsid w:val="00A51BD2"/>
    <w:rsid w:val="00A52D76"/>
    <w:rsid w:val="00A53809"/>
    <w:rsid w:val="00A5423E"/>
    <w:rsid w:val="00A54587"/>
    <w:rsid w:val="00A54BF7"/>
    <w:rsid w:val="00A54F54"/>
    <w:rsid w:val="00A55F41"/>
    <w:rsid w:val="00A5602A"/>
    <w:rsid w:val="00A57B8A"/>
    <w:rsid w:val="00A60017"/>
    <w:rsid w:val="00A6044D"/>
    <w:rsid w:val="00A607DF"/>
    <w:rsid w:val="00A61174"/>
    <w:rsid w:val="00A612BA"/>
    <w:rsid w:val="00A61404"/>
    <w:rsid w:val="00A616A8"/>
    <w:rsid w:val="00A62D9A"/>
    <w:rsid w:val="00A62F96"/>
    <w:rsid w:val="00A63062"/>
    <w:rsid w:val="00A64235"/>
    <w:rsid w:val="00A642D3"/>
    <w:rsid w:val="00A6488F"/>
    <w:rsid w:val="00A65094"/>
    <w:rsid w:val="00A6597B"/>
    <w:rsid w:val="00A6618A"/>
    <w:rsid w:val="00A66756"/>
    <w:rsid w:val="00A670FF"/>
    <w:rsid w:val="00A70DEE"/>
    <w:rsid w:val="00A719B4"/>
    <w:rsid w:val="00A71B0A"/>
    <w:rsid w:val="00A73A2A"/>
    <w:rsid w:val="00A73D2D"/>
    <w:rsid w:val="00A74793"/>
    <w:rsid w:val="00A7617C"/>
    <w:rsid w:val="00A76B8A"/>
    <w:rsid w:val="00A77293"/>
    <w:rsid w:val="00A774CC"/>
    <w:rsid w:val="00A77CC3"/>
    <w:rsid w:val="00A77D27"/>
    <w:rsid w:val="00A77F04"/>
    <w:rsid w:val="00A801DE"/>
    <w:rsid w:val="00A80260"/>
    <w:rsid w:val="00A80292"/>
    <w:rsid w:val="00A80CC0"/>
    <w:rsid w:val="00A80D4B"/>
    <w:rsid w:val="00A813FA"/>
    <w:rsid w:val="00A81C71"/>
    <w:rsid w:val="00A81D64"/>
    <w:rsid w:val="00A81DFB"/>
    <w:rsid w:val="00A8299B"/>
    <w:rsid w:val="00A83D86"/>
    <w:rsid w:val="00A84DFF"/>
    <w:rsid w:val="00A84E5C"/>
    <w:rsid w:val="00A850C3"/>
    <w:rsid w:val="00A85943"/>
    <w:rsid w:val="00A86111"/>
    <w:rsid w:val="00A862A6"/>
    <w:rsid w:val="00A86DE5"/>
    <w:rsid w:val="00A87395"/>
    <w:rsid w:val="00A90570"/>
    <w:rsid w:val="00A90B30"/>
    <w:rsid w:val="00A90DB0"/>
    <w:rsid w:val="00A91360"/>
    <w:rsid w:val="00A91897"/>
    <w:rsid w:val="00A918F9"/>
    <w:rsid w:val="00A93433"/>
    <w:rsid w:val="00A940E6"/>
    <w:rsid w:val="00A9445C"/>
    <w:rsid w:val="00A954F5"/>
    <w:rsid w:val="00A9595C"/>
    <w:rsid w:val="00A965C8"/>
    <w:rsid w:val="00A9676A"/>
    <w:rsid w:val="00A971EF"/>
    <w:rsid w:val="00A9721D"/>
    <w:rsid w:val="00A97C58"/>
    <w:rsid w:val="00AA0055"/>
    <w:rsid w:val="00AA0774"/>
    <w:rsid w:val="00AA0CB8"/>
    <w:rsid w:val="00AA2D1F"/>
    <w:rsid w:val="00AA30B2"/>
    <w:rsid w:val="00AA33DE"/>
    <w:rsid w:val="00AA37CA"/>
    <w:rsid w:val="00AA4026"/>
    <w:rsid w:val="00AA45E0"/>
    <w:rsid w:val="00AA4BF2"/>
    <w:rsid w:val="00AA5F37"/>
    <w:rsid w:val="00AA633E"/>
    <w:rsid w:val="00AA71DB"/>
    <w:rsid w:val="00AA7971"/>
    <w:rsid w:val="00AB0512"/>
    <w:rsid w:val="00AB2BB1"/>
    <w:rsid w:val="00AB2C61"/>
    <w:rsid w:val="00AB2ED3"/>
    <w:rsid w:val="00AB3462"/>
    <w:rsid w:val="00AB3F4C"/>
    <w:rsid w:val="00AB4C2F"/>
    <w:rsid w:val="00AB4CF4"/>
    <w:rsid w:val="00AB56D6"/>
    <w:rsid w:val="00AB7415"/>
    <w:rsid w:val="00AB744A"/>
    <w:rsid w:val="00AB77F9"/>
    <w:rsid w:val="00AB7C67"/>
    <w:rsid w:val="00AC046E"/>
    <w:rsid w:val="00AC0627"/>
    <w:rsid w:val="00AC0B7A"/>
    <w:rsid w:val="00AC1C64"/>
    <w:rsid w:val="00AC4CFF"/>
    <w:rsid w:val="00AC5399"/>
    <w:rsid w:val="00AC73CA"/>
    <w:rsid w:val="00AC7B73"/>
    <w:rsid w:val="00AC7EBD"/>
    <w:rsid w:val="00AD0DBF"/>
    <w:rsid w:val="00AD0DC8"/>
    <w:rsid w:val="00AD0FDC"/>
    <w:rsid w:val="00AD16AA"/>
    <w:rsid w:val="00AD1EC3"/>
    <w:rsid w:val="00AD2B50"/>
    <w:rsid w:val="00AD2E21"/>
    <w:rsid w:val="00AD3BAC"/>
    <w:rsid w:val="00AD3F2B"/>
    <w:rsid w:val="00AD56E2"/>
    <w:rsid w:val="00AD757B"/>
    <w:rsid w:val="00AD7AF4"/>
    <w:rsid w:val="00AE1A69"/>
    <w:rsid w:val="00AE1B22"/>
    <w:rsid w:val="00AE227D"/>
    <w:rsid w:val="00AE2A20"/>
    <w:rsid w:val="00AE2F87"/>
    <w:rsid w:val="00AE33BE"/>
    <w:rsid w:val="00AE341A"/>
    <w:rsid w:val="00AE359E"/>
    <w:rsid w:val="00AE3D48"/>
    <w:rsid w:val="00AE44B9"/>
    <w:rsid w:val="00AE4687"/>
    <w:rsid w:val="00AE48E7"/>
    <w:rsid w:val="00AE4E08"/>
    <w:rsid w:val="00AE5596"/>
    <w:rsid w:val="00AE582D"/>
    <w:rsid w:val="00AE666C"/>
    <w:rsid w:val="00AE6CDB"/>
    <w:rsid w:val="00AE71E7"/>
    <w:rsid w:val="00AE7503"/>
    <w:rsid w:val="00AF04D3"/>
    <w:rsid w:val="00AF1511"/>
    <w:rsid w:val="00AF2655"/>
    <w:rsid w:val="00AF308D"/>
    <w:rsid w:val="00AF37C6"/>
    <w:rsid w:val="00AF4458"/>
    <w:rsid w:val="00AF451C"/>
    <w:rsid w:val="00AF4EDC"/>
    <w:rsid w:val="00AF595D"/>
    <w:rsid w:val="00AF5E83"/>
    <w:rsid w:val="00AF6062"/>
    <w:rsid w:val="00AF65B2"/>
    <w:rsid w:val="00AF6A77"/>
    <w:rsid w:val="00AF7310"/>
    <w:rsid w:val="00AF7857"/>
    <w:rsid w:val="00AF7CA8"/>
    <w:rsid w:val="00AF7DC9"/>
    <w:rsid w:val="00B00271"/>
    <w:rsid w:val="00B021FD"/>
    <w:rsid w:val="00B02B71"/>
    <w:rsid w:val="00B03140"/>
    <w:rsid w:val="00B037E1"/>
    <w:rsid w:val="00B03F1B"/>
    <w:rsid w:val="00B05910"/>
    <w:rsid w:val="00B05CA8"/>
    <w:rsid w:val="00B06586"/>
    <w:rsid w:val="00B0658E"/>
    <w:rsid w:val="00B06BD6"/>
    <w:rsid w:val="00B075F7"/>
    <w:rsid w:val="00B07B3E"/>
    <w:rsid w:val="00B07D8E"/>
    <w:rsid w:val="00B07F46"/>
    <w:rsid w:val="00B10803"/>
    <w:rsid w:val="00B12DAF"/>
    <w:rsid w:val="00B1348A"/>
    <w:rsid w:val="00B143B9"/>
    <w:rsid w:val="00B14E87"/>
    <w:rsid w:val="00B175D1"/>
    <w:rsid w:val="00B178CA"/>
    <w:rsid w:val="00B17C0D"/>
    <w:rsid w:val="00B20B5F"/>
    <w:rsid w:val="00B21758"/>
    <w:rsid w:val="00B21BE2"/>
    <w:rsid w:val="00B225A5"/>
    <w:rsid w:val="00B22CC3"/>
    <w:rsid w:val="00B243D7"/>
    <w:rsid w:val="00B2492C"/>
    <w:rsid w:val="00B253F1"/>
    <w:rsid w:val="00B257C1"/>
    <w:rsid w:val="00B25E21"/>
    <w:rsid w:val="00B26223"/>
    <w:rsid w:val="00B264AF"/>
    <w:rsid w:val="00B26634"/>
    <w:rsid w:val="00B26A64"/>
    <w:rsid w:val="00B27789"/>
    <w:rsid w:val="00B27DB0"/>
    <w:rsid w:val="00B307C8"/>
    <w:rsid w:val="00B3097E"/>
    <w:rsid w:val="00B31D9A"/>
    <w:rsid w:val="00B33194"/>
    <w:rsid w:val="00B33AAE"/>
    <w:rsid w:val="00B346E5"/>
    <w:rsid w:val="00B34EDF"/>
    <w:rsid w:val="00B3593C"/>
    <w:rsid w:val="00B360CF"/>
    <w:rsid w:val="00B36428"/>
    <w:rsid w:val="00B36594"/>
    <w:rsid w:val="00B36BC1"/>
    <w:rsid w:val="00B3794B"/>
    <w:rsid w:val="00B40032"/>
    <w:rsid w:val="00B40BA0"/>
    <w:rsid w:val="00B4160C"/>
    <w:rsid w:val="00B41E8E"/>
    <w:rsid w:val="00B41FC4"/>
    <w:rsid w:val="00B42110"/>
    <w:rsid w:val="00B42115"/>
    <w:rsid w:val="00B42C8E"/>
    <w:rsid w:val="00B4426C"/>
    <w:rsid w:val="00B447FD"/>
    <w:rsid w:val="00B450B5"/>
    <w:rsid w:val="00B451DE"/>
    <w:rsid w:val="00B45410"/>
    <w:rsid w:val="00B45A4B"/>
    <w:rsid w:val="00B45E18"/>
    <w:rsid w:val="00B477CB"/>
    <w:rsid w:val="00B5026C"/>
    <w:rsid w:val="00B50718"/>
    <w:rsid w:val="00B5179E"/>
    <w:rsid w:val="00B52229"/>
    <w:rsid w:val="00B5241A"/>
    <w:rsid w:val="00B54205"/>
    <w:rsid w:val="00B54540"/>
    <w:rsid w:val="00B54CB2"/>
    <w:rsid w:val="00B54CCA"/>
    <w:rsid w:val="00B57120"/>
    <w:rsid w:val="00B579B4"/>
    <w:rsid w:val="00B60650"/>
    <w:rsid w:val="00B60A43"/>
    <w:rsid w:val="00B60F12"/>
    <w:rsid w:val="00B6125B"/>
    <w:rsid w:val="00B61437"/>
    <w:rsid w:val="00B617E2"/>
    <w:rsid w:val="00B635B0"/>
    <w:rsid w:val="00B635B4"/>
    <w:rsid w:val="00B63E13"/>
    <w:rsid w:val="00B6402D"/>
    <w:rsid w:val="00B642C6"/>
    <w:rsid w:val="00B64454"/>
    <w:rsid w:val="00B64478"/>
    <w:rsid w:val="00B64688"/>
    <w:rsid w:val="00B6544D"/>
    <w:rsid w:val="00B6565A"/>
    <w:rsid w:val="00B676AA"/>
    <w:rsid w:val="00B70448"/>
    <w:rsid w:val="00B704D3"/>
    <w:rsid w:val="00B709AF"/>
    <w:rsid w:val="00B71128"/>
    <w:rsid w:val="00B71DAD"/>
    <w:rsid w:val="00B7210B"/>
    <w:rsid w:val="00B72159"/>
    <w:rsid w:val="00B7234F"/>
    <w:rsid w:val="00B72655"/>
    <w:rsid w:val="00B74CAF"/>
    <w:rsid w:val="00B756BE"/>
    <w:rsid w:val="00B75FEC"/>
    <w:rsid w:val="00B7602B"/>
    <w:rsid w:val="00B764CD"/>
    <w:rsid w:val="00B76763"/>
    <w:rsid w:val="00B769C5"/>
    <w:rsid w:val="00B77892"/>
    <w:rsid w:val="00B77D45"/>
    <w:rsid w:val="00B80432"/>
    <w:rsid w:val="00B80906"/>
    <w:rsid w:val="00B8117B"/>
    <w:rsid w:val="00B8155A"/>
    <w:rsid w:val="00B81A3F"/>
    <w:rsid w:val="00B82C75"/>
    <w:rsid w:val="00B83320"/>
    <w:rsid w:val="00B833AD"/>
    <w:rsid w:val="00B83612"/>
    <w:rsid w:val="00B83CB2"/>
    <w:rsid w:val="00B83F29"/>
    <w:rsid w:val="00B84345"/>
    <w:rsid w:val="00B844F4"/>
    <w:rsid w:val="00B845E6"/>
    <w:rsid w:val="00B8594C"/>
    <w:rsid w:val="00B85B7B"/>
    <w:rsid w:val="00B85F0B"/>
    <w:rsid w:val="00B85FC8"/>
    <w:rsid w:val="00B85FE9"/>
    <w:rsid w:val="00B86039"/>
    <w:rsid w:val="00B86131"/>
    <w:rsid w:val="00B86876"/>
    <w:rsid w:val="00B90824"/>
    <w:rsid w:val="00B90AAE"/>
    <w:rsid w:val="00B91472"/>
    <w:rsid w:val="00B91FA4"/>
    <w:rsid w:val="00B9277F"/>
    <w:rsid w:val="00B92D53"/>
    <w:rsid w:val="00B92F3C"/>
    <w:rsid w:val="00B93A05"/>
    <w:rsid w:val="00B93C29"/>
    <w:rsid w:val="00B93D61"/>
    <w:rsid w:val="00B9500E"/>
    <w:rsid w:val="00B952E8"/>
    <w:rsid w:val="00B955D3"/>
    <w:rsid w:val="00B95AEE"/>
    <w:rsid w:val="00B95EE3"/>
    <w:rsid w:val="00B9743B"/>
    <w:rsid w:val="00B97D74"/>
    <w:rsid w:val="00BA09B5"/>
    <w:rsid w:val="00BA11C9"/>
    <w:rsid w:val="00BA14D9"/>
    <w:rsid w:val="00BA174A"/>
    <w:rsid w:val="00BA241F"/>
    <w:rsid w:val="00BA2E33"/>
    <w:rsid w:val="00BA2EC5"/>
    <w:rsid w:val="00BA35E1"/>
    <w:rsid w:val="00BA36B9"/>
    <w:rsid w:val="00BA388B"/>
    <w:rsid w:val="00BA3AF0"/>
    <w:rsid w:val="00BA3CE6"/>
    <w:rsid w:val="00BA3EEB"/>
    <w:rsid w:val="00BA433A"/>
    <w:rsid w:val="00BA44EB"/>
    <w:rsid w:val="00BA4B91"/>
    <w:rsid w:val="00BA4FDC"/>
    <w:rsid w:val="00BA5003"/>
    <w:rsid w:val="00BA50FE"/>
    <w:rsid w:val="00BA5511"/>
    <w:rsid w:val="00BA586D"/>
    <w:rsid w:val="00BA5F11"/>
    <w:rsid w:val="00BA5F1E"/>
    <w:rsid w:val="00BA5FBC"/>
    <w:rsid w:val="00BB0710"/>
    <w:rsid w:val="00BB0B7E"/>
    <w:rsid w:val="00BB14A2"/>
    <w:rsid w:val="00BB1E74"/>
    <w:rsid w:val="00BB232E"/>
    <w:rsid w:val="00BB2404"/>
    <w:rsid w:val="00BB387B"/>
    <w:rsid w:val="00BB3B3A"/>
    <w:rsid w:val="00BB3CCE"/>
    <w:rsid w:val="00BB3E26"/>
    <w:rsid w:val="00BB4AD8"/>
    <w:rsid w:val="00BB5337"/>
    <w:rsid w:val="00BB6FA2"/>
    <w:rsid w:val="00BB74F1"/>
    <w:rsid w:val="00BB79AE"/>
    <w:rsid w:val="00BB7A07"/>
    <w:rsid w:val="00BC06FF"/>
    <w:rsid w:val="00BC0902"/>
    <w:rsid w:val="00BC0B25"/>
    <w:rsid w:val="00BC0F3D"/>
    <w:rsid w:val="00BC10BB"/>
    <w:rsid w:val="00BC2895"/>
    <w:rsid w:val="00BC2923"/>
    <w:rsid w:val="00BC370A"/>
    <w:rsid w:val="00BC38C5"/>
    <w:rsid w:val="00BC3918"/>
    <w:rsid w:val="00BC3D6E"/>
    <w:rsid w:val="00BC3DF7"/>
    <w:rsid w:val="00BC68A2"/>
    <w:rsid w:val="00BC7677"/>
    <w:rsid w:val="00BC7C26"/>
    <w:rsid w:val="00BC7D33"/>
    <w:rsid w:val="00BD04A3"/>
    <w:rsid w:val="00BD13F7"/>
    <w:rsid w:val="00BD3761"/>
    <w:rsid w:val="00BD4136"/>
    <w:rsid w:val="00BD4742"/>
    <w:rsid w:val="00BD4F30"/>
    <w:rsid w:val="00BD55CA"/>
    <w:rsid w:val="00BD5D5E"/>
    <w:rsid w:val="00BD6A02"/>
    <w:rsid w:val="00BD723D"/>
    <w:rsid w:val="00BD743A"/>
    <w:rsid w:val="00BD76B9"/>
    <w:rsid w:val="00BE145B"/>
    <w:rsid w:val="00BE1EA1"/>
    <w:rsid w:val="00BE215D"/>
    <w:rsid w:val="00BE3169"/>
    <w:rsid w:val="00BE3C82"/>
    <w:rsid w:val="00BE42CE"/>
    <w:rsid w:val="00BE4470"/>
    <w:rsid w:val="00BE4A73"/>
    <w:rsid w:val="00BE4F3A"/>
    <w:rsid w:val="00BE4F3C"/>
    <w:rsid w:val="00BE5095"/>
    <w:rsid w:val="00BE6570"/>
    <w:rsid w:val="00BE65EB"/>
    <w:rsid w:val="00BE6AE1"/>
    <w:rsid w:val="00BE73E7"/>
    <w:rsid w:val="00BE7460"/>
    <w:rsid w:val="00BF10BC"/>
    <w:rsid w:val="00BF12DB"/>
    <w:rsid w:val="00BF2180"/>
    <w:rsid w:val="00BF22E4"/>
    <w:rsid w:val="00BF2C6E"/>
    <w:rsid w:val="00BF2D68"/>
    <w:rsid w:val="00BF35B0"/>
    <w:rsid w:val="00BF36C0"/>
    <w:rsid w:val="00BF3B69"/>
    <w:rsid w:val="00BF3B73"/>
    <w:rsid w:val="00BF3D1E"/>
    <w:rsid w:val="00BF4064"/>
    <w:rsid w:val="00BF4715"/>
    <w:rsid w:val="00BF4CAB"/>
    <w:rsid w:val="00BF5189"/>
    <w:rsid w:val="00BF58F8"/>
    <w:rsid w:val="00BF5E46"/>
    <w:rsid w:val="00BF5F7C"/>
    <w:rsid w:val="00BF6493"/>
    <w:rsid w:val="00BF6604"/>
    <w:rsid w:val="00BF6901"/>
    <w:rsid w:val="00BF745F"/>
    <w:rsid w:val="00BF75FC"/>
    <w:rsid w:val="00C0095D"/>
    <w:rsid w:val="00C021BF"/>
    <w:rsid w:val="00C03257"/>
    <w:rsid w:val="00C03A4E"/>
    <w:rsid w:val="00C04201"/>
    <w:rsid w:val="00C047C4"/>
    <w:rsid w:val="00C04D44"/>
    <w:rsid w:val="00C04FFE"/>
    <w:rsid w:val="00C07023"/>
    <w:rsid w:val="00C07C34"/>
    <w:rsid w:val="00C1010A"/>
    <w:rsid w:val="00C1134D"/>
    <w:rsid w:val="00C11A97"/>
    <w:rsid w:val="00C11D98"/>
    <w:rsid w:val="00C1255B"/>
    <w:rsid w:val="00C12C6B"/>
    <w:rsid w:val="00C13260"/>
    <w:rsid w:val="00C13CED"/>
    <w:rsid w:val="00C15032"/>
    <w:rsid w:val="00C151D6"/>
    <w:rsid w:val="00C159BC"/>
    <w:rsid w:val="00C167B8"/>
    <w:rsid w:val="00C16CCE"/>
    <w:rsid w:val="00C16CEC"/>
    <w:rsid w:val="00C1733B"/>
    <w:rsid w:val="00C17B2A"/>
    <w:rsid w:val="00C17B59"/>
    <w:rsid w:val="00C2069F"/>
    <w:rsid w:val="00C212BF"/>
    <w:rsid w:val="00C213AB"/>
    <w:rsid w:val="00C213B1"/>
    <w:rsid w:val="00C2168D"/>
    <w:rsid w:val="00C216C5"/>
    <w:rsid w:val="00C2175B"/>
    <w:rsid w:val="00C218DB"/>
    <w:rsid w:val="00C21C00"/>
    <w:rsid w:val="00C22FB5"/>
    <w:rsid w:val="00C23412"/>
    <w:rsid w:val="00C23D0C"/>
    <w:rsid w:val="00C246FA"/>
    <w:rsid w:val="00C24E98"/>
    <w:rsid w:val="00C255EA"/>
    <w:rsid w:val="00C26BF0"/>
    <w:rsid w:val="00C26C3F"/>
    <w:rsid w:val="00C2716C"/>
    <w:rsid w:val="00C273DA"/>
    <w:rsid w:val="00C277B4"/>
    <w:rsid w:val="00C27B24"/>
    <w:rsid w:val="00C30B3D"/>
    <w:rsid w:val="00C30B95"/>
    <w:rsid w:val="00C31520"/>
    <w:rsid w:val="00C316B5"/>
    <w:rsid w:val="00C33B59"/>
    <w:rsid w:val="00C33DAE"/>
    <w:rsid w:val="00C342BA"/>
    <w:rsid w:val="00C35FDB"/>
    <w:rsid w:val="00C364A0"/>
    <w:rsid w:val="00C36FC6"/>
    <w:rsid w:val="00C37A7D"/>
    <w:rsid w:val="00C40352"/>
    <w:rsid w:val="00C41919"/>
    <w:rsid w:val="00C41A6F"/>
    <w:rsid w:val="00C41AA8"/>
    <w:rsid w:val="00C44B66"/>
    <w:rsid w:val="00C4619C"/>
    <w:rsid w:val="00C46BA4"/>
    <w:rsid w:val="00C46D43"/>
    <w:rsid w:val="00C46E6F"/>
    <w:rsid w:val="00C47208"/>
    <w:rsid w:val="00C47415"/>
    <w:rsid w:val="00C47A61"/>
    <w:rsid w:val="00C5006F"/>
    <w:rsid w:val="00C50ABA"/>
    <w:rsid w:val="00C5109F"/>
    <w:rsid w:val="00C51134"/>
    <w:rsid w:val="00C5123B"/>
    <w:rsid w:val="00C51D71"/>
    <w:rsid w:val="00C536BD"/>
    <w:rsid w:val="00C53754"/>
    <w:rsid w:val="00C53F72"/>
    <w:rsid w:val="00C5425D"/>
    <w:rsid w:val="00C54905"/>
    <w:rsid w:val="00C5549D"/>
    <w:rsid w:val="00C5614C"/>
    <w:rsid w:val="00C563D1"/>
    <w:rsid w:val="00C57880"/>
    <w:rsid w:val="00C603A8"/>
    <w:rsid w:val="00C6183A"/>
    <w:rsid w:val="00C6183B"/>
    <w:rsid w:val="00C622F4"/>
    <w:rsid w:val="00C623FF"/>
    <w:rsid w:val="00C625FD"/>
    <w:rsid w:val="00C629E6"/>
    <w:rsid w:val="00C63B19"/>
    <w:rsid w:val="00C63BE3"/>
    <w:rsid w:val="00C63DC9"/>
    <w:rsid w:val="00C63E98"/>
    <w:rsid w:val="00C640DA"/>
    <w:rsid w:val="00C6414D"/>
    <w:rsid w:val="00C64E70"/>
    <w:rsid w:val="00C64EEC"/>
    <w:rsid w:val="00C65448"/>
    <w:rsid w:val="00C65F3F"/>
    <w:rsid w:val="00C66EB9"/>
    <w:rsid w:val="00C67055"/>
    <w:rsid w:val="00C67082"/>
    <w:rsid w:val="00C67738"/>
    <w:rsid w:val="00C67A0A"/>
    <w:rsid w:val="00C67B20"/>
    <w:rsid w:val="00C70A04"/>
    <w:rsid w:val="00C70A4D"/>
    <w:rsid w:val="00C71628"/>
    <w:rsid w:val="00C71A2A"/>
    <w:rsid w:val="00C7340A"/>
    <w:rsid w:val="00C73512"/>
    <w:rsid w:val="00C73C71"/>
    <w:rsid w:val="00C73E4C"/>
    <w:rsid w:val="00C742F8"/>
    <w:rsid w:val="00C748A9"/>
    <w:rsid w:val="00C75DCA"/>
    <w:rsid w:val="00C769D7"/>
    <w:rsid w:val="00C7704D"/>
    <w:rsid w:val="00C773D6"/>
    <w:rsid w:val="00C80CAD"/>
    <w:rsid w:val="00C81CC5"/>
    <w:rsid w:val="00C81FC2"/>
    <w:rsid w:val="00C823A0"/>
    <w:rsid w:val="00C8244B"/>
    <w:rsid w:val="00C8276F"/>
    <w:rsid w:val="00C82C1F"/>
    <w:rsid w:val="00C82DBF"/>
    <w:rsid w:val="00C84481"/>
    <w:rsid w:val="00C84809"/>
    <w:rsid w:val="00C84B01"/>
    <w:rsid w:val="00C84B9C"/>
    <w:rsid w:val="00C864F8"/>
    <w:rsid w:val="00C86778"/>
    <w:rsid w:val="00C86B05"/>
    <w:rsid w:val="00C87553"/>
    <w:rsid w:val="00C87654"/>
    <w:rsid w:val="00C904A0"/>
    <w:rsid w:val="00C905CB"/>
    <w:rsid w:val="00C90997"/>
    <w:rsid w:val="00C90BF9"/>
    <w:rsid w:val="00C9134A"/>
    <w:rsid w:val="00C91906"/>
    <w:rsid w:val="00C92B9B"/>
    <w:rsid w:val="00C92F2A"/>
    <w:rsid w:val="00C94D51"/>
    <w:rsid w:val="00C95558"/>
    <w:rsid w:val="00C95818"/>
    <w:rsid w:val="00C95B91"/>
    <w:rsid w:val="00C96010"/>
    <w:rsid w:val="00C96031"/>
    <w:rsid w:val="00C96639"/>
    <w:rsid w:val="00C96D4E"/>
    <w:rsid w:val="00C96D60"/>
    <w:rsid w:val="00CA06AE"/>
    <w:rsid w:val="00CA095C"/>
    <w:rsid w:val="00CA10E0"/>
    <w:rsid w:val="00CA2181"/>
    <w:rsid w:val="00CA27BF"/>
    <w:rsid w:val="00CA2D32"/>
    <w:rsid w:val="00CA32EE"/>
    <w:rsid w:val="00CA43B7"/>
    <w:rsid w:val="00CA44F3"/>
    <w:rsid w:val="00CA5CC6"/>
    <w:rsid w:val="00CA6F6C"/>
    <w:rsid w:val="00CA70F4"/>
    <w:rsid w:val="00CB0097"/>
    <w:rsid w:val="00CB0C80"/>
    <w:rsid w:val="00CB2011"/>
    <w:rsid w:val="00CB2E5A"/>
    <w:rsid w:val="00CB31BB"/>
    <w:rsid w:val="00CB35EE"/>
    <w:rsid w:val="00CB3A49"/>
    <w:rsid w:val="00CB4F8A"/>
    <w:rsid w:val="00CB5589"/>
    <w:rsid w:val="00CB578A"/>
    <w:rsid w:val="00CB589D"/>
    <w:rsid w:val="00CB75F0"/>
    <w:rsid w:val="00CC12D7"/>
    <w:rsid w:val="00CC1600"/>
    <w:rsid w:val="00CC1BA4"/>
    <w:rsid w:val="00CC25F4"/>
    <w:rsid w:val="00CC2995"/>
    <w:rsid w:val="00CC75F4"/>
    <w:rsid w:val="00CC785A"/>
    <w:rsid w:val="00CC7B38"/>
    <w:rsid w:val="00CC7F1E"/>
    <w:rsid w:val="00CC7FB2"/>
    <w:rsid w:val="00CD04DB"/>
    <w:rsid w:val="00CD12DD"/>
    <w:rsid w:val="00CD27A2"/>
    <w:rsid w:val="00CD2DEC"/>
    <w:rsid w:val="00CD329F"/>
    <w:rsid w:val="00CD3336"/>
    <w:rsid w:val="00CD3403"/>
    <w:rsid w:val="00CD34FC"/>
    <w:rsid w:val="00CD39D9"/>
    <w:rsid w:val="00CD3C98"/>
    <w:rsid w:val="00CD3E97"/>
    <w:rsid w:val="00CD424D"/>
    <w:rsid w:val="00CD50EA"/>
    <w:rsid w:val="00CD5157"/>
    <w:rsid w:val="00CD5444"/>
    <w:rsid w:val="00CD590D"/>
    <w:rsid w:val="00CD5918"/>
    <w:rsid w:val="00CD5B1A"/>
    <w:rsid w:val="00CD61FE"/>
    <w:rsid w:val="00CD7750"/>
    <w:rsid w:val="00CE04D7"/>
    <w:rsid w:val="00CE0E18"/>
    <w:rsid w:val="00CE1159"/>
    <w:rsid w:val="00CE125F"/>
    <w:rsid w:val="00CE1A95"/>
    <w:rsid w:val="00CE391F"/>
    <w:rsid w:val="00CE3A71"/>
    <w:rsid w:val="00CE3AA6"/>
    <w:rsid w:val="00CE4BA6"/>
    <w:rsid w:val="00CE4E4E"/>
    <w:rsid w:val="00CE54B7"/>
    <w:rsid w:val="00CE5716"/>
    <w:rsid w:val="00CE60E6"/>
    <w:rsid w:val="00CE6766"/>
    <w:rsid w:val="00CE6D78"/>
    <w:rsid w:val="00CE7E50"/>
    <w:rsid w:val="00CF0101"/>
    <w:rsid w:val="00CF18E1"/>
    <w:rsid w:val="00CF1D7C"/>
    <w:rsid w:val="00CF275D"/>
    <w:rsid w:val="00CF2D13"/>
    <w:rsid w:val="00CF2D2D"/>
    <w:rsid w:val="00CF31E8"/>
    <w:rsid w:val="00CF4363"/>
    <w:rsid w:val="00CF4A73"/>
    <w:rsid w:val="00CF589E"/>
    <w:rsid w:val="00CF5FD4"/>
    <w:rsid w:val="00CF60F9"/>
    <w:rsid w:val="00CF64E7"/>
    <w:rsid w:val="00CF687D"/>
    <w:rsid w:val="00CF728F"/>
    <w:rsid w:val="00CF7327"/>
    <w:rsid w:val="00CF75FF"/>
    <w:rsid w:val="00CF78F5"/>
    <w:rsid w:val="00CF7F97"/>
    <w:rsid w:val="00D003CE"/>
    <w:rsid w:val="00D007E2"/>
    <w:rsid w:val="00D01D10"/>
    <w:rsid w:val="00D02BB9"/>
    <w:rsid w:val="00D034CD"/>
    <w:rsid w:val="00D0356A"/>
    <w:rsid w:val="00D03FF6"/>
    <w:rsid w:val="00D04446"/>
    <w:rsid w:val="00D0508C"/>
    <w:rsid w:val="00D05BB6"/>
    <w:rsid w:val="00D06AB6"/>
    <w:rsid w:val="00D0700F"/>
    <w:rsid w:val="00D07355"/>
    <w:rsid w:val="00D10D68"/>
    <w:rsid w:val="00D11435"/>
    <w:rsid w:val="00D1225A"/>
    <w:rsid w:val="00D1296B"/>
    <w:rsid w:val="00D12BCC"/>
    <w:rsid w:val="00D13150"/>
    <w:rsid w:val="00D139E7"/>
    <w:rsid w:val="00D1430A"/>
    <w:rsid w:val="00D1599A"/>
    <w:rsid w:val="00D15B39"/>
    <w:rsid w:val="00D15ED2"/>
    <w:rsid w:val="00D1606F"/>
    <w:rsid w:val="00D16308"/>
    <w:rsid w:val="00D170DB"/>
    <w:rsid w:val="00D17615"/>
    <w:rsid w:val="00D17AB6"/>
    <w:rsid w:val="00D200E6"/>
    <w:rsid w:val="00D204D8"/>
    <w:rsid w:val="00D207E8"/>
    <w:rsid w:val="00D20FD5"/>
    <w:rsid w:val="00D21286"/>
    <w:rsid w:val="00D2184E"/>
    <w:rsid w:val="00D22154"/>
    <w:rsid w:val="00D22797"/>
    <w:rsid w:val="00D23473"/>
    <w:rsid w:val="00D23B2F"/>
    <w:rsid w:val="00D24082"/>
    <w:rsid w:val="00D24711"/>
    <w:rsid w:val="00D24F6D"/>
    <w:rsid w:val="00D271C1"/>
    <w:rsid w:val="00D2731F"/>
    <w:rsid w:val="00D27F02"/>
    <w:rsid w:val="00D30479"/>
    <w:rsid w:val="00D30AB7"/>
    <w:rsid w:val="00D312E9"/>
    <w:rsid w:val="00D314A7"/>
    <w:rsid w:val="00D32B38"/>
    <w:rsid w:val="00D32C57"/>
    <w:rsid w:val="00D33294"/>
    <w:rsid w:val="00D3332C"/>
    <w:rsid w:val="00D34504"/>
    <w:rsid w:val="00D34DB9"/>
    <w:rsid w:val="00D37AF4"/>
    <w:rsid w:val="00D41903"/>
    <w:rsid w:val="00D41B32"/>
    <w:rsid w:val="00D430E5"/>
    <w:rsid w:val="00D4339E"/>
    <w:rsid w:val="00D43F81"/>
    <w:rsid w:val="00D4410E"/>
    <w:rsid w:val="00D448E4"/>
    <w:rsid w:val="00D44E26"/>
    <w:rsid w:val="00D45413"/>
    <w:rsid w:val="00D506FD"/>
    <w:rsid w:val="00D511A4"/>
    <w:rsid w:val="00D519E8"/>
    <w:rsid w:val="00D52502"/>
    <w:rsid w:val="00D536CE"/>
    <w:rsid w:val="00D54063"/>
    <w:rsid w:val="00D5478E"/>
    <w:rsid w:val="00D548EB"/>
    <w:rsid w:val="00D54E89"/>
    <w:rsid w:val="00D5617A"/>
    <w:rsid w:val="00D56507"/>
    <w:rsid w:val="00D57446"/>
    <w:rsid w:val="00D60488"/>
    <w:rsid w:val="00D6074D"/>
    <w:rsid w:val="00D60B69"/>
    <w:rsid w:val="00D60E22"/>
    <w:rsid w:val="00D61921"/>
    <w:rsid w:val="00D62507"/>
    <w:rsid w:val="00D62C79"/>
    <w:rsid w:val="00D62F56"/>
    <w:rsid w:val="00D63520"/>
    <w:rsid w:val="00D6405C"/>
    <w:rsid w:val="00D64DAE"/>
    <w:rsid w:val="00D64E81"/>
    <w:rsid w:val="00D662AE"/>
    <w:rsid w:val="00D67097"/>
    <w:rsid w:val="00D671D9"/>
    <w:rsid w:val="00D70160"/>
    <w:rsid w:val="00D71EC0"/>
    <w:rsid w:val="00D7298C"/>
    <w:rsid w:val="00D73746"/>
    <w:rsid w:val="00D73B0B"/>
    <w:rsid w:val="00D742AC"/>
    <w:rsid w:val="00D742F1"/>
    <w:rsid w:val="00D74E80"/>
    <w:rsid w:val="00D75027"/>
    <w:rsid w:val="00D7514D"/>
    <w:rsid w:val="00D75647"/>
    <w:rsid w:val="00D80A08"/>
    <w:rsid w:val="00D80B6D"/>
    <w:rsid w:val="00D82356"/>
    <w:rsid w:val="00D83A4F"/>
    <w:rsid w:val="00D846B8"/>
    <w:rsid w:val="00D85F52"/>
    <w:rsid w:val="00D86335"/>
    <w:rsid w:val="00D8680D"/>
    <w:rsid w:val="00D8713B"/>
    <w:rsid w:val="00D879C8"/>
    <w:rsid w:val="00D87C44"/>
    <w:rsid w:val="00D906E9"/>
    <w:rsid w:val="00D9077A"/>
    <w:rsid w:val="00D908C8"/>
    <w:rsid w:val="00D90A48"/>
    <w:rsid w:val="00D9122B"/>
    <w:rsid w:val="00D913E1"/>
    <w:rsid w:val="00D91E42"/>
    <w:rsid w:val="00D91EA3"/>
    <w:rsid w:val="00D94675"/>
    <w:rsid w:val="00D950FC"/>
    <w:rsid w:val="00D95D1B"/>
    <w:rsid w:val="00D9606A"/>
    <w:rsid w:val="00D9618A"/>
    <w:rsid w:val="00D968DC"/>
    <w:rsid w:val="00D96BC3"/>
    <w:rsid w:val="00D97450"/>
    <w:rsid w:val="00D97DBC"/>
    <w:rsid w:val="00DA162A"/>
    <w:rsid w:val="00DA1637"/>
    <w:rsid w:val="00DA1892"/>
    <w:rsid w:val="00DA2253"/>
    <w:rsid w:val="00DA3183"/>
    <w:rsid w:val="00DA32A6"/>
    <w:rsid w:val="00DA4684"/>
    <w:rsid w:val="00DA4AA6"/>
    <w:rsid w:val="00DA5355"/>
    <w:rsid w:val="00DA5D3C"/>
    <w:rsid w:val="00DA6213"/>
    <w:rsid w:val="00DA68C4"/>
    <w:rsid w:val="00DA6993"/>
    <w:rsid w:val="00DA6A1B"/>
    <w:rsid w:val="00DA6DA7"/>
    <w:rsid w:val="00DA7272"/>
    <w:rsid w:val="00DA7D92"/>
    <w:rsid w:val="00DA7DC1"/>
    <w:rsid w:val="00DA7FCC"/>
    <w:rsid w:val="00DB002E"/>
    <w:rsid w:val="00DB268E"/>
    <w:rsid w:val="00DB2805"/>
    <w:rsid w:val="00DB2C61"/>
    <w:rsid w:val="00DB34E1"/>
    <w:rsid w:val="00DB36DB"/>
    <w:rsid w:val="00DB3E99"/>
    <w:rsid w:val="00DB62DB"/>
    <w:rsid w:val="00DB6481"/>
    <w:rsid w:val="00DB7B38"/>
    <w:rsid w:val="00DB7C4C"/>
    <w:rsid w:val="00DC0708"/>
    <w:rsid w:val="00DC0EC1"/>
    <w:rsid w:val="00DC107B"/>
    <w:rsid w:val="00DC114F"/>
    <w:rsid w:val="00DC1C43"/>
    <w:rsid w:val="00DC2717"/>
    <w:rsid w:val="00DC2960"/>
    <w:rsid w:val="00DC303C"/>
    <w:rsid w:val="00DC351A"/>
    <w:rsid w:val="00DC3A90"/>
    <w:rsid w:val="00DC3C50"/>
    <w:rsid w:val="00DC4412"/>
    <w:rsid w:val="00DC5348"/>
    <w:rsid w:val="00DC61F5"/>
    <w:rsid w:val="00DC65C0"/>
    <w:rsid w:val="00DC65CF"/>
    <w:rsid w:val="00DC68E6"/>
    <w:rsid w:val="00DC6EEF"/>
    <w:rsid w:val="00DC7A5C"/>
    <w:rsid w:val="00DD08A2"/>
    <w:rsid w:val="00DD0A45"/>
    <w:rsid w:val="00DD0E62"/>
    <w:rsid w:val="00DD233F"/>
    <w:rsid w:val="00DD27B1"/>
    <w:rsid w:val="00DD3B26"/>
    <w:rsid w:val="00DD4375"/>
    <w:rsid w:val="00DD4F67"/>
    <w:rsid w:val="00DD51A9"/>
    <w:rsid w:val="00DD5ED4"/>
    <w:rsid w:val="00DD6AFF"/>
    <w:rsid w:val="00DD7062"/>
    <w:rsid w:val="00DD71C3"/>
    <w:rsid w:val="00DE019B"/>
    <w:rsid w:val="00DE14D9"/>
    <w:rsid w:val="00DE2882"/>
    <w:rsid w:val="00DE3311"/>
    <w:rsid w:val="00DE43FE"/>
    <w:rsid w:val="00DE5E21"/>
    <w:rsid w:val="00DE5F2E"/>
    <w:rsid w:val="00DE74BA"/>
    <w:rsid w:val="00DE7676"/>
    <w:rsid w:val="00DF0B07"/>
    <w:rsid w:val="00DF1963"/>
    <w:rsid w:val="00DF208C"/>
    <w:rsid w:val="00DF24D3"/>
    <w:rsid w:val="00DF3055"/>
    <w:rsid w:val="00DF31C0"/>
    <w:rsid w:val="00DF484A"/>
    <w:rsid w:val="00DF4F3E"/>
    <w:rsid w:val="00DF5BBB"/>
    <w:rsid w:val="00DF63FE"/>
    <w:rsid w:val="00DF6764"/>
    <w:rsid w:val="00DF6C35"/>
    <w:rsid w:val="00DF7275"/>
    <w:rsid w:val="00DF758C"/>
    <w:rsid w:val="00DF7E2C"/>
    <w:rsid w:val="00E00499"/>
    <w:rsid w:val="00E007E1"/>
    <w:rsid w:val="00E007EB"/>
    <w:rsid w:val="00E00944"/>
    <w:rsid w:val="00E01021"/>
    <w:rsid w:val="00E026F8"/>
    <w:rsid w:val="00E031A2"/>
    <w:rsid w:val="00E03419"/>
    <w:rsid w:val="00E05560"/>
    <w:rsid w:val="00E05C70"/>
    <w:rsid w:val="00E05DFF"/>
    <w:rsid w:val="00E064E8"/>
    <w:rsid w:val="00E07F9F"/>
    <w:rsid w:val="00E10544"/>
    <w:rsid w:val="00E105AA"/>
    <w:rsid w:val="00E10EA8"/>
    <w:rsid w:val="00E11707"/>
    <w:rsid w:val="00E123D4"/>
    <w:rsid w:val="00E12589"/>
    <w:rsid w:val="00E127FC"/>
    <w:rsid w:val="00E13CF5"/>
    <w:rsid w:val="00E140E2"/>
    <w:rsid w:val="00E141C1"/>
    <w:rsid w:val="00E14ACB"/>
    <w:rsid w:val="00E15B5B"/>
    <w:rsid w:val="00E16064"/>
    <w:rsid w:val="00E16206"/>
    <w:rsid w:val="00E17015"/>
    <w:rsid w:val="00E2055E"/>
    <w:rsid w:val="00E215F9"/>
    <w:rsid w:val="00E224CE"/>
    <w:rsid w:val="00E22D37"/>
    <w:rsid w:val="00E237B1"/>
    <w:rsid w:val="00E239E2"/>
    <w:rsid w:val="00E24D62"/>
    <w:rsid w:val="00E2514B"/>
    <w:rsid w:val="00E252A6"/>
    <w:rsid w:val="00E25A9E"/>
    <w:rsid w:val="00E26806"/>
    <w:rsid w:val="00E27BEB"/>
    <w:rsid w:val="00E27D05"/>
    <w:rsid w:val="00E300E8"/>
    <w:rsid w:val="00E31475"/>
    <w:rsid w:val="00E31780"/>
    <w:rsid w:val="00E31C65"/>
    <w:rsid w:val="00E3276D"/>
    <w:rsid w:val="00E33D55"/>
    <w:rsid w:val="00E34DE5"/>
    <w:rsid w:val="00E34FA9"/>
    <w:rsid w:val="00E35223"/>
    <w:rsid w:val="00E353D3"/>
    <w:rsid w:val="00E3553C"/>
    <w:rsid w:val="00E361B4"/>
    <w:rsid w:val="00E36CD1"/>
    <w:rsid w:val="00E403A5"/>
    <w:rsid w:val="00E40514"/>
    <w:rsid w:val="00E40FAC"/>
    <w:rsid w:val="00E41156"/>
    <w:rsid w:val="00E41250"/>
    <w:rsid w:val="00E41B77"/>
    <w:rsid w:val="00E41FCE"/>
    <w:rsid w:val="00E42A33"/>
    <w:rsid w:val="00E44C7B"/>
    <w:rsid w:val="00E45054"/>
    <w:rsid w:val="00E456C1"/>
    <w:rsid w:val="00E45E3B"/>
    <w:rsid w:val="00E469C1"/>
    <w:rsid w:val="00E50775"/>
    <w:rsid w:val="00E510D6"/>
    <w:rsid w:val="00E511F7"/>
    <w:rsid w:val="00E53117"/>
    <w:rsid w:val="00E54B6C"/>
    <w:rsid w:val="00E54C04"/>
    <w:rsid w:val="00E54DE6"/>
    <w:rsid w:val="00E54E49"/>
    <w:rsid w:val="00E54F5E"/>
    <w:rsid w:val="00E55408"/>
    <w:rsid w:val="00E560AE"/>
    <w:rsid w:val="00E5625F"/>
    <w:rsid w:val="00E572E9"/>
    <w:rsid w:val="00E57C32"/>
    <w:rsid w:val="00E60826"/>
    <w:rsid w:val="00E61D04"/>
    <w:rsid w:val="00E61D1B"/>
    <w:rsid w:val="00E626F4"/>
    <w:rsid w:val="00E62BEF"/>
    <w:rsid w:val="00E63965"/>
    <w:rsid w:val="00E63D47"/>
    <w:rsid w:val="00E640C6"/>
    <w:rsid w:val="00E65750"/>
    <w:rsid w:val="00E65CA7"/>
    <w:rsid w:val="00E65D2C"/>
    <w:rsid w:val="00E663FD"/>
    <w:rsid w:val="00E6645B"/>
    <w:rsid w:val="00E6658A"/>
    <w:rsid w:val="00E6747A"/>
    <w:rsid w:val="00E678A3"/>
    <w:rsid w:val="00E67EC1"/>
    <w:rsid w:val="00E7004B"/>
    <w:rsid w:val="00E705DA"/>
    <w:rsid w:val="00E719AD"/>
    <w:rsid w:val="00E73281"/>
    <w:rsid w:val="00E736C7"/>
    <w:rsid w:val="00E74532"/>
    <w:rsid w:val="00E746E1"/>
    <w:rsid w:val="00E7494F"/>
    <w:rsid w:val="00E74BF5"/>
    <w:rsid w:val="00E75891"/>
    <w:rsid w:val="00E75B3A"/>
    <w:rsid w:val="00E760DC"/>
    <w:rsid w:val="00E769B1"/>
    <w:rsid w:val="00E76F66"/>
    <w:rsid w:val="00E770B7"/>
    <w:rsid w:val="00E772EB"/>
    <w:rsid w:val="00E80433"/>
    <w:rsid w:val="00E815C5"/>
    <w:rsid w:val="00E82112"/>
    <w:rsid w:val="00E822C6"/>
    <w:rsid w:val="00E824C6"/>
    <w:rsid w:val="00E82786"/>
    <w:rsid w:val="00E8491B"/>
    <w:rsid w:val="00E84AFC"/>
    <w:rsid w:val="00E84FF9"/>
    <w:rsid w:val="00E854EF"/>
    <w:rsid w:val="00E85718"/>
    <w:rsid w:val="00E85CDC"/>
    <w:rsid w:val="00E874E7"/>
    <w:rsid w:val="00E879AA"/>
    <w:rsid w:val="00E87CCD"/>
    <w:rsid w:val="00E87E23"/>
    <w:rsid w:val="00E90082"/>
    <w:rsid w:val="00E9053B"/>
    <w:rsid w:val="00E9059F"/>
    <w:rsid w:val="00E90638"/>
    <w:rsid w:val="00E913A5"/>
    <w:rsid w:val="00E91979"/>
    <w:rsid w:val="00E92C86"/>
    <w:rsid w:val="00E92EFA"/>
    <w:rsid w:val="00E951EF"/>
    <w:rsid w:val="00E95214"/>
    <w:rsid w:val="00E95DF3"/>
    <w:rsid w:val="00E95E01"/>
    <w:rsid w:val="00E95FE3"/>
    <w:rsid w:val="00E96CF0"/>
    <w:rsid w:val="00E972A6"/>
    <w:rsid w:val="00E97EF2"/>
    <w:rsid w:val="00EA012C"/>
    <w:rsid w:val="00EA0BB1"/>
    <w:rsid w:val="00EA0BC9"/>
    <w:rsid w:val="00EA129D"/>
    <w:rsid w:val="00EA186C"/>
    <w:rsid w:val="00EA1971"/>
    <w:rsid w:val="00EA28F7"/>
    <w:rsid w:val="00EA436E"/>
    <w:rsid w:val="00EA4593"/>
    <w:rsid w:val="00EA4A2E"/>
    <w:rsid w:val="00EA4FA0"/>
    <w:rsid w:val="00EA5552"/>
    <w:rsid w:val="00EA582E"/>
    <w:rsid w:val="00EA63C1"/>
    <w:rsid w:val="00EA6676"/>
    <w:rsid w:val="00EA6A1F"/>
    <w:rsid w:val="00EA6EB4"/>
    <w:rsid w:val="00EA730D"/>
    <w:rsid w:val="00EA7329"/>
    <w:rsid w:val="00EA78A2"/>
    <w:rsid w:val="00EA78C3"/>
    <w:rsid w:val="00EB06A7"/>
    <w:rsid w:val="00EB0F16"/>
    <w:rsid w:val="00EB1462"/>
    <w:rsid w:val="00EB1AC4"/>
    <w:rsid w:val="00EB22EA"/>
    <w:rsid w:val="00EB413C"/>
    <w:rsid w:val="00EB42FD"/>
    <w:rsid w:val="00EB56E5"/>
    <w:rsid w:val="00EB5EB7"/>
    <w:rsid w:val="00EB5F51"/>
    <w:rsid w:val="00EB6190"/>
    <w:rsid w:val="00EB6483"/>
    <w:rsid w:val="00EB7597"/>
    <w:rsid w:val="00EB7C59"/>
    <w:rsid w:val="00EC140D"/>
    <w:rsid w:val="00EC1882"/>
    <w:rsid w:val="00EC2189"/>
    <w:rsid w:val="00EC23F9"/>
    <w:rsid w:val="00EC2943"/>
    <w:rsid w:val="00EC2F67"/>
    <w:rsid w:val="00EC3A24"/>
    <w:rsid w:val="00EC4889"/>
    <w:rsid w:val="00EC4FF7"/>
    <w:rsid w:val="00EC54A1"/>
    <w:rsid w:val="00EC615F"/>
    <w:rsid w:val="00EC66EA"/>
    <w:rsid w:val="00EC7634"/>
    <w:rsid w:val="00EC7FD1"/>
    <w:rsid w:val="00EC7FE5"/>
    <w:rsid w:val="00ED0580"/>
    <w:rsid w:val="00ED0712"/>
    <w:rsid w:val="00ED094B"/>
    <w:rsid w:val="00ED1583"/>
    <w:rsid w:val="00ED15CF"/>
    <w:rsid w:val="00ED1C55"/>
    <w:rsid w:val="00ED259A"/>
    <w:rsid w:val="00ED366C"/>
    <w:rsid w:val="00ED3EEA"/>
    <w:rsid w:val="00ED4008"/>
    <w:rsid w:val="00ED407F"/>
    <w:rsid w:val="00ED4DB3"/>
    <w:rsid w:val="00ED5758"/>
    <w:rsid w:val="00ED58E1"/>
    <w:rsid w:val="00ED593D"/>
    <w:rsid w:val="00ED5A95"/>
    <w:rsid w:val="00ED5EBB"/>
    <w:rsid w:val="00ED7F21"/>
    <w:rsid w:val="00ED7FD0"/>
    <w:rsid w:val="00EE021F"/>
    <w:rsid w:val="00EE07DE"/>
    <w:rsid w:val="00EE0BBB"/>
    <w:rsid w:val="00EE1649"/>
    <w:rsid w:val="00EE1926"/>
    <w:rsid w:val="00EE1A1F"/>
    <w:rsid w:val="00EE2BF8"/>
    <w:rsid w:val="00EE2C46"/>
    <w:rsid w:val="00EE319A"/>
    <w:rsid w:val="00EE3294"/>
    <w:rsid w:val="00EE340D"/>
    <w:rsid w:val="00EE3714"/>
    <w:rsid w:val="00EE390B"/>
    <w:rsid w:val="00EE3B05"/>
    <w:rsid w:val="00EE3B2C"/>
    <w:rsid w:val="00EE4796"/>
    <w:rsid w:val="00EE490A"/>
    <w:rsid w:val="00EE4B83"/>
    <w:rsid w:val="00EE4BC2"/>
    <w:rsid w:val="00EE531C"/>
    <w:rsid w:val="00EE566D"/>
    <w:rsid w:val="00EE5699"/>
    <w:rsid w:val="00EE5990"/>
    <w:rsid w:val="00EE7091"/>
    <w:rsid w:val="00EE7BA6"/>
    <w:rsid w:val="00EE7DC9"/>
    <w:rsid w:val="00EF0389"/>
    <w:rsid w:val="00EF0595"/>
    <w:rsid w:val="00EF0B3B"/>
    <w:rsid w:val="00EF0B5A"/>
    <w:rsid w:val="00EF1105"/>
    <w:rsid w:val="00EF1237"/>
    <w:rsid w:val="00EF1A96"/>
    <w:rsid w:val="00EF1C5F"/>
    <w:rsid w:val="00EF2117"/>
    <w:rsid w:val="00EF25ED"/>
    <w:rsid w:val="00EF2616"/>
    <w:rsid w:val="00EF2ADA"/>
    <w:rsid w:val="00EF3918"/>
    <w:rsid w:val="00EF3A35"/>
    <w:rsid w:val="00EF552F"/>
    <w:rsid w:val="00EF6422"/>
    <w:rsid w:val="00EF64A1"/>
    <w:rsid w:val="00EF663B"/>
    <w:rsid w:val="00EF6A49"/>
    <w:rsid w:val="00EF6DC7"/>
    <w:rsid w:val="00EF6FB6"/>
    <w:rsid w:val="00F00982"/>
    <w:rsid w:val="00F00B8E"/>
    <w:rsid w:val="00F02648"/>
    <w:rsid w:val="00F02FB3"/>
    <w:rsid w:val="00F03C48"/>
    <w:rsid w:val="00F03E6E"/>
    <w:rsid w:val="00F049DC"/>
    <w:rsid w:val="00F04E5F"/>
    <w:rsid w:val="00F0505E"/>
    <w:rsid w:val="00F05181"/>
    <w:rsid w:val="00F05208"/>
    <w:rsid w:val="00F056BF"/>
    <w:rsid w:val="00F056E5"/>
    <w:rsid w:val="00F05F5E"/>
    <w:rsid w:val="00F06878"/>
    <w:rsid w:val="00F06ABF"/>
    <w:rsid w:val="00F06E4A"/>
    <w:rsid w:val="00F073B7"/>
    <w:rsid w:val="00F07DAB"/>
    <w:rsid w:val="00F10186"/>
    <w:rsid w:val="00F10466"/>
    <w:rsid w:val="00F116A9"/>
    <w:rsid w:val="00F11799"/>
    <w:rsid w:val="00F124F3"/>
    <w:rsid w:val="00F1427B"/>
    <w:rsid w:val="00F14438"/>
    <w:rsid w:val="00F14D48"/>
    <w:rsid w:val="00F15103"/>
    <w:rsid w:val="00F15237"/>
    <w:rsid w:val="00F155C2"/>
    <w:rsid w:val="00F169CA"/>
    <w:rsid w:val="00F16AC7"/>
    <w:rsid w:val="00F16B89"/>
    <w:rsid w:val="00F16C5C"/>
    <w:rsid w:val="00F17671"/>
    <w:rsid w:val="00F17FE1"/>
    <w:rsid w:val="00F204A4"/>
    <w:rsid w:val="00F21D58"/>
    <w:rsid w:val="00F21F66"/>
    <w:rsid w:val="00F22738"/>
    <w:rsid w:val="00F23BD4"/>
    <w:rsid w:val="00F23D3B"/>
    <w:rsid w:val="00F2422A"/>
    <w:rsid w:val="00F244B1"/>
    <w:rsid w:val="00F24FBB"/>
    <w:rsid w:val="00F250E9"/>
    <w:rsid w:val="00F25725"/>
    <w:rsid w:val="00F25791"/>
    <w:rsid w:val="00F25B01"/>
    <w:rsid w:val="00F2665D"/>
    <w:rsid w:val="00F2776A"/>
    <w:rsid w:val="00F27D13"/>
    <w:rsid w:val="00F27DC2"/>
    <w:rsid w:val="00F27DCE"/>
    <w:rsid w:val="00F30557"/>
    <w:rsid w:val="00F3087A"/>
    <w:rsid w:val="00F30897"/>
    <w:rsid w:val="00F30A05"/>
    <w:rsid w:val="00F30E42"/>
    <w:rsid w:val="00F315EC"/>
    <w:rsid w:val="00F32593"/>
    <w:rsid w:val="00F32B77"/>
    <w:rsid w:val="00F330BF"/>
    <w:rsid w:val="00F33589"/>
    <w:rsid w:val="00F34C41"/>
    <w:rsid w:val="00F34E57"/>
    <w:rsid w:val="00F3513A"/>
    <w:rsid w:val="00F354EB"/>
    <w:rsid w:val="00F36CF6"/>
    <w:rsid w:val="00F37047"/>
    <w:rsid w:val="00F37339"/>
    <w:rsid w:val="00F40419"/>
    <w:rsid w:val="00F40E9C"/>
    <w:rsid w:val="00F41408"/>
    <w:rsid w:val="00F414A0"/>
    <w:rsid w:val="00F415C9"/>
    <w:rsid w:val="00F417E8"/>
    <w:rsid w:val="00F4356D"/>
    <w:rsid w:val="00F43D03"/>
    <w:rsid w:val="00F43EC3"/>
    <w:rsid w:val="00F44312"/>
    <w:rsid w:val="00F44680"/>
    <w:rsid w:val="00F45F37"/>
    <w:rsid w:val="00F46727"/>
    <w:rsid w:val="00F46C99"/>
    <w:rsid w:val="00F470A8"/>
    <w:rsid w:val="00F4720D"/>
    <w:rsid w:val="00F4785A"/>
    <w:rsid w:val="00F47AD2"/>
    <w:rsid w:val="00F51888"/>
    <w:rsid w:val="00F51A33"/>
    <w:rsid w:val="00F52B31"/>
    <w:rsid w:val="00F530CC"/>
    <w:rsid w:val="00F5534D"/>
    <w:rsid w:val="00F55E6F"/>
    <w:rsid w:val="00F5778D"/>
    <w:rsid w:val="00F60A47"/>
    <w:rsid w:val="00F60A88"/>
    <w:rsid w:val="00F616B5"/>
    <w:rsid w:val="00F61D3C"/>
    <w:rsid w:val="00F620D4"/>
    <w:rsid w:val="00F6231A"/>
    <w:rsid w:val="00F635C6"/>
    <w:rsid w:val="00F6412D"/>
    <w:rsid w:val="00F641D3"/>
    <w:rsid w:val="00F641F8"/>
    <w:rsid w:val="00F645F4"/>
    <w:rsid w:val="00F64DFF"/>
    <w:rsid w:val="00F6532F"/>
    <w:rsid w:val="00F653DD"/>
    <w:rsid w:val="00F664F7"/>
    <w:rsid w:val="00F678A9"/>
    <w:rsid w:val="00F67A4A"/>
    <w:rsid w:val="00F67AC2"/>
    <w:rsid w:val="00F67CD6"/>
    <w:rsid w:val="00F67CE3"/>
    <w:rsid w:val="00F7005F"/>
    <w:rsid w:val="00F708E4"/>
    <w:rsid w:val="00F71BB6"/>
    <w:rsid w:val="00F720C6"/>
    <w:rsid w:val="00F7268E"/>
    <w:rsid w:val="00F726D3"/>
    <w:rsid w:val="00F735CB"/>
    <w:rsid w:val="00F73768"/>
    <w:rsid w:val="00F74645"/>
    <w:rsid w:val="00F7566B"/>
    <w:rsid w:val="00F756C5"/>
    <w:rsid w:val="00F7636A"/>
    <w:rsid w:val="00F76999"/>
    <w:rsid w:val="00F76AAD"/>
    <w:rsid w:val="00F76C3E"/>
    <w:rsid w:val="00F77312"/>
    <w:rsid w:val="00F77650"/>
    <w:rsid w:val="00F80EFA"/>
    <w:rsid w:val="00F80F30"/>
    <w:rsid w:val="00F810EE"/>
    <w:rsid w:val="00F8200C"/>
    <w:rsid w:val="00F8223B"/>
    <w:rsid w:val="00F8253D"/>
    <w:rsid w:val="00F82D2B"/>
    <w:rsid w:val="00F84556"/>
    <w:rsid w:val="00F848F6"/>
    <w:rsid w:val="00F84E41"/>
    <w:rsid w:val="00F85838"/>
    <w:rsid w:val="00F85A6B"/>
    <w:rsid w:val="00F8663F"/>
    <w:rsid w:val="00F87081"/>
    <w:rsid w:val="00F871F3"/>
    <w:rsid w:val="00F8782B"/>
    <w:rsid w:val="00F878CB"/>
    <w:rsid w:val="00F90CD4"/>
    <w:rsid w:val="00F90DA7"/>
    <w:rsid w:val="00F91098"/>
    <w:rsid w:val="00F917AD"/>
    <w:rsid w:val="00F91AC6"/>
    <w:rsid w:val="00F91E92"/>
    <w:rsid w:val="00F92D85"/>
    <w:rsid w:val="00F92EED"/>
    <w:rsid w:val="00F933DB"/>
    <w:rsid w:val="00F94290"/>
    <w:rsid w:val="00F94756"/>
    <w:rsid w:val="00F9492C"/>
    <w:rsid w:val="00F953F1"/>
    <w:rsid w:val="00F9578F"/>
    <w:rsid w:val="00F95CCE"/>
    <w:rsid w:val="00F95F5C"/>
    <w:rsid w:val="00F969F1"/>
    <w:rsid w:val="00F970F4"/>
    <w:rsid w:val="00F97840"/>
    <w:rsid w:val="00FA0E99"/>
    <w:rsid w:val="00FA15C2"/>
    <w:rsid w:val="00FA1C65"/>
    <w:rsid w:val="00FA1E7F"/>
    <w:rsid w:val="00FA1FCD"/>
    <w:rsid w:val="00FA24E0"/>
    <w:rsid w:val="00FA2904"/>
    <w:rsid w:val="00FA2A51"/>
    <w:rsid w:val="00FA2E74"/>
    <w:rsid w:val="00FA49FB"/>
    <w:rsid w:val="00FA4B3B"/>
    <w:rsid w:val="00FA4B9E"/>
    <w:rsid w:val="00FA564F"/>
    <w:rsid w:val="00FA61E8"/>
    <w:rsid w:val="00FA65C7"/>
    <w:rsid w:val="00FA662C"/>
    <w:rsid w:val="00FB0AA8"/>
    <w:rsid w:val="00FB0D11"/>
    <w:rsid w:val="00FB3024"/>
    <w:rsid w:val="00FB3FEB"/>
    <w:rsid w:val="00FB40CE"/>
    <w:rsid w:val="00FB46F5"/>
    <w:rsid w:val="00FB4EFD"/>
    <w:rsid w:val="00FB519C"/>
    <w:rsid w:val="00FB638D"/>
    <w:rsid w:val="00FB7414"/>
    <w:rsid w:val="00FB7D20"/>
    <w:rsid w:val="00FC0E91"/>
    <w:rsid w:val="00FC1A4D"/>
    <w:rsid w:val="00FC1A67"/>
    <w:rsid w:val="00FC1E15"/>
    <w:rsid w:val="00FC1E6C"/>
    <w:rsid w:val="00FC2560"/>
    <w:rsid w:val="00FC28D7"/>
    <w:rsid w:val="00FC30ED"/>
    <w:rsid w:val="00FC3134"/>
    <w:rsid w:val="00FC38EC"/>
    <w:rsid w:val="00FC43CB"/>
    <w:rsid w:val="00FC45EB"/>
    <w:rsid w:val="00FC4772"/>
    <w:rsid w:val="00FC5AE7"/>
    <w:rsid w:val="00FC5C9C"/>
    <w:rsid w:val="00FC60A6"/>
    <w:rsid w:val="00FC6390"/>
    <w:rsid w:val="00FC646A"/>
    <w:rsid w:val="00FC7567"/>
    <w:rsid w:val="00FD048C"/>
    <w:rsid w:val="00FD05AC"/>
    <w:rsid w:val="00FD0636"/>
    <w:rsid w:val="00FD0A7F"/>
    <w:rsid w:val="00FD0BFC"/>
    <w:rsid w:val="00FD3307"/>
    <w:rsid w:val="00FD4B63"/>
    <w:rsid w:val="00FD5413"/>
    <w:rsid w:val="00FD6A97"/>
    <w:rsid w:val="00FD70E4"/>
    <w:rsid w:val="00FD7198"/>
    <w:rsid w:val="00FD77F1"/>
    <w:rsid w:val="00FD7AB8"/>
    <w:rsid w:val="00FE0A69"/>
    <w:rsid w:val="00FE0BB6"/>
    <w:rsid w:val="00FE0F23"/>
    <w:rsid w:val="00FE1B27"/>
    <w:rsid w:val="00FE1EC4"/>
    <w:rsid w:val="00FE2170"/>
    <w:rsid w:val="00FE2521"/>
    <w:rsid w:val="00FE26B7"/>
    <w:rsid w:val="00FE2D58"/>
    <w:rsid w:val="00FE3103"/>
    <w:rsid w:val="00FE34D2"/>
    <w:rsid w:val="00FE3A81"/>
    <w:rsid w:val="00FE3BD1"/>
    <w:rsid w:val="00FE40DE"/>
    <w:rsid w:val="00FE438D"/>
    <w:rsid w:val="00FE43A5"/>
    <w:rsid w:val="00FE5228"/>
    <w:rsid w:val="00FE607B"/>
    <w:rsid w:val="00FE7504"/>
    <w:rsid w:val="00FE785B"/>
    <w:rsid w:val="00FF0775"/>
    <w:rsid w:val="00FF0A0A"/>
    <w:rsid w:val="00FF0E29"/>
    <w:rsid w:val="00FF11A1"/>
    <w:rsid w:val="00FF185D"/>
    <w:rsid w:val="00FF256C"/>
    <w:rsid w:val="00FF33C1"/>
    <w:rsid w:val="00FF3BF8"/>
    <w:rsid w:val="00FF3CC5"/>
    <w:rsid w:val="00FF4227"/>
    <w:rsid w:val="00FF51BF"/>
    <w:rsid w:val="00FF58F4"/>
    <w:rsid w:val="00FF5BD1"/>
    <w:rsid w:val="00FF68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w:hAnsi="Arial" w:cs="Times New Roman"/>
        <w:sz w:val="18"/>
        <w:szCs w:val="18"/>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qFormat="1"/>
    <w:lsdException w:name="index heading" w:semiHidden="1" w:unhideWhenUsed="1"/>
    <w:lsdException w:name="caption" w:uiPriority="35"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Emphasis" w:uiPriority="2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Unresolved Mention" w:semiHidden="1" w:uiPriority="99" w:unhideWhenUsed="1"/>
  </w:latentStyles>
  <w:style w:type="paragraph" w:default="1" w:styleId="Normal">
    <w:name w:val="Normal"/>
    <w:qFormat/>
    <w:rsid w:val="00B7210B"/>
    <w:pPr>
      <w:suppressAutoHyphens/>
      <w:spacing w:before="200" w:line="276" w:lineRule="auto"/>
      <w:jc w:val="both"/>
    </w:pPr>
  </w:style>
  <w:style w:type="paragraph" w:styleId="Heading1">
    <w:name w:val="heading 1"/>
    <w:basedOn w:val="Normal"/>
    <w:next w:val="Normal"/>
    <w:link w:val="Heading1Char"/>
    <w:qFormat/>
    <w:rsid w:val="009F44C7"/>
    <w:pPr>
      <w:keepNext/>
      <w:pageBreakBefore/>
      <w:numPr>
        <w:numId w:val="4"/>
      </w:numPr>
      <w:pBdr>
        <w:bottom w:val="single" w:sz="4" w:space="1" w:color="005EA1" w:themeColor="accent1"/>
      </w:pBdr>
      <w:suppressAutoHyphens w:val="0"/>
      <w:spacing w:before="0" w:after="40"/>
      <w:jc w:val="left"/>
      <w:outlineLvl w:val="0"/>
    </w:pPr>
    <w:rPr>
      <w:rFonts w:ascii="VIC" w:hAnsi="VIC" w:cs="Arial"/>
      <w:caps/>
      <w:sz w:val="32"/>
      <w:szCs w:val="32"/>
      <w:lang w:eastAsia="en-US"/>
    </w:rPr>
  </w:style>
  <w:style w:type="paragraph" w:styleId="Heading2">
    <w:name w:val="heading 2"/>
    <w:basedOn w:val="Heading1"/>
    <w:next w:val="Normal"/>
    <w:link w:val="Heading2Char"/>
    <w:qFormat/>
    <w:rsid w:val="0045269F"/>
    <w:pPr>
      <w:pageBreakBefore w:val="0"/>
      <w:numPr>
        <w:ilvl w:val="1"/>
        <w:numId w:val="10"/>
      </w:numPr>
      <w:pBdr>
        <w:bottom w:val="none" w:sz="0" w:space="0" w:color="auto"/>
      </w:pBdr>
      <w:spacing w:before="320"/>
      <w:outlineLvl w:val="1"/>
    </w:pPr>
    <w:rPr>
      <w:caps w:val="0"/>
      <w:sz w:val="26"/>
      <w:szCs w:val="28"/>
    </w:rPr>
  </w:style>
  <w:style w:type="paragraph" w:styleId="Heading3">
    <w:name w:val="heading 3"/>
    <w:basedOn w:val="Heading2"/>
    <w:next w:val="Normal"/>
    <w:link w:val="Heading3Char"/>
    <w:qFormat/>
    <w:rsid w:val="0045269F"/>
    <w:pPr>
      <w:numPr>
        <w:ilvl w:val="2"/>
        <w:numId w:val="11"/>
      </w:numPr>
      <w:spacing w:before="280"/>
      <w:outlineLvl w:val="2"/>
    </w:pPr>
    <w:rPr>
      <w:sz w:val="22"/>
      <w:szCs w:val="22"/>
    </w:rPr>
  </w:style>
  <w:style w:type="paragraph" w:styleId="Heading4">
    <w:name w:val="heading 4"/>
    <w:basedOn w:val="Normal"/>
    <w:next w:val="Normal"/>
    <w:link w:val="Heading4Char"/>
    <w:uiPriority w:val="9"/>
    <w:qFormat/>
    <w:rsid w:val="0045269F"/>
    <w:pPr>
      <w:keepNext/>
      <w:spacing w:before="240" w:after="40"/>
      <w:outlineLvl w:val="3"/>
    </w:pPr>
    <w:rPr>
      <w:rFonts w:ascii="VIC" w:hAnsi="VIC"/>
      <w:color w:val="005EA1" w:themeColor="accent1"/>
      <w:lang w:eastAsia="en-US"/>
    </w:rPr>
  </w:style>
  <w:style w:type="paragraph" w:styleId="Heading5">
    <w:name w:val="heading 5"/>
    <w:basedOn w:val="Heading4"/>
    <w:next w:val="Normal"/>
    <w:link w:val="Heading5Char"/>
    <w:uiPriority w:val="9"/>
    <w:semiHidden/>
    <w:qFormat/>
    <w:rsid w:val="00F878B0"/>
    <w:pPr>
      <w:outlineLvl w:val="4"/>
    </w:pPr>
    <w:rPr>
      <w:rFonts w:eastAsia="Times New Roman"/>
      <w:u w:color="808080"/>
    </w:rPr>
  </w:style>
  <w:style w:type="paragraph" w:styleId="Heading6">
    <w:name w:val="heading 6"/>
    <w:basedOn w:val="NormalLeftAlign"/>
    <w:next w:val="Normal"/>
    <w:link w:val="Heading6Char"/>
    <w:uiPriority w:val="9"/>
    <w:semiHidden/>
    <w:unhideWhenUsed/>
    <w:qFormat/>
    <w:rsid w:val="008F228F"/>
    <w:pPr>
      <w:keepNext/>
      <w:tabs>
        <w:tab w:val="left" w:pos="357"/>
      </w:tabs>
      <w:spacing w:before="240"/>
      <w:outlineLvl w:val="5"/>
    </w:pPr>
    <w:rPr>
      <w:rFonts w:eastAsia="Times New Roman"/>
    </w:rPr>
  </w:style>
  <w:style w:type="paragraph" w:styleId="Heading7">
    <w:name w:val="heading 7"/>
    <w:basedOn w:val="NormalLeftAlign"/>
    <w:next w:val="Normal"/>
    <w:link w:val="Heading7Char"/>
    <w:uiPriority w:val="9"/>
    <w:semiHidden/>
    <w:unhideWhenUsed/>
    <w:qFormat/>
    <w:rsid w:val="00EE6E35"/>
    <w:pPr>
      <w:keepNext/>
      <w:spacing w:before="200"/>
      <w:outlineLvl w:val="6"/>
    </w:pPr>
  </w:style>
  <w:style w:type="paragraph" w:styleId="Heading8">
    <w:name w:val="heading 8"/>
    <w:basedOn w:val="Normal"/>
    <w:next w:val="Normal"/>
    <w:link w:val="Heading8Char"/>
    <w:uiPriority w:val="9"/>
    <w:semiHidden/>
    <w:qFormat/>
    <w:rsid w:val="00D03EDA"/>
    <w:pPr>
      <w:spacing w:after="40"/>
      <w:outlineLvl w:val="7"/>
    </w:pPr>
  </w:style>
  <w:style w:type="paragraph" w:styleId="Heading9">
    <w:name w:val="heading 9"/>
    <w:basedOn w:val="Heading8"/>
    <w:next w:val="Normal"/>
    <w:link w:val="Heading9Char"/>
    <w:uiPriority w:val="9"/>
    <w:semiHidden/>
    <w:unhideWhenUsed/>
    <w:qFormat/>
    <w:rsid w:val="00756D2C"/>
    <w:pPr>
      <w:keepNext/>
      <w:keepLines/>
      <w:outlineLvl w:val="8"/>
    </w:pPr>
    <w:rPr>
      <w:rFonts w:eastAsiaTheme="majorEastAsia" w:cstheme="majorBidi"/>
      <w:i/>
      <w:iCs/>
      <w:color w:val="404040" w:themeColor="text1" w:themeTint="B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dentListBigIndent">
    <w:name w:val="Indent List Big Indent"/>
    <w:basedOn w:val="NormalLeftAlign"/>
    <w:semiHidden/>
    <w:rsid w:val="006A4B4A"/>
    <w:pPr>
      <w:tabs>
        <w:tab w:val="left" w:pos="1134"/>
        <w:tab w:val="left" w:pos="1985"/>
      </w:tabs>
      <w:spacing w:before="0"/>
      <w:ind w:left="1134"/>
    </w:pPr>
  </w:style>
  <w:style w:type="table" w:styleId="TableGrid">
    <w:name w:val="Table Grid"/>
    <w:basedOn w:val="TableNormal"/>
    <w:rsid w:val="005D6B50"/>
    <w:pPr>
      <w:tabs>
        <w:tab w:val="left" w:pos="425"/>
        <w:tab w:val="left" w:pos="709"/>
        <w:tab w:val="left" w:pos="992"/>
      </w:tabs>
      <w:suppressAutoHyphens/>
    </w:pPr>
    <w:rPr>
      <w:sz w:val="20"/>
    </w:rPr>
    <w:tblPr>
      <w:tblBorders>
        <w:bottom w:val="single" w:sz="4" w:space="0" w:color="808080"/>
        <w:insideH w:val="single" w:sz="4" w:space="0" w:color="808080"/>
      </w:tblBorders>
    </w:tblPr>
  </w:style>
  <w:style w:type="character" w:customStyle="1" w:styleId="TableheadingsChar">
    <w:name w:val="Table / headings Char"/>
    <w:basedOn w:val="DefaultParagraphFont"/>
    <w:link w:val="Tableheadings"/>
    <w:rsid w:val="00F16B89"/>
    <w:rPr>
      <w:rFonts w:ascii="VIC SemiBold" w:hAnsi="VIC SemiBold"/>
      <w:b/>
      <w:caps/>
      <w:color w:val="FFFFFF" w:themeColor="background1"/>
      <w:sz w:val="16"/>
    </w:rPr>
  </w:style>
  <w:style w:type="character" w:customStyle="1" w:styleId="TabletextChar">
    <w:name w:val="Table / text Char"/>
    <w:basedOn w:val="TableheadingsChar"/>
    <w:link w:val="Tabletext"/>
    <w:rsid w:val="001B43BF"/>
    <w:rPr>
      <w:rFonts w:ascii="VIC SemiBold" w:hAnsi="VIC SemiBold"/>
      <w:b w:val="0"/>
      <w:caps w:val="0"/>
      <w:color w:val="262626" w:themeColor="text1" w:themeTint="D9"/>
      <w:sz w:val="16"/>
    </w:rPr>
  </w:style>
  <w:style w:type="paragraph" w:customStyle="1" w:styleId="Marginbox">
    <w:name w:val="Margin box"/>
    <w:basedOn w:val="NormalLeftAlign"/>
    <w:next w:val="Normal"/>
    <w:semiHidden/>
    <w:rsid w:val="002F2B1E"/>
    <w:pPr>
      <w:spacing w:before="0"/>
      <w:ind w:right="113"/>
      <w:jc w:val="right"/>
    </w:pPr>
    <w:rPr>
      <w:i/>
      <w:sz w:val="24"/>
    </w:rPr>
  </w:style>
  <w:style w:type="paragraph" w:customStyle="1" w:styleId="NormalLeftAlign">
    <w:name w:val="Normal Left Align"/>
    <w:semiHidden/>
    <w:rsid w:val="00960299"/>
    <w:pPr>
      <w:suppressAutoHyphens/>
      <w:spacing w:before="160"/>
    </w:pPr>
    <w:rPr>
      <w:sz w:val="21"/>
      <w:lang w:eastAsia="en-US"/>
    </w:rPr>
  </w:style>
  <w:style w:type="paragraph" w:customStyle="1" w:styleId="Tableheadings">
    <w:name w:val="Table / headings"/>
    <w:basedOn w:val="Normal"/>
    <w:link w:val="TableheadingsChar"/>
    <w:rsid w:val="00F16B89"/>
    <w:pPr>
      <w:keepNext/>
      <w:spacing w:before="120" w:after="80"/>
      <w:jc w:val="left"/>
    </w:pPr>
    <w:rPr>
      <w:rFonts w:ascii="VIC SemiBold" w:hAnsi="VIC SemiBold"/>
      <w:b/>
      <w:caps/>
      <w:color w:val="FFFFFF" w:themeColor="background1"/>
      <w:sz w:val="16"/>
    </w:rPr>
  </w:style>
  <w:style w:type="paragraph" w:customStyle="1" w:styleId="List3dash">
    <w:name w:val="List 3 / dash"/>
    <w:basedOn w:val="Normal"/>
    <w:qFormat/>
    <w:rsid w:val="00B7210B"/>
    <w:pPr>
      <w:keepLines/>
      <w:numPr>
        <w:numId w:val="6"/>
      </w:numPr>
      <w:spacing w:before="40"/>
      <w:ind w:left="568" w:hanging="284"/>
      <w:jc w:val="left"/>
    </w:pPr>
    <w:rPr>
      <w:rFonts w:eastAsia="Arial Unicode MS" w:cs="Arial"/>
      <w:lang w:eastAsia="en-US"/>
    </w:rPr>
  </w:style>
  <w:style w:type="character" w:customStyle="1" w:styleId="TablenoobjChar">
    <w:name w:val="Table / no. obj Char"/>
    <w:basedOn w:val="TabletextChar"/>
    <w:link w:val="Tablenoobj"/>
    <w:rsid w:val="00D23473"/>
    <w:rPr>
      <w:rFonts w:ascii="VIC SemiBold" w:hAnsi="VIC SemiBold"/>
      <w:b w:val="0"/>
      <w:caps w:val="0"/>
      <w:color w:val="003C74" w:themeColor="text2"/>
      <w:sz w:val="28"/>
    </w:rPr>
  </w:style>
  <w:style w:type="paragraph" w:customStyle="1" w:styleId="Tabletext">
    <w:name w:val="Table / text"/>
    <w:basedOn w:val="Normal"/>
    <w:link w:val="TabletextChar"/>
    <w:qFormat/>
    <w:rsid w:val="001B43BF"/>
    <w:pPr>
      <w:spacing w:before="40" w:after="40"/>
      <w:jc w:val="left"/>
    </w:pPr>
    <w:rPr>
      <w:color w:val="262626" w:themeColor="text1" w:themeTint="D9"/>
      <w:sz w:val="16"/>
    </w:rPr>
  </w:style>
  <w:style w:type="paragraph" w:styleId="BodyTextIndent">
    <w:name w:val="Body Text Indent"/>
    <w:aliases w:val="Quote1"/>
    <w:basedOn w:val="Normal"/>
    <w:link w:val="BodyTextIndentChar"/>
    <w:semiHidden/>
    <w:rsid w:val="00181D1D"/>
    <w:pPr>
      <w:tabs>
        <w:tab w:val="left" w:pos="426"/>
      </w:tabs>
      <w:ind w:left="426"/>
    </w:pPr>
    <w:rPr>
      <w:i/>
    </w:rPr>
  </w:style>
  <w:style w:type="paragraph" w:customStyle="1" w:styleId="List2indent">
    <w:name w:val="List 2 / indent"/>
    <w:basedOn w:val="Normal"/>
    <w:qFormat/>
    <w:rsid w:val="00B7210B"/>
    <w:pPr>
      <w:keepLines/>
      <w:spacing w:before="120"/>
      <w:ind w:left="284"/>
      <w:jc w:val="left"/>
    </w:pPr>
    <w:rPr>
      <w:rFonts w:eastAsia="Arial Unicode MS" w:cs="Arial"/>
    </w:rPr>
  </w:style>
  <w:style w:type="paragraph" w:styleId="BodyText">
    <w:name w:val="Body Text"/>
    <w:basedOn w:val="Normal"/>
    <w:link w:val="BodyTextChar"/>
    <w:uiPriority w:val="99"/>
    <w:semiHidden/>
    <w:rsid w:val="00F93BB6"/>
    <w:rPr>
      <w:color w:val="000000"/>
    </w:rPr>
  </w:style>
  <w:style w:type="numbering" w:customStyle="1" w:styleId="NumberedList">
    <w:name w:val="Numbered List"/>
    <w:basedOn w:val="NoList"/>
    <w:rsid w:val="00FE70B6"/>
    <w:pPr>
      <w:numPr>
        <w:numId w:val="1"/>
      </w:numPr>
    </w:pPr>
  </w:style>
  <w:style w:type="paragraph" w:customStyle="1" w:styleId="Heading1nonumbers">
    <w:name w:val="Heading 1 no numbers"/>
    <w:basedOn w:val="Heading1"/>
    <w:next w:val="Normal"/>
    <w:qFormat/>
    <w:rsid w:val="005A728A"/>
    <w:pPr>
      <w:numPr>
        <w:numId w:val="0"/>
      </w:numPr>
    </w:pPr>
  </w:style>
  <w:style w:type="numbering" w:customStyle="1" w:styleId="Numbers">
    <w:name w:val="Numbers"/>
    <w:basedOn w:val="NoList"/>
    <w:rsid w:val="00FE70B6"/>
    <w:pPr>
      <w:numPr>
        <w:numId w:val="2"/>
      </w:numPr>
    </w:pPr>
  </w:style>
  <w:style w:type="paragraph" w:styleId="Footer">
    <w:name w:val="footer"/>
    <w:basedOn w:val="Normal"/>
    <w:link w:val="FooterChar"/>
    <w:unhideWhenUsed/>
    <w:qFormat/>
    <w:rsid w:val="000A60B0"/>
    <w:pPr>
      <w:tabs>
        <w:tab w:val="center" w:pos="4513"/>
        <w:tab w:val="right" w:pos="9026"/>
      </w:tabs>
      <w:spacing w:before="0"/>
    </w:pPr>
  </w:style>
  <w:style w:type="character" w:customStyle="1" w:styleId="Heading1Char">
    <w:name w:val="Heading 1 Char"/>
    <w:basedOn w:val="DefaultParagraphFont"/>
    <w:link w:val="Heading1"/>
    <w:rsid w:val="009F44C7"/>
    <w:rPr>
      <w:rFonts w:ascii="VIC" w:hAnsi="VIC" w:cs="Arial"/>
      <w:caps/>
      <w:sz w:val="32"/>
      <w:szCs w:val="32"/>
      <w:lang w:eastAsia="en-US"/>
    </w:rPr>
  </w:style>
  <w:style w:type="character" w:customStyle="1" w:styleId="Heading2Char">
    <w:name w:val="Heading 2 Char"/>
    <w:basedOn w:val="DefaultParagraphFont"/>
    <w:link w:val="Heading2"/>
    <w:rsid w:val="0045269F"/>
    <w:rPr>
      <w:rFonts w:ascii="VIC" w:hAnsi="VIC" w:cs="Arial"/>
      <w:sz w:val="26"/>
      <w:szCs w:val="28"/>
      <w:lang w:eastAsia="en-US"/>
    </w:rPr>
  </w:style>
  <w:style w:type="character" w:customStyle="1" w:styleId="Heading3Char">
    <w:name w:val="Heading 3 Char"/>
    <w:basedOn w:val="DefaultParagraphFont"/>
    <w:link w:val="Heading3"/>
    <w:rsid w:val="0045269F"/>
    <w:rPr>
      <w:rFonts w:ascii="VIC" w:hAnsi="VIC" w:cs="Arial"/>
      <w:sz w:val="22"/>
      <w:szCs w:val="22"/>
      <w:lang w:eastAsia="en-US"/>
    </w:rPr>
  </w:style>
  <w:style w:type="character" w:customStyle="1" w:styleId="Heading4Char">
    <w:name w:val="Heading 4 Char"/>
    <w:basedOn w:val="DefaultParagraphFont"/>
    <w:link w:val="Heading4"/>
    <w:uiPriority w:val="9"/>
    <w:rsid w:val="0045269F"/>
    <w:rPr>
      <w:rFonts w:ascii="VIC" w:hAnsi="VIC"/>
      <w:color w:val="005EA1" w:themeColor="accent1"/>
      <w:lang w:eastAsia="en-US"/>
    </w:rPr>
  </w:style>
  <w:style w:type="character" w:customStyle="1" w:styleId="Heading5Char">
    <w:name w:val="Heading 5 Char"/>
    <w:basedOn w:val="DefaultParagraphFont"/>
    <w:link w:val="Heading5"/>
    <w:uiPriority w:val="9"/>
    <w:semiHidden/>
    <w:rsid w:val="000361CF"/>
    <w:rPr>
      <w:rFonts w:ascii="Swis721 BlkCn BT" w:eastAsia="Times New Roman" w:hAnsi="Swis721 BlkCn BT"/>
      <w:u w:color="808080"/>
      <w:lang w:eastAsia="en-US"/>
    </w:rPr>
  </w:style>
  <w:style w:type="paragraph" w:customStyle="1" w:styleId="Tablelists">
    <w:name w:val="Table / lists"/>
    <w:basedOn w:val="Tabletext"/>
    <w:qFormat/>
    <w:rsid w:val="00B7210B"/>
    <w:pPr>
      <w:numPr>
        <w:numId w:val="3"/>
      </w:numPr>
      <w:ind w:left="284" w:hanging="284"/>
    </w:pPr>
    <w:rPr>
      <w:rFonts w:cs="Tahoma"/>
      <w:szCs w:val="16"/>
    </w:rPr>
  </w:style>
  <w:style w:type="paragraph" w:customStyle="1" w:styleId="List1bullet">
    <w:name w:val="List 1 / bullet"/>
    <w:basedOn w:val="Normal"/>
    <w:qFormat/>
    <w:rsid w:val="0045269F"/>
    <w:pPr>
      <w:keepLines/>
      <w:numPr>
        <w:numId w:val="5"/>
      </w:numPr>
      <w:spacing w:before="120"/>
      <w:ind w:left="284" w:hanging="284"/>
      <w:jc w:val="left"/>
    </w:pPr>
    <w:rPr>
      <w:rFonts w:eastAsia="Arial Unicode MS" w:cs="Arial"/>
    </w:rPr>
  </w:style>
  <w:style w:type="paragraph" w:customStyle="1" w:styleId="Tablenoobj">
    <w:name w:val="Table / no. obj"/>
    <w:basedOn w:val="Tabletext"/>
    <w:link w:val="TablenoobjChar"/>
    <w:qFormat/>
    <w:rsid w:val="00D23473"/>
    <w:pPr>
      <w:numPr>
        <w:numId w:val="7"/>
      </w:numPr>
      <w:tabs>
        <w:tab w:val="left" w:pos="425"/>
        <w:tab w:val="left" w:pos="709"/>
        <w:tab w:val="left" w:pos="992"/>
      </w:tabs>
      <w:jc w:val="center"/>
    </w:pPr>
    <w:rPr>
      <w:rFonts w:ascii="VIC SemiBold" w:hAnsi="VIC SemiBold"/>
      <w:color w:val="003C74" w:themeColor="text2"/>
      <w:sz w:val="28"/>
    </w:rPr>
  </w:style>
  <w:style w:type="character" w:customStyle="1" w:styleId="FooterChar">
    <w:name w:val="Footer Char"/>
    <w:basedOn w:val="DefaultParagraphFont"/>
    <w:link w:val="Footer"/>
    <w:rsid w:val="000A60B0"/>
  </w:style>
  <w:style w:type="table" w:customStyle="1" w:styleId="Lined">
    <w:name w:val="Lined"/>
    <w:basedOn w:val="TableNormal"/>
    <w:uiPriority w:val="99"/>
    <w:qFormat/>
    <w:rsid w:val="00E04BEC"/>
    <w:tblPr>
      <w:tblBorders>
        <w:top w:val="single" w:sz="12" w:space="0" w:color="auto"/>
        <w:bottom w:val="single" w:sz="12" w:space="0" w:color="auto"/>
        <w:insideH w:val="single" w:sz="4" w:space="0" w:color="auto"/>
      </w:tblBorders>
      <w:tblCellMar>
        <w:top w:w="57" w:type="dxa"/>
        <w:left w:w="57" w:type="dxa"/>
        <w:bottom w:w="57" w:type="dxa"/>
        <w:right w:w="57" w:type="dxa"/>
      </w:tblCellMar>
    </w:tblPr>
    <w:trPr>
      <w:cantSplit/>
    </w:trPr>
    <w:tblStylePr w:type="firstRow">
      <w:tblPr/>
      <w:tcPr>
        <w:tcBorders>
          <w:top w:val="single" w:sz="12" w:space="0" w:color="auto"/>
          <w:left w:val="nil"/>
          <w:bottom w:val="single" w:sz="4" w:space="0" w:color="auto"/>
          <w:right w:val="nil"/>
          <w:insideH w:val="nil"/>
          <w:insideV w:val="nil"/>
          <w:tl2br w:val="nil"/>
          <w:tr2bl w:val="nil"/>
        </w:tcBorders>
      </w:tcPr>
    </w:tblStylePr>
    <w:tblStylePr w:type="lastRow">
      <w:rPr>
        <w:rFonts w:ascii="Arial" w:hAnsi="Arial"/>
      </w:rPr>
      <w:tblPr/>
      <w:tcPr>
        <w:tcBorders>
          <w:top w:val="single" w:sz="4" w:space="0" w:color="auto"/>
          <w:left w:val="nil"/>
          <w:bottom w:val="single" w:sz="12" w:space="0" w:color="auto"/>
          <w:right w:val="nil"/>
          <w:insideH w:val="nil"/>
          <w:insideV w:val="nil"/>
          <w:tl2br w:val="nil"/>
          <w:tr2bl w:val="nil"/>
        </w:tcBorders>
      </w:tcPr>
    </w:tblStylePr>
  </w:style>
  <w:style w:type="table" w:styleId="Table3Deffects3">
    <w:name w:val="Table 3D effects 3"/>
    <w:basedOn w:val="TableNormal"/>
    <w:rsid w:val="00F76502"/>
    <w:pPr>
      <w:tabs>
        <w:tab w:val="left" w:pos="425"/>
        <w:tab w:val="left" w:pos="709"/>
        <w:tab w:val="left" w:pos="992"/>
      </w:tabs>
      <w:suppressAutoHyphens/>
      <w:spacing w:before="16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Base">
    <w:name w:val="Table Base"/>
    <w:basedOn w:val="TableNormal"/>
    <w:uiPriority w:val="99"/>
    <w:qFormat/>
    <w:rsid w:val="001723E4"/>
    <w:tblPr/>
  </w:style>
  <w:style w:type="table" w:customStyle="1" w:styleId="MPA">
    <w:name w:val="MPA"/>
    <w:basedOn w:val="TableNormal"/>
    <w:uiPriority w:val="99"/>
    <w:rsid w:val="00065392"/>
    <w:rPr>
      <w:sz w:val="20"/>
    </w:rPr>
    <w:tblP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b w:val="0"/>
        <w:color w:val="FFFFFF" w:themeColor="background1"/>
      </w:rPr>
      <w:tblPr/>
      <w:tcPr>
        <w:tcBorders>
          <w:top w:val="nil"/>
          <w:left w:val="nil"/>
          <w:bottom w:val="nil"/>
          <w:right w:val="nil"/>
          <w:insideH w:val="nil"/>
          <w:insideV w:val="nil"/>
          <w:tl2br w:val="nil"/>
          <w:tr2bl w:val="nil"/>
        </w:tcBorders>
        <w:shd w:val="solid" w:color="7030A0" w:fill="7030A0"/>
      </w:tcPr>
    </w:tblStylePr>
  </w:style>
  <w:style w:type="paragraph" w:styleId="BalloonText">
    <w:name w:val="Balloon Text"/>
    <w:basedOn w:val="Normal"/>
    <w:link w:val="BalloonTextChar"/>
    <w:uiPriority w:val="99"/>
    <w:semiHidden/>
    <w:unhideWhenUsed/>
    <w:rsid w:val="00587F30"/>
    <w:pPr>
      <w:spacing w:before="0"/>
    </w:pPr>
    <w:rPr>
      <w:rFonts w:cs="Tahoma"/>
      <w:sz w:val="16"/>
      <w:szCs w:val="16"/>
    </w:rPr>
  </w:style>
  <w:style w:type="character" w:customStyle="1" w:styleId="BalloonTextChar">
    <w:name w:val="Balloon Text Char"/>
    <w:basedOn w:val="DefaultParagraphFont"/>
    <w:link w:val="BalloonText"/>
    <w:uiPriority w:val="99"/>
    <w:semiHidden/>
    <w:rsid w:val="00587F30"/>
    <w:rPr>
      <w:rFonts w:cs="Tahoma"/>
      <w:sz w:val="16"/>
      <w:szCs w:val="16"/>
      <w:lang w:eastAsia="en-US"/>
    </w:rPr>
  </w:style>
  <w:style w:type="paragraph" w:customStyle="1" w:styleId="Tablenoreq">
    <w:name w:val="Table / no. req"/>
    <w:basedOn w:val="Tablenoobj"/>
    <w:qFormat/>
    <w:rsid w:val="008C5740"/>
    <w:pPr>
      <w:numPr>
        <w:numId w:val="8"/>
      </w:numPr>
    </w:pPr>
    <w:rPr>
      <w:color w:val="95C11F" w:themeColor="accent3"/>
    </w:rPr>
  </w:style>
  <w:style w:type="paragraph" w:customStyle="1" w:styleId="Tablenoguid">
    <w:name w:val="Table / no. guid"/>
    <w:basedOn w:val="Tablenoobj"/>
    <w:qFormat/>
    <w:rsid w:val="008C5740"/>
    <w:pPr>
      <w:numPr>
        <w:numId w:val="9"/>
      </w:numPr>
    </w:pPr>
    <w:rPr>
      <w:color w:val="008BD2" w:themeColor="accent2"/>
    </w:rPr>
  </w:style>
  <w:style w:type="table" w:styleId="TableClassic1">
    <w:name w:val="Table Classic 1"/>
    <w:basedOn w:val="TableNormal"/>
    <w:rsid w:val="00411E4E"/>
    <w:pPr>
      <w:suppressAutoHyphens/>
      <w:spacing w:before="160" w:line="264"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411E4E"/>
    <w:pPr>
      <w:suppressAutoHyphens/>
      <w:spacing w:before="160" w:line="264"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GreyBar">
    <w:name w:val="Grey Bar"/>
    <w:basedOn w:val="Lined"/>
    <w:uiPriority w:val="99"/>
    <w:qFormat/>
    <w:rsid w:val="00B5012F"/>
    <w:tblPr>
      <w:tblBorders>
        <w:top w:val="none" w:sz="0" w:space="0" w:color="auto"/>
        <w:bottom w:val="single" w:sz="8" w:space="0" w:color="A6A6A6" w:themeColor="background1" w:themeShade="A6"/>
        <w:insideH w:val="single" w:sz="8" w:space="0" w:color="A6A6A6" w:themeColor="background1" w:themeShade="A6"/>
      </w:tblBorders>
    </w:tblPr>
    <w:tblStylePr w:type="firstRow">
      <w:rPr>
        <w:color w:val="FFFFFF" w:themeColor="background1"/>
      </w:rPr>
      <w:tblPr/>
      <w:tcPr>
        <w:tcBorders>
          <w:top w:val="nil"/>
          <w:left w:val="nil"/>
          <w:bottom w:val="nil"/>
          <w:right w:val="nil"/>
          <w:insideH w:val="nil"/>
          <w:insideV w:val="nil"/>
          <w:tl2br w:val="nil"/>
          <w:tr2bl w:val="nil"/>
        </w:tcBorders>
        <w:shd w:val="clear" w:color="auto" w:fill="A6A6A6" w:themeFill="background1" w:themeFillShade="A6"/>
      </w:tcPr>
    </w:tblStylePr>
    <w:tblStylePr w:type="lastRow">
      <w:rPr>
        <w:rFonts w:ascii="Arial" w:hAnsi="Arial"/>
      </w:rPr>
      <w:tblPr/>
      <w:tcPr>
        <w:tcBorders>
          <w:top w:val="single" w:sz="8" w:space="0" w:color="A6A6A6" w:themeColor="background1" w:themeShade="A6"/>
          <w:left w:val="nil"/>
          <w:bottom w:val="single" w:sz="8" w:space="0" w:color="A6A6A6" w:themeColor="background1" w:themeShade="A6"/>
          <w:right w:val="nil"/>
          <w:insideH w:val="nil"/>
          <w:insideV w:val="nil"/>
          <w:tl2br w:val="nil"/>
          <w:tr2bl w:val="nil"/>
        </w:tcBorders>
      </w:tcPr>
    </w:tblStylePr>
    <w:tblStylePr w:type="band1Horz">
      <w:tblPr/>
      <w:tcPr>
        <w:tcBorders>
          <w:top w:val="nil"/>
          <w:bottom w:val="nil"/>
          <w:insideH w:val="single" w:sz="4" w:space="0" w:color="auto"/>
        </w:tcBorders>
      </w:tcPr>
    </w:tblStylePr>
  </w:style>
  <w:style w:type="table" w:styleId="MediumGrid2-Accent6">
    <w:name w:val="Medium Grid 2 Accent 6"/>
    <w:basedOn w:val="TableNormal"/>
    <w:uiPriority w:val="68"/>
    <w:rsid w:val="00587F30"/>
    <w:rPr>
      <w:rFonts w:eastAsiaTheme="majorEastAsia" w:cstheme="majorBidi"/>
      <w:color w:val="000000" w:themeColor="text1"/>
    </w:rPr>
    <w:tblPr>
      <w:tblStyleRowBandSize w:val="1"/>
      <w:tblStyleColBandSize w:val="1"/>
      <w:tblBorders>
        <w:top w:val="single" w:sz="8" w:space="0" w:color="63B9E9" w:themeColor="accent6"/>
        <w:left w:val="single" w:sz="8" w:space="0" w:color="63B9E9" w:themeColor="accent6"/>
        <w:bottom w:val="single" w:sz="8" w:space="0" w:color="63B9E9" w:themeColor="accent6"/>
        <w:right w:val="single" w:sz="8" w:space="0" w:color="63B9E9" w:themeColor="accent6"/>
        <w:insideH w:val="single" w:sz="8" w:space="0" w:color="63B9E9" w:themeColor="accent6"/>
        <w:insideV w:val="single" w:sz="8" w:space="0" w:color="63B9E9" w:themeColor="accent6"/>
      </w:tblBorders>
    </w:tblPr>
    <w:tcPr>
      <w:shd w:val="clear" w:color="auto" w:fill="D8EDF9" w:themeFill="accent6" w:themeFillTint="3F"/>
    </w:tcPr>
    <w:tblStylePr w:type="firstRow">
      <w:rPr>
        <w:b/>
        <w:bCs/>
        <w:color w:val="000000" w:themeColor="text1"/>
      </w:rPr>
      <w:tblPr/>
      <w:tcPr>
        <w:shd w:val="clear" w:color="auto" w:fill="EFF8F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0FA" w:themeFill="accent6" w:themeFillTint="33"/>
      </w:tcPr>
    </w:tblStylePr>
    <w:tblStylePr w:type="band1Vert">
      <w:tblPr/>
      <w:tcPr>
        <w:shd w:val="clear" w:color="auto" w:fill="B1DBF4" w:themeFill="accent6" w:themeFillTint="7F"/>
      </w:tcPr>
    </w:tblStylePr>
    <w:tblStylePr w:type="band1Horz">
      <w:tblPr/>
      <w:tcPr>
        <w:tcBorders>
          <w:insideH w:val="single" w:sz="6" w:space="0" w:color="63B9E9" w:themeColor="accent6"/>
          <w:insideV w:val="single" w:sz="6" w:space="0" w:color="63B9E9" w:themeColor="accent6"/>
        </w:tcBorders>
        <w:shd w:val="clear" w:color="auto" w:fill="B1DBF4" w:themeFill="accent6"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587F30"/>
    <w:rPr>
      <w:rFonts w:eastAsiaTheme="majorEastAsia" w:cstheme="majorBidi"/>
      <w:color w:val="000000" w:themeColor="text1"/>
    </w:rPr>
    <w:tblPr>
      <w:tblStyleRowBandSize w:val="1"/>
      <w:tblStyleColBandSize w:val="1"/>
      <w:tblBorders>
        <w:top w:val="single" w:sz="8" w:space="0" w:color="4CA22F" w:themeColor="accent5"/>
        <w:left w:val="single" w:sz="8" w:space="0" w:color="4CA22F" w:themeColor="accent5"/>
        <w:bottom w:val="single" w:sz="8" w:space="0" w:color="4CA22F" w:themeColor="accent5"/>
        <w:right w:val="single" w:sz="8" w:space="0" w:color="4CA22F" w:themeColor="accent5"/>
        <w:insideH w:val="single" w:sz="8" w:space="0" w:color="4CA22F" w:themeColor="accent5"/>
        <w:insideV w:val="single" w:sz="8" w:space="0" w:color="4CA22F" w:themeColor="accent5"/>
      </w:tblBorders>
    </w:tblPr>
    <w:tcPr>
      <w:shd w:val="clear" w:color="auto" w:fill="CFEEC5" w:themeFill="accent5" w:themeFillTint="3F"/>
    </w:tcPr>
    <w:tblStylePr w:type="firstRow">
      <w:rPr>
        <w:b/>
        <w:bCs/>
        <w:color w:val="000000" w:themeColor="text1"/>
      </w:rPr>
      <w:tblPr/>
      <w:tcPr>
        <w:shd w:val="clear" w:color="auto" w:fill="ECF8E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F1D0" w:themeFill="accent5" w:themeFillTint="33"/>
      </w:tcPr>
    </w:tblStylePr>
    <w:tblStylePr w:type="band1Vert">
      <w:tblPr/>
      <w:tcPr>
        <w:shd w:val="clear" w:color="auto" w:fill="9FDD8A" w:themeFill="accent5" w:themeFillTint="7F"/>
      </w:tcPr>
    </w:tblStylePr>
    <w:tblStylePr w:type="band1Horz">
      <w:tblPr/>
      <w:tcPr>
        <w:tcBorders>
          <w:insideH w:val="single" w:sz="6" w:space="0" w:color="4CA22F" w:themeColor="accent5"/>
          <w:insideV w:val="single" w:sz="6" w:space="0" w:color="4CA22F" w:themeColor="accent5"/>
        </w:tcBorders>
        <w:shd w:val="clear" w:color="auto" w:fill="9FDD8A" w:themeFill="accent5"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587F30"/>
    <w:rPr>
      <w:rFonts w:eastAsiaTheme="majorEastAsia" w:cstheme="majorBidi"/>
      <w:color w:val="000000" w:themeColor="text1"/>
    </w:rPr>
    <w:tblPr>
      <w:tblStyleRowBandSize w:val="1"/>
      <w:tblStyleColBandSize w:val="1"/>
      <w:tblBorders>
        <w:top w:val="single" w:sz="8" w:space="0" w:color="9CA0A3" w:themeColor="accent4"/>
        <w:left w:val="single" w:sz="8" w:space="0" w:color="9CA0A3" w:themeColor="accent4"/>
        <w:bottom w:val="single" w:sz="8" w:space="0" w:color="9CA0A3" w:themeColor="accent4"/>
        <w:right w:val="single" w:sz="8" w:space="0" w:color="9CA0A3" w:themeColor="accent4"/>
        <w:insideH w:val="single" w:sz="8" w:space="0" w:color="9CA0A3" w:themeColor="accent4"/>
        <w:insideV w:val="single" w:sz="8" w:space="0" w:color="9CA0A3" w:themeColor="accent4"/>
      </w:tblBorders>
    </w:tblPr>
    <w:tcPr>
      <w:shd w:val="clear" w:color="auto" w:fill="E6E7E8" w:themeFill="accent4" w:themeFillTint="3F"/>
    </w:tcPr>
    <w:tblStylePr w:type="firstRow">
      <w:rPr>
        <w:b/>
        <w:bCs/>
        <w:color w:val="000000" w:themeColor="text1"/>
      </w:rPr>
      <w:tblPr/>
      <w:tcPr>
        <w:shd w:val="clear" w:color="auto" w:fill="F5F5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BEC" w:themeFill="accent4" w:themeFillTint="33"/>
      </w:tcPr>
    </w:tblStylePr>
    <w:tblStylePr w:type="band1Vert">
      <w:tblPr/>
      <w:tcPr>
        <w:shd w:val="clear" w:color="auto" w:fill="CDCFD1" w:themeFill="accent4" w:themeFillTint="7F"/>
      </w:tcPr>
    </w:tblStylePr>
    <w:tblStylePr w:type="band1Horz">
      <w:tblPr/>
      <w:tcPr>
        <w:tcBorders>
          <w:insideH w:val="single" w:sz="6" w:space="0" w:color="9CA0A3" w:themeColor="accent4"/>
          <w:insideV w:val="single" w:sz="6" w:space="0" w:color="9CA0A3" w:themeColor="accent4"/>
        </w:tcBorders>
        <w:shd w:val="clear" w:color="auto" w:fill="CDCFD1" w:themeFill="accent4"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587F30"/>
    <w:rPr>
      <w:rFonts w:eastAsiaTheme="majorEastAsia" w:cstheme="majorBidi"/>
      <w:color w:val="000000" w:themeColor="text1"/>
    </w:rPr>
    <w:tblPr>
      <w:tblStyleRowBandSize w:val="1"/>
      <w:tblStyleColBandSize w:val="1"/>
      <w:tblBorders>
        <w:top w:val="single" w:sz="8" w:space="0" w:color="95C11F" w:themeColor="accent3"/>
        <w:left w:val="single" w:sz="8" w:space="0" w:color="95C11F" w:themeColor="accent3"/>
        <w:bottom w:val="single" w:sz="8" w:space="0" w:color="95C11F" w:themeColor="accent3"/>
        <w:right w:val="single" w:sz="8" w:space="0" w:color="95C11F" w:themeColor="accent3"/>
        <w:insideH w:val="single" w:sz="8" w:space="0" w:color="95C11F" w:themeColor="accent3"/>
        <w:insideV w:val="single" w:sz="8" w:space="0" w:color="95C11F" w:themeColor="accent3"/>
      </w:tblBorders>
    </w:tblPr>
    <w:tcPr>
      <w:shd w:val="clear" w:color="auto" w:fill="E7F5C2" w:themeFill="accent3" w:themeFillTint="3F"/>
    </w:tcPr>
    <w:tblStylePr w:type="firstRow">
      <w:rPr>
        <w:b/>
        <w:bCs/>
        <w:color w:val="000000" w:themeColor="text1"/>
      </w:rPr>
      <w:tblPr/>
      <w:tcPr>
        <w:shd w:val="clear" w:color="auto" w:fill="F5FBE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F7CD" w:themeFill="accent3" w:themeFillTint="33"/>
      </w:tcPr>
    </w:tblStylePr>
    <w:tblStylePr w:type="band1Vert">
      <w:tblPr/>
      <w:tcPr>
        <w:shd w:val="clear" w:color="auto" w:fill="CEEB84" w:themeFill="accent3" w:themeFillTint="7F"/>
      </w:tcPr>
    </w:tblStylePr>
    <w:tblStylePr w:type="band1Horz">
      <w:tblPr/>
      <w:tcPr>
        <w:tcBorders>
          <w:insideH w:val="single" w:sz="6" w:space="0" w:color="95C11F" w:themeColor="accent3"/>
          <w:insideV w:val="single" w:sz="6" w:space="0" w:color="95C11F" w:themeColor="accent3"/>
        </w:tcBorders>
        <w:shd w:val="clear" w:color="auto" w:fill="CEEB84" w:themeFill="accent3"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587F30"/>
    <w:rPr>
      <w:rFonts w:eastAsiaTheme="majorEastAsia" w:cstheme="majorBidi"/>
      <w:color w:val="000000" w:themeColor="text1"/>
    </w:rPr>
    <w:tblPr>
      <w:tblStyleRowBandSize w:val="1"/>
      <w:tblStyleColBandSize w:val="1"/>
      <w:tblBorders>
        <w:top w:val="single" w:sz="8" w:space="0" w:color="008BD2" w:themeColor="accent2"/>
        <w:left w:val="single" w:sz="8" w:space="0" w:color="008BD2" w:themeColor="accent2"/>
        <w:bottom w:val="single" w:sz="8" w:space="0" w:color="008BD2" w:themeColor="accent2"/>
        <w:right w:val="single" w:sz="8" w:space="0" w:color="008BD2" w:themeColor="accent2"/>
        <w:insideH w:val="single" w:sz="8" w:space="0" w:color="008BD2" w:themeColor="accent2"/>
        <w:insideV w:val="single" w:sz="8" w:space="0" w:color="008BD2" w:themeColor="accent2"/>
      </w:tblBorders>
    </w:tblPr>
    <w:tcPr>
      <w:shd w:val="clear" w:color="auto" w:fill="B4E5FF" w:themeFill="accent2" w:themeFillTint="3F"/>
    </w:tcPr>
    <w:tblStylePr w:type="firstRow">
      <w:rPr>
        <w:b/>
        <w:bCs/>
        <w:color w:val="000000" w:themeColor="text1"/>
      </w:rPr>
      <w:tblPr/>
      <w:tcPr>
        <w:shd w:val="clear" w:color="auto" w:fill="E1F4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3EAFF" w:themeFill="accent2" w:themeFillTint="33"/>
      </w:tcPr>
    </w:tblStylePr>
    <w:tblStylePr w:type="band1Vert">
      <w:tblPr/>
      <w:tcPr>
        <w:shd w:val="clear" w:color="auto" w:fill="69CBFF" w:themeFill="accent2" w:themeFillTint="7F"/>
      </w:tcPr>
    </w:tblStylePr>
    <w:tblStylePr w:type="band1Horz">
      <w:tblPr/>
      <w:tcPr>
        <w:tcBorders>
          <w:insideH w:val="single" w:sz="6" w:space="0" w:color="008BD2" w:themeColor="accent2"/>
          <w:insideV w:val="single" w:sz="6" w:space="0" w:color="008BD2" w:themeColor="accent2"/>
        </w:tcBorders>
        <w:shd w:val="clear" w:color="auto" w:fill="69CBFF" w:themeFill="accent2"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587F30"/>
    <w:rPr>
      <w:rFonts w:eastAsiaTheme="majorEastAsia" w:cstheme="majorBidi"/>
      <w:color w:val="000000" w:themeColor="text1"/>
    </w:rPr>
    <w:tblPr>
      <w:tblStyleRowBandSize w:val="1"/>
      <w:tblStyleColBandSize w:val="1"/>
      <w:tblBorders>
        <w:top w:val="single" w:sz="8" w:space="0" w:color="005EA1" w:themeColor="accent1"/>
        <w:left w:val="single" w:sz="8" w:space="0" w:color="005EA1" w:themeColor="accent1"/>
        <w:bottom w:val="single" w:sz="8" w:space="0" w:color="005EA1" w:themeColor="accent1"/>
        <w:right w:val="single" w:sz="8" w:space="0" w:color="005EA1" w:themeColor="accent1"/>
        <w:insideH w:val="single" w:sz="8" w:space="0" w:color="005EA1" w:themeColor="accent1"/>
        <w:insideV w:val="single" w:sz="8" w:space="0" w:color="005EA1" w:themeColor="accent1"/>
      </w:tblBorders>
    </w:tblPr>
    <w:tcPr>
      <w:shd w:val="clear" w:color="auto" w:fill="A8DAFF" w:themeFill="accent1" w:themeFillTint="3F"/>
    </w:tcPr>
    <w:tblStylePr w:type="firstRow">
      <w:rPr>
        <w:b/>
        <w:bCs/>
        <w:color w:val="000000" w:themeColor="text1"/>
      </w:rPr>
      <w:tblPr/>
      <w:tcPr>
        <w:shd w:val="clear" w:color="auto" w:fill="DCF0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9E1FF" w:themeFill="accent1" w:themeFillTint="33"/>
      </w:tcPr>
    </w:tblStylePr>
    <w:tblStylePr w:type="band1Vert">
      <w:tblPr/>
      <w:tcPr>
        <w:shd w:val="clear" w:color="auto" w:fill="51B5FF" w:themeFill="accent1" w:themeFillTint="7F"/>
      </w:tcPr>
    </w:tblStylePr>
    <w:tblStylePr w:type="band1Horz">
      <w:tblPr/>
      <w:tcPr>
        <w:tcBorders>
          <w:insideH w:val="single" w:sz="6" w:space="0" w:color="005EA1" w:themeColor="accent1"/>
          <w:insideV w:val="single" w:sz="6" w:space="0" w:color="005EA1" w:themeColor="accent1"/>
        </w:tcBorders>
        <w:shd w:val="clear" w:color="auto" w:fill="51B5FF" w:themeFill="accent1" w:themeFillTint="7F"/>
      </w:tcPr>
    </w:tblStylePr>
    <w:tblStylePr w:type="nwCell">
      <w:tblPr/>
      <w:tcPr>
        <w:shd w:val="clear" w:color="auto" w:fill="FFFFFF" w:themeFill="background1"/>
      </w:tcPr>
    </w:tblStylePr>
  </w:style>
  <w:style w:type="table" w:customStyle="1" w:styleId="MediumGrid21">
    <w:name w:val="Medium Grid 21"/>
    <w:basedOn w:val="TableNormal"/>
    <w:uiPriority w:val="68"/>
    <w:rsid w:val="00587F30"/>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List2-Accent6">
    <w:name w:val="Medium List 2 Accent 6"/>
    <w:basedOn w:val="TableNormal"/>
    <w:uiPriority w:val="66"/>
    <w:rsid w:val="00587F30"/>
    <w:rPr>
      <w:rFonts w:eastAsiaTheme="majorEastAsia" w:cstheme="majorBidi"/>
      <w:color w:val="000000" w:themeColor="text1"/>
    </w:rPr>
    <w:tblPr>
      <w:tblStyleRowBandSize w:val="1"/>
      <w:tblStyleColBandSize w:val="1"/>
      <w:tblBorders>
        <w:top w:val="single" w:sz="8" w:space="0" w:color="63B9E9" w:themeColor="accent6"/>
        <w:left w:val="single" w:sz="8" w:space="0" w:color="63B9E9" w:themeColor="accent6"/>
        <w:bottom w:val="single" w:sz="8" w:space="0" w:color="63B9E9" w:themeColor="accent6"/>
        <w:right w:val="single" w:sz="8" w:space="0" w:color="63B9E9" w:themeColor="accent6"/>
      </w:tblBorders>
    </w:tblPr>
    <w:tblStylePr w:type="firstRow">
      <w:rPr>
        <w:sz w:val="24"/>
        <w:szCs w:val="24"/>
      </w:rPr>
      <w:tblPr/>
      <w:tcPr>
        <w:tcBorders>
          <w:top w:val="nil"/>
          <w:left w:val="nil"/>
          <w:bottom w:val="single" w:sz="24" w:space="0" w:color="63B9E9" w:themeColor="accent6"/>
          <w:right w:val="nil"/>
          <w:insideH w:val="nil"/>
          <w:insideV w:val="nil"/>
        </w:tcBorders>
        <w:shd w:val="clear" w:color="auto" w:fill="FFFFFF" w:themeFill="background1"/>
      </w:tcPr>
    </w:tblStylePr>
    <w:tblStylePr w:type="lastRow">
      <w:tblPr/>
      <w:tcPr>
        <w:tcBorders>
          <w:top w:val="single" w:sz="8" w:space="0" w:color="63B9E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3B9E9" w:themeColor="accent6"/>
          <w:insideH w:val="nil"/>
          <w:insideV w:val="nil"/>
        </w:tcBorders>
        <w:shd w:val="clear" w:color="auto" w:fill="FFFFFF" w:themeFill="background1"/>
      </w:tcPr>
    </w:tblStylePr>
    <w:tblStylePr w:type="lastCol">
      <w:tblPr/>
      <w:tcPr>
        <w:tcBorders>
          <w:top w:val="nil"/>
          <w:left w:val="single" w:sz="8" w:space="0" w:color="63B9E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DF9" w:themeFill="accent6" w:themeFillTint="3F"/>
      </w:tcPr>
    </w:tblStylePr>
    <w:tblStylePr w:type="band1Horz">
      <w:tblPr/>
      <w:tcPr>
        <w:tcBorders>
          <w:top w:val="nil"/>
          <w:bottom w:val="nil"/>
          <w:insideH w:val="nil"/>
          <w:insideV w:val="nil"/>
        </w:tcBorders>
        <w:shd w:val="clear" w:color="auto" w:fill="D8EDF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587F30"/>
    <w:rPr>
      <w:rFonts w:eastAsiaTheme="majorEastAsia" w:cstheme="majorBidi"/>
      <w:color w:val="000000" w:themeColor="text1"/>
    </w:rPr>
    <w:tblPr>
      <w:tblStyleRowBandSize w:val="1"/>
      <w:tblStyleColBandSize w:val="1"/>
      <w:tblBorders>
        <w:top w:val="single" w:sz="8" w:space="0" w:color="4CA22F" w:themeColor="accent5"/>
        <w:left w:val="single" w:sz="8" w:space="0" w:color="4CA22F" w:themeColor="accent5"/>
        <w:bottom w:val="single" w:sz="8" w:space="0" w:color="4CA22F" w:themeColor="accent5"/>
        <w:right w:val="single" w:sz="8" w:space="0" w:color="4CA22F" w:themeColor="accent5"/>
      </w:tblBorders>
    </w:tblPr>
    <w:tblStylePr w:type="firstRow">
      <w:rPr>
        <w:sz w:val="24"/>
        <w:szCs w:val="24"/>
      </w:rPr>
      <w:tblPr/>
      <w:tcPr>
        <w:tcBorders>
          <w:top w:val="nil"/>
          <w:left w:val="nil"/>
          <w:bottom w:val="single" w:sz="24" w:space="0" w:color="4CA22F" w:themeColor="accent5"/>
          <w:right w:val="nil"/>
          <w:insideH w:val="nil"/>
          <w:insideV w:val="nil"/>
        </w:tcBorders>
        <w:shd w:val="clear" w:color="auto" w:fill="FFFFFF" w:themeFill="background1"/>
      </w:tcPr>
    </w:tblStylePr>
    <w:tblStylePr w:type="lastRow">
      <w:tblPr/>
      <w:tcPr>
        <w:tcBorders>
          <w:top w:val="single" w:sz="8" w:space="0" w:color="4CA22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CA22F" w:themeColor="accent5"/>
          <w:insideH w:val="nil"/>
          <w:insideV w:val="nil"/>
        </w:tcBorders>
        <w:shd w:val="clear" w:color="auto" w:fill="FFFFFF" w:themeFill="background1"/>
      </w:tcPr>
    </w:tblStylePr>
    <w:tblStylePr w:type="lastCol">
      <w:tblPr/>
      <w:tcPr>
        <w:tcBorders>
          <w:top w:val="nil"/>
          <w:left w:val="single" w:sz="8" w:space="0" w:color="4CA22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EEC5" w:themeFill="accent5" w:themeFillTint="3F"/>
      </w:tcPr>
    </w:tblStylePr>
    <w:tblStylePr w:type="band1Horz">
      <w:tblPr/>
      <w:tcPr>
        <w:tcBorders>
          <w:top w:val="nil"/>
          <w:bottom w:val="nil"/>
          <w:insideH w:val="nil"/>
          <w:insideV w:val="nil"/>
        </w:tcBorders>
        <w:shd w:val="clear" w:color="auto" w:fill="CFEEC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587F30"/>
    <w:rPr>
      <w:rFonts w:eastAsiaTheme="majorEastAsia" w:cstheme="majorBidi"/>
      <w:color w:val="000000" w:themeColor="text1"/>
    </w:rPr>
    <w:tblPr>
      <w:tblStyleRowBandSize w:val="1"/>
      <w:tblStyleColBandSize w:val="1"/>
      <w:tblBorders>
        <w:top w:val="single" w:sz="8" w:space="0" w:color="9CA0A3" w:themeColor="accent4"/>
        <w:left w:val="single" w:sz="8" w:space="0" w:color="9CA0A3" w:themeColor="accent4"/>
        <w:bottom w:val="single" w:sz="8" w:space="0" w:color="9CA0A3" w:themeColor="accent4"/>
        <w:right w:val="single" w:sz="8" w:space="0" w:color="9CA0A3" w:themeColor="accent4"/>
      </w:tblBorders>
    </w:tblPr>
    <w:tblStylePr w:type="firstRow">
      <w:rPr>
        <w:sz w:val="24"/>
        <w:szCs w:val="24"/>
      </w:rPr>
      <w:tblPr/>
      <w:tcPr>
        <w:tcBorders>
          <w:top w:val="nil"/>
          <w:left w:val="nil"/>
          <w:bottom w:val="single" w:sz="24" w:space="0" w:color="9CA0A3" w:themeColor="accent4"/>
          <w:right w:val="nil"/>
          <w:insideH w:val="nil"/>
          <w:insideV w:val="nil"/>
        </w:tcBorders>
        <w:shd w:val="clear" w:color="auto" w:fill="FFFFFF" w:themeFill="background1"/>
      </w:tcPr>
    </w:tblStylePr>
    <w:tblStylePr w:type="lastRow">
      <w:tblPr/>
      <w:tcPr>
        <w:tcBorders>
          <w:top w:val="single" w:sz="8" w:space="0" w:color="9CA0A3"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CA0A3" w:themeColor="accent4"/>
          <w:insideH w:val="nil"/>
          <w:insideV w:val="nil"/>
        </w:tcBorders>
        <w:shd w:val="clear" w:color="auto" w:fill="FFFFFF" w:themeFill="background1"/>
      </w:tcPr>
    </w:tblStylePr>
    <w:tblStylePr w:type="lastCol">
      <w:tblPr/>
      <w:tcPr>
        <w:tcBorders>
          <w:top w:val="nil"/>
          <w:left w:val="single" w:sz="8" w:space="0" w:color="9CA0A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7E8" w:themeFill="accent4" w:themeFillTint="3F"/>
      </w:tcPr>
    </w:tblStylePr>
    <w:tblStylePr w:type="band1Horz">
      <w:tblPr/>
      <w:tcPr>
        <w:tcBorders>
          <w:top w:val="nil"/>
          <w:bottom w:val="nil"/>
          <w:insideH w:val="nil"/>
          <w:insideV w:val="nil"/>
        </w:tcBorders>
        <w:shd w:val="clear" w:color="auto" w:fill="E6E7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587F30"/>
    <w:rPr>
      <w:rFonts w:eastAsiaTheme="majorEastAsia" w:cstheme="majorBidi"/>
      <w:color w:val="000000" w:themeColor="text1"/>
    </w:rPr>
    <w:tblPr>
      <w:tblStyleRowBandSize w:val="1"/>
      <w:tblStyleColBandSize w:val="1"/>
      <w:tblBorders>
        <w:top w:val="single" w:sz="8" w:space="0" w:color="95C11F" w:themeColor="accent3"/>
        <w:left w:val="single" w:sz="8" w:space="0" w:color="95C11F" w:themeColor="accent3"/>
        <w:bottom w:val="single" w:sz="8" w:space="0" w:color="95C11F" w:themeColor="accent3"/>
        <w:right w:val="single" w:sz="8" w:space="0" w:color="95C11F" w:themeColor="accent3"/>
      </w:tblBorders>
    </w:tblPr>
    <w:tblStylePr w:type="firstRow">
      <w:rPr>
        <w:sz w:val="24"/>
        <w:szCs w:val="24"/>
      </w:rPr>
      <w:tblPr/>
      <w:tcPr>
        <w:tcBorders>
          <w:top w:val="nil"/>
          <w:left w:val="nil"/>
          <w:bottom w:val="single" w:sz="24" w:space="0" w:color="95C11F" w:themeColor="accent3"/>
          <w:right w:val="nil"/>
          <w:insideH w:val="nil"/>
          <w:insideV w:val="nil"/>
        </w:tcBorders>
        <w:shd w:val="clear" w:color="auto" w:fill="FFFFFF" w:themeFill="background1"/>
      </w:tcPr>
    </w:tblStylePr>
    <w:tblStylePr w:type="lastRow">
      <w:tblPr/>
      <w:tcPr>
        <w:tcBorders>
          <w:top w:val="single" w:sz="8" w:space="0" w:color="95C11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5C11F" w:themeColor="accent3"/>
          <w:insideH w:val="nil"/>
          <w:insideV w:val="nil"/>
        </w:tcBorders>
        <w:shd w:val="clear" w:color="auto" w:fill="FFFFFF" w:themeFill="background1"/>
      </w:tcPr>
    </w:tblStylePr>
    <w:tblStylePr w:type="lastCol">
      <w:tblPr/>
      <w:tcPr>
        <w:tcBorders>
          <w:top w:val="nil"/>
          <w:left w:val="single" w:sz="8" w:space="0" w:color="95C11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F5C2" w:themeFill="accent3" w:themeFillTint="3F"/>
      </w:tcPr>
    </w:tblStylePr>
    <w:tblStylePr w:type="band1Horz">
      <w:tblPr/>
      <w:tcPr>
        <w:tcBorders>
          <w:top w:val="nil"/>
          <w:bottom w:val="nil"/>
          <w:insideH w:val="nil"/>
          <w:insideV w:val="nil"/>
        </w:tcBorders>
        <w:shd w:val="clear" w:color="auto" w:fill="E7F5C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587F30"/>
    <w:rPr>
      <w:rFonts w:eastAsiaTheme="majorEastAsia" w:cstheme="majorBidi"/>
      <w:color w:val="000000" w:themeColor="text1"/>
    </w:rPr>
    <w:tblPr>
      <w:tblStyleRowBandSize w:val="1"/>
      <w:tblStyleColBandSize w:val="1"/>
      <w:tblBorders>
        <w:top w:val="single" w:sz="8" w:space="0" w:color="008BD2" w:themeColor="accent2"/>
        <w:left w:val="single" w:sz="8" w:space="0" w:color="008BD2" w:themeColor="accent2"/>
        <w:bottom w:val="single" w:sz="8" w:space="0" w:color="008BD2" w:themeColor="accent2"/>
        <w:right w:val="single" w:sz="8" w:space="0" w:color="008BD2" w:themeColor="accent2"/>
      </w:tblBorders>
    </w:tblPr>
    <w:tblStylePr w:type="firstRow">
      <w:rPr>
        <w:sz w:val="24"/>
        <w:szCs w:val="24"/>
      </w:rPr>
      <w:tblPr/>
      <w:tcPr>
        <w:tcBorders>
          <w:top w:val="nil"/>
          <w:left w:val="nil"/>
          <w:bottom w:val="single" w:sz="24" w:space="0" w:color="008BD2" w:themeColor="accent2"/>
          <w:right w:val="nil"/>
          <w:insideH w:val="nil"/>
          <w:insideV w:val="nil"/>
        </w:tcBorders>
        <w:shd w:val="clear" w:color="auto" w:fill="FFFFFF" w:themeFill="background1"/>
      </w:tcPr>
    </w:tblStylePr>
    <w:tblStylePr w:type="lastRow">
      <w:tblPr/>
      <w:tcPr>
        <w:tcBorders>
          <w:top w:val="single" w:sz="8" w:space="0" w:color="008BD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8BD2" w:themeColor="accent2"/>
          <w:insideH w:val="nil"/>
          <w:insideV w:val="nil"/>
        </w:tcBorders>
        <w:shd w:val="clear" w:color="auto" w:fill="FFFFFF" w:themeFill="background1"/>
      </w:tcPr>
    </w:tblStylePr>
    <w:tblStylePr w:type="lastCol">
      <w:tblPr/>
      <w:tcPr>
        <w:tcBorders>
          <w:top w:val="nil"/>
          <w:left w:val="single" w:sz="8" w:space="0" w:color="008BD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4E5FF" w:themeFill="accent2" w:themeFillTint="3F"/>
      </w:tcPr>
    </w:tblStylePr>
    <w:tblStylePr w:type="band1Horz">
      <w:tblPr/>
      <w:tcPr>
        <w:tcBorders>
          <w:top w:val="nil"/>
          <w:bottom w:val="nil"/>
          <w:insideH w:val="nil"/>
          <w:insideV w:val="nil"/>
        </w:tcBorders>
        <w:shd w:val="clear" w:color="auto" w:fill="B4E5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587F30"/>
    <w:rPr>
      <w:rFonts w:eastAsiaTheme="majorEastAsia" w:cstheme="majorBidi"/>
      <w:color w:val="000000" w:themeColor="text1"/>
    </w:rPr>
    <w:tblPr>
      <w:tblStyleRowBandSize w:val="1"/>
      <w:tblStyleColBandSize w:val="1"/>
      <w:tblBorders>
        <w:top w:val="single" w:sz="8" w:space="0" w:color="005EA1" w:themeColor="accent1"/>
        <w:left w:val="single" w:sz="8" w:space="0" w:color="005EA1" w:themeColor="accent1"/>
        <w:bottom w:val="single" w:sz="8" w:space="0" w:color="005EA1" w:themeColor="accent1"/>
        <w:right w:val="single" w:sz="8" w:space="0" w:color="005EA1" w:themeColor="accent1"/>
      </w:tblBorders>
    </w:tblPr>
    <w:tblStylePr w:type="firstRow">
      <w:rPr>
        <w:sz w:val="24"/>
        <w:szCs w:val="24"/>
      </w:rPr>
      <w:tblPr/>
      <w:tcPr>
        <w:tcBorders>
          <w:top w:val="nil"/>
          <w:left w:val="nil"/>
          <w:bottom w:val="single" w:sz="24" w:space="0" w:color="005EA1" w:themeColor="accent1"/>
          <w:right w:val="nil"/>
          <w:insideH w:val="nil"/>
          <w:insideV w:val="nil"/>
        </w:tcBorders>
        <w:shd w:val="clear" w:color="auto" w:fill="FFFFFF" w:themeFill="background1"/>
      </w:tcPr>
    </w:tblStylePr>
    <w:tblStylePr w:type="lastRow">
      <w:tblPr/>
      <w:tcPr>
        <w:tcBorders>
          <w:top w:val="single" w:sz="8" w:space="0" w:color="005EA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5EA1" w:themeColor="accent1"/>
          <w:insideH w:val="nil"/>
          <w:insideV w:val="nil"/>
        </w:tcBorders>
        <w:shd w:val="clear" w:color="auto" w:fill="FFFFFF" w:themeFill="background1"/>
      </w:tcPr>
    </w:tblStylePr>
    <w:tblStylePr w:type="lastCol">
      <w:tblPr/>
      <w:tcPr>
        <w:tcBorders>
          <w:top w:val="nil"/>
          <w:left w:val="single" w:sz="8" w:space="0" w:color="005EA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8DAFF" w:themeFill="accent1" w:themeFillTint="3F"/>
      </w:tcPr>
    </w:tblStylePr>
    <w:tblStylePr w:type="band1Horz">
      <w:tblPr/>
      <w:tcPr>
        <w:tcBorders>
          <w:top w:val="nil"/>
          <w:bottom w:val="nil"/>
          <w:insideH w:val="nil"/>
          <w:insideV w:val="nil"/>
        </w:tcBorders>
        <w:shd w:val="clear" w:color="auto" w:fill="A8DA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1">
    <w:name w:val="Medium List 21"/>
    <w:basedOn w:val="TableNormal"/>
    <w:uiPriority w:val="66"/>
    <w:rsid w:val="00587F30"/>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OCHeading">
    <w:name w:val="TOC Heading"/>
    <w:basedOn w:val="Heading1"/>
    <w:next w:val="Normal"/>
    <w:uiPriority w:val="39"/>
    <w:unhideWhenUsed/>
    <w:qFormat/>
    <w:rsid w:val="00756D2C"/>
    <w:pPr>
      <w:keepLines/>
      <w:pageBreakBefore w:val="0"/>
      <w:numPr>
        <w:numId w:val="0"/>
      </w:numPr>
      <w:suppressAutoHyphens/>
      <w:spacing w:before="480" w:after="0"/>
      <w:outlineLvl w:val="9"/>
    </w:pPr>
    <w:rPr>
      <w:rFonts w:eastAsiaTheme="majorEastAsia" w:cstheme="majorBidi"/>
      <w:bCs/>
      <w:caps w:val="0"/>
      <w:color w:val="004578" w:themeColor="accent1" w:themeShade="BF"/>
      <w:sz w:val="28"/>
      <w:szCs w:val="28"/>
    </w:rPr>
  </w:style>
  <w:style w:type="character" w:customStyle="1" w:styleId="Heading9Char">
    <w:name w:val="Heading 9 Char"/>
    <w:basedOn w:val="DefaultParagraphFont"/>
    <w:link w:val="Heading9"/>
    <w:uiPriority w:val="9"/>
    <w:semiHidden/>
    <w:rsid w:val="00756D2C"/>
    <w:rPr>
      <w:rFonts w:eastAsiaTheme="majorEastAsia" w:cstheme="majorBidi"/>
      <w:i/>
      <w:iCs/>
      <w:color w:val="404040" w:themeColor="text1" w:themeTint="BF"/>
      <w:lang w:eastAsia="en-US"/>
    </w:rPr>
  </w:style>
  <w:style w:type="character" w:customStyle="1" w:styleId="BodyTextIndentChar">
    <w:name w:val="Body Text Indent Char"/>
    <w:aliases w:val="Quote1 Char"/>
    <w:basedOn w:val="DefaultParagraphFont"/>
    <w:link w:val="BodyTextIndent"/>
    <w:semiHidden/>
    <w:rsid w:val="00587F30"/>
    <w:rPr>
      <w:i/>
      <w:sz w:val="18"/>
      <w:szCs w:val="18"/>
      <w:lang w:eastAsia="en-US"/>
    </w:rPr>
  </w:style>
  <w:style w:type="character" w:customStyle="1" w:styleId="BodyTextChar">
    <w:name w:val="Body Text Char"/>
    <w:basedOn w:val="DefaultParagraphFont"/>
    <w:link w:val="BodyText"/>
    <w:uiPriority w:val="99"/>
    <w:semiHidden/>
    <w:rsid w:val="00587F30"/>
    <w:rPr>
      <w:color w:val="000000"/>
      <w:szCs w:val="22"/>
      <w:lang w:eastAsia="en-US"/>
    </w:rPr>
  </w:style>
  <w:style w:type="paragraph" w:styleId="TOC1">
    <w:name w:val="toc 1"/>
    <w:basedOn w:val="Normal"/>
    <w:next w:val="Normal"/>
    <w:autoRedefine/>
    <w:uiPriority w:val="39"/>
    <w:unhideWhenUsed/>
    <w:rsid w:val="00A81C71"/>
    <w:pPr>
      <w:spacing w:after="100"/>
    </w:pPr>
  </w:style>
  <w:style w:type="paragraph" w:styleId="TOC2">
    <w:name w:val="toc 2"/>
    <w:basedOn w:val="Normal"/>
    <w:next w:val="Normal"/>
    <w:autoRedefine/>
    <w:uiPriority w:val="39"/>
    <w:unhideWhenUsed/>
    <w:rsid w:val="00A81C71"/>
    <w:pPr>
      <w:spacing w:after="100"/>
      <w:ind w:left="220"/>
    </w:pPr>
  </w:style>
  <w:style w:type="character" w:styleId="Hyperlink">
    <w:name w:val="Hyperlink"/>
    <w:basedOn w:val="DefaultParagraphFont"/>
    <w:uiPriority w:val="99"/>
    <w:unhideWhenUsed/>
    <w:rsid w:val="00A81C71"/>
    <w:rPr>
      <w:color w:val="00B0F0" w:themeColor="hyperlink"/>
      <w:u w:val="single"/>
    </w:rPr>
  </w:style>
  <w:style w:type="paragraph" w:customStyle="1" w:styleId="HeadingContents">
    <w:name w:val="Heading / Contents"/>
    <w:basedOn w:val="Normal"/>
    <w:next w:val="Normal"/>
    <w:qFormat/>
    <w:rsid w:val="001A465C"/>
    <w:pPr>
      <w:pBdr>
        <w:bottom w:val="single" w:sz="4" w:space="1" w:color="005EA1" w:themeColor="accent1"/>
      </w:pBdr>
      <w:spacing w:before="240" w:after="120"/>
    </w:pPr>
    <w:rPr>
      <w:rFonts w:ascii="VIC" w:hAnsi="VIC" w:cs="Arial"/>
      <w:caps/>
      <w:sz w:val="32"/>
      <w:lang w:eastAsia="en-US"/>
    </w:rPr>
  </w:style>
  <w:style w:type="paragraph" w:customStyle="1" w:styleId="Heading2nonumbers">
    <w:name w:val="Heading 2 no numbers"/>
    <w:basedOn w:val="Heading2"/>
    <w:next w:val="Normal"/>
    <w:qFormat/>
    <w:rsid w:val="0045269F"/>
    <w:pPr>
      <w:numPr>
        <w:ilvl w:val="0"/>
        <w:numId w:val="0"/>
      </w:numPr>
    </w:pPr>
  </w:style>
  <w:style w:type="paragraph" w:customStyle="1" w:styleId="Referencesource">
    <w:name w:val="Reference / source"/>
    <w:basedOn w:val="Normal"/>
    <w:next w:val="Normal"/>
    <w:qFormat/>
    <w:rsid w:val="00D968DC"/>
    <w:pPr>
      <w:spacing w:before="80"/>
    </w:pPr>
    <w:rPr>
      <w:i/>
      <w:sz w:val="16"/>
      <w:lang w:eastAsia="en-US"/>
    </w:rPr>
  </w:style>
  <w:style w:type="paragraph" w:customStyle="1" w:styleId="List2quote">
    <w:name w:val="List 2 / quote"/>
    <w:basedOn w:val="List2indent"/>
    <w:qFormat/>
    <w:rsid w:val="00B7210B"/>
    <w:rPr>
      <w:i/>
    </w:rPr>
  </w:style>
  <w:style w:type="paragraph" w:customStyle="1" w:styleId="Heading3nonumbers">
    <w:name w:val="Heading 3 no numbers"/>
    <w:basedOn w:val="Heading3"/>
    <w:next w:val="Normal"/>
    <w:qFormat/>
    <w:rsid w:val="006C38E1"/>
    <w:pPr>
      <w:numPr>
        <w:ilvl w:val="0"/>
        <w:numId w:val="0"/>
      </w:numPr>
    </w:pPr>
  </w:style>
  <w:style w:type="paragraph" w:styleId="Caption">
    <w:name w:val="caption"/>
    <w:basedOn w:val="Normal"/>
    <w:next w:val="Normal"/>
    <w:uiPriority w:val="35"/>
    <w:qFormat/>
    <w:rsid w:val="00F95F5C"/>
    <w:pPr>
      <w:keepNext/>
      <w:spacing w:after="80"/>
    </w:pPr>
    <w:rPr>
      <w:rFonts w:ascii="VIC" w:hAnsi="VIC"/>
      <w:iCs/>
      <w:color w:val="005EA1" w:themeColor="accent1"/>
    </w:rPr>
  </w:style>
  <w:style w:type="paragraph" w:styleId="TableofFigures">
    <w:name w:val="table of figures"/>
    <w:basedOn w:val="Normal"/>
    <w:next w:val="Normal"/>
    <w:uiPriority w:val="99"/>
    <w:unhideWhenUsed/>
    <w:rsid w:val="006A715A"/>
    <w:pPr>
      <w:spacing w:before="120"/>
    </w:pPr>
    <w:rPr>
      <w:szCs w:val="22"/>
    </w:rPr>
  </w:style>
  <w:style w:type="paragraph" w:styleId="TOC3">
    <w:name w:val="toc 3"/>
    <w:basedOn w:val="Normal"/>
    <w:next w:val="Normal"/>
    <w:autoRedefine/>
    <w:uiPriority w:val="39"/>
    <w:unhideWhenUsed/>
    <w:rsid w:val="00C92B9B"/>
    <w:pPr>
      <w:spacing w:after="100"/>
      <w:ind w:left="360"/>
    </w:pPr>
  </w:style>
  <w:style w:type="paragraph" w:styleId="TOC4">
    <w:name w:val="toc 4"/>
    <w:basedOn w:val="Normal"/>
    <w:next w:val="Normal"/>
    <w:autoRedefine/>
    <w:uiPriority w:val="39"/>
    <w:unhideWhenUsed/>
    <w:rsid w:val="00C92B9B"/>
    <w:pPr>
      <w:spacing w:after="100"/>
      <w:ind w:left="540"/>
    </w:pPr>
  </w:style>
  <w:style w:type="table" w:styleId="GridTable5Dark-Accent1">
    <w:name w:val="Grid Table 5 Dark Accent 1"/>
    <w:basedOn w:val="TableNormal"/>
    <w:uiPriority w:val="50"/>
    <w:rsid w:val="00A7729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E1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EA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EA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EA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EA1" w:themeFill="accent1"/>
      </w:tcPr>
    </w:tblStylePr>
    <w:tblStylePr w:type="band1Vert">
      <w:tblPr/>
      <w:tcPr>
        <w:shd w:val="clear" w:color="auto" w:fill="73C4FF" w:themeFill="accent1" w:themeFillTint="66"/>
      </w:tcPr>
    </w:tblStylePr>
    <w:tblStylePr w:type="band1Horz">
      <w:tblPr/>
      <w:tcPr>
        <w:shd w:val="clear" w:color="auto" w:fill="73C4FF" w:themeFill="accent1" w:themeFillTint="66"/>
      </w:tcPr>
    </w:tblStylePr>
  </w:style>
  <w:style w:type="paragraph" w:customStyle="1" w:styleId="List1number">
    <w:name w:val="List 1 / number"/>
    <w:basedOn w:val="List1bullet"/>
    <w:qFormat/>
    <w:rsid w:val="00F16B89"/>
    <w:pPr>
      <w:numPr>
        <w:numId w:val="12"/>
      </w:numPr>
      <w:ind w:left="284" w:hanging="284"/>
    </w:pPr>
    <w:rPr>
      <w:lang w:eastAsia="en-US"/>
    </w:rPr>
  </w:style>
  <w:style w:type="paragraph" w:styleId="ListParagraph">
    <w:name w:val="List Paragraph"/>
    <w:aliases w:val="Bullets 1,Bullet List"/>
    <w:basedOn w:val="Normal"/>
    <w:link w:val="ListParagraphChar"/>
    <w:uiPriority w:val="34"/>
    <w:qFormat/>
    <w:rsid w:val="00F00982"/>
    <w:pPr>
      <w:suppressAutoHyphens w:val="0"/>
      <w:spacing w:before="0" w:after="160" w:line="259" w:lineRule="auto"/>
      <w:ind w:left="720"/>
      <w:contextualSpacing/>
      <w:jc w:val="left"/>
    </w:pPr>
    <w:rPr>
      <w:rFonts w:asciiTheme="minorHAnsi" w:eastAsiaTheme="minorHAnsi" w:hAnsiTheme="minorHAnsi" w:cstheme="minorBidi"/>
      <w:sz w:val="22"/>
      <w:szCs w:val="22"/>
      <w:lang w:eastAsia="en-US"/>
    </w:rPr>
  </w:style>
  <w:style w:type="paragraph" w:customStyle="1" w:styleId="VPP-bodytext">
    <w:name w:val="VPP - body text"/>
    <w:basedOn w:val="Normal"/>
    <w:link w:val="VPP-bodytextChar"/>
    <w:qFormat/>
    <w:rsid w:val="00F00982"/>
    <w:pPr>
      <w:suppressAutoHyphens w:val="0"/>
      <w:spacing w:before="60" w:after="80" w:line="240" w:lineRule="auto"/>
      <w:ind w:left="1134"/>
    </w:pPr>
    <w:rPr>
      <w:rFonts w:ascii="Times New Roman" w:eastAsia="Times New Roman" w:hAnsi="Times New Roman"/>
      <w:noProof/>
      <w:sz w:val="20"/>
      <w:szCs w:val="20"/>
    </w:rPr>
  </w:style>
  <w:style w:type="character" w:customStyle="1" w:styleId="VPP-bodytextChar">
    <w:name w:val="VPP - body text Char"/>
    <w:link w:val="VPP-bodytext"/>
    <w:rsid w:val="00F00982"/>
    <w:rPr>
      <w:rFonts w:ascii="Times New Roman" w:eastAsia="Times New Roman" w:hAnsi="Times New Roman"/>
      <w:noProof/>
      <w:sz w:val="20"/>
      <w:szCs w:val="20"/>
    </w:rPr>
  </w:style>
  <w:style w:type="paragraph" w:customStyle="1" w:styleId="VPP-HeadB">
    <w:name w:val="VPP - Head B"/>
    <w:basedOn w:val="Normal"/>
    <w:link w:val="VPP-HeadBChar"/>
    <w:qFormat/>
    <w:rsid w:val="00F00982"/>
    <w:pPr>
      <w:keepNext/>
      <w:tabs>
        <w:tab w:val="left" w:pos="1134"/>
      </w:tabs>
      <w:suppressAutoHyphens w:val="0"/>
      <w:spacing w:before="240" w:after="240" w:line="240" w:lineRule="auto"/>
      <w:ind w:left="1134" w:hanging="1134"/>
      <w:jc w:val="left"/>
    </w:pPr>
    <w:rPr>
      <w:rFonts w:eastAsia="Times New Roman"/>
      <w:b/>
      <w:bCs/>
      <w:iCs/>
      <w:noProof/>
      <w:sz w:val="20"/>
      <w:szCs w:val="20"/>
    </w:rPr>
  </w:style>
  <w:style w:type="character" w:customStyle="1" w:styleId="VPP-HeadBChar">
    <w:name w:val="VPP - Head B Char"/>
    <w:link w:val="VPP-HeadB"/>
    <w:rsid w:val="00F00982"/>
    <w:rPr>
      <w:rFonts w:eastAsia="Times New Roman"/>
      <w:b/>
      <w:bCs/>
      <w:iCs/>
      <w:noProof/>
      <w:sz w:val="20"/>
      <w:szCs w:val="20"/>
    </w:rPr>
  </w:style>
  <w:style w:type="paragraph" w:customStyle="1" w:styleId="AmID">
    <w:name w:val="Am ID"/>
    <w:basedOn w:val="BodyText"/>
    <w:link w:val="AmIDChar"/>
    <w:qFormat/>
    <w:rsid w:val="00F00982"/>
    <w:pPr>
      <w:suppressAutoHyphens w:val="0"/>
      <w:spacing w:before="0" w:line="240" w:lineRule="auto"/>
      <w:jc w:val="left"/>
    </w:pPr>
    <w:rPr>
      <w:rFonts w:eastAsia="Times New Roman"/>
      <w:b/>
      <w:color w:val="auto"/>
      <w:sz w:val="12"/>
      <w:szCs w:val="20"/>
    </w:rPr>
  </w:style>
  <w:style w:type="character" w:customStyle="1" w:styleId="AmIDChar">
    <w:name w:val="Am ID Char"/>
    <w:link w:val="AmID"/>
    <w:rsid w:val="00F00982"/>
    <w:rPr>
      <w:rFonts w:eastAsia="Times New Roman"/>
      <w:b/>
      <w:sz w:val="12"/>
      <w:szCs w:val="20"/>
    </w:rPr>
  </w:style>
  <w:style w:type="paragraph" w:customStyle="1" w:styleId="StrategicAssessmentText">
    <w:name w:val="Strategic Assessment Text"/>
    <w:basedOn w:val="Normal"/>
    <w:rsid w:val="00C27B24"/>
    <w:pPr>
      <w:suppressAutoHyphens w:val="0"/>
      <w:spacing w:before="120" w:line="240" w:lineRule="auto"/>
      <w:ind w:left="284"/>
    </w:pPr>
    <w:rPr>
      <w:rFonts w:ascii="Times" w:eastAsia="Times New Roman" w:hAnsi="Times"/>
      <w:sz w:val="24"/>
      <w:szCs w:val="20"/>
    </w:rPr>
  </w:style>
  <w:style w:type="character" w:customStyle="1" w:styleId="ListParagraphChar">
    <w:name w:val="List Paragraph Char"/>
    <w:aliases w:val="Bullets 1 Char,Bullet List Char"/>
    <w:link w:val="ListParagraph"/>
    <w:uiPriority w:val="34"/>
    <w:rsid w:val="00AF7DC9"/>
    <w:rPr>
      <w:rFonts w:asciiTheme="minorHAnsi" w:eastAsiaTheme="minorHAnsi" w:hAnsiTheme="minorHAnsi" w:cstheme="minorBidi"/>
      <w:sz w:val="22"/>
      <w:szCs w:val="22"/>
      <w:lang w:eastAsia="en-US"/>
    </w:rPr>
  </w:style>
  <w:style w:type="numbering" w:customStyle="1" w:styleId="NoList1">
    <w:name w:val="No List1"/>
    <w:next w:val="NoList"/>
    <w:uiPriority w:val="99"/>
    <w:semiHidden/>
    <w:unhideWhenUsed/>
    <w:rsid w:val="00C54905"/>
  </w:style>
  <w:style w:type="character" w:customStyle="1" w:styleId="Heading6Char">
    <w:name w:val="Heading 6 Char"/>
    <w:basedOn w:val="DefaultParagraphFont"/>
    <w:link w:val="Heading6"/>
    <w:uiPriority w:val="9"/>
    <w:semiHidden/>
    <w:rsid w:val="00C54905"/>
    <w:rPr>
      <w:rFonts w:eastAsia="Times New Roman"/>
      <w:sz w:val="21"/>
      <w:lang w:eastAsia="en-US"/>
    </w:rPr>
  </w:style>
  <w:style w:type="character" w:customStyle="1" w:styleId="Heading7Char">
    <w:name w:val="Heading 7 Char"/>
    <w:basedOn w:val="DefaultParagraphFont"/>
    <w:link w:val="Heading7"/>
    <w:uiPriority w:val="9"/>
    <w:semiHidden/>
    <w:rsid w:val="00C54905"/>
    <w:rPr>
      <w:sz w:val="21"/>
      <w:lang w:eastAsia="en-US"/>
    </w:rPr>
  </w:style>
  <w:style w:type="character" w:customStyle="1" w:styleId="Heading8Char">
    <w:name w:val="Heading 8 Char"/>
    <w:basedOn w:val="DefaultParagraphFont"/>
    <w:link w:val="Heading8"/>
    <w:uiPriority w:val="9"/>
    <w:semiHidden/>
    <w:rsid w:val="00C54905"/>
  </w:style>
  <w:style w:type="paragraph" w:customStyle="1" w:styleId="Title1">
    <w:name w:val="Title1"/>
    <w:basedOn w:val="Normal"/>
    <w:next w:val="Normal"/>
    <w:uiPriority w:val="10"/>
    <w:qFormat/>
    <w:rsid w:val="00C54905"/>
    <w:pPr>
      <w:suppressAutoHyphens w:val="0"/>
      <w:spacing w:before="0" w:line="240" w:lineRule="auto"/>
      <w:contextualSpacing/>
      <w:jc w:val="left"/>
    </w:pPr>
    <w:rPr>
      <w:rFonts w:ascii="Calibri Light" w:eastAsia="Times New Roman" w:hAnsi="Calibri Light"/>
      <w:color w:val="5B9BD5"/>
      <w:spacing w:val="-10"/>
      <w:sz w:val="56"/>
      <w:szCs w:val="56"/>
      <w:lang w:eastAsia="en-US"/>
    </w:rPr>
  </w:style>
  <w:style w:type="character" w:customStyle="1" w:styleId="TitleChar">
    <w:name w:val="Title Char"/>
    <w:basedOn w:val="DefaultParagraphFont"/>
    <w:link w:val="Title"/>
    <w:uiPriority w:val="10"/>
    <w:rsid w:val="00C54905"/>
    <w:rPr>
      <w:rFonts w:ascii="Calibri Light" w:eastAsia="Times New Roman" w:hAnsi="Calibri Light" w:cs="Times New Roman"/>
      <w:color w:val="5B9BD5"/>
      <w:spacing w:val="-10"/>
      <w:sz w:val="56"/>
      <w:szCs w:val="56"/>
    </w:rPr>
  </w:style>
  <w:style w:type="paragraph" w:customStyle="1" w:styleId="Subtitle1">
    <w:name w:val="Subtitle1"/>
    <w:basedOn w:val="Normal"/>
    <w:next w:val="Normal"/>
    <w:uiPriority w:val="11"/>
    <w:qFormat/>
    <w:rsid w:val="00C54905"/>
    <w:pPr>
      <w:numPr>
        <w:ilvl w:val="1"/>
      </w:numPr>
      <w:suppressAutoHyphens w:val="0"/>
      <w:spacing w:before="0" w:after="120" w:line="240" w:lineRule="auto"/>
      <w:jc w:val="left"/>
    </w:pPr>
    <w:rPr>
      <w:rFonts w:ascii="Calibri Light" w:eastAsia="Times New Roman" w:hAnsi="Calibri Light"/>
      <w:sz w:val="24"/>
      <w:szCs w:val="24"/>
      <w:lang w:eastAsia="en-US"/>
    </w:rPr>
  </w:style>
  <w:style w:type="character" w:customStyle="1" w:styleId="SubtitleChar">
    <w:name w:val="Subtitle Char"/>
    <w:basedOn w:val="DefaultParagraphFont"/>
    <w:link w:val="Subtitle"/>
    <w:uiPriority w:val="11"/>
    <w:rsid w:val="00C54905"/>
    <w:rPr>
      <w:rFonts w:ascii="Calibri Light" w:eastAsia="Times New Roman" w:hAnsi="Calibri Light" w:cs="Times New Roman"/>
      <w:sz w:val="24"/>
      <w:szCs w:val="24"/>
    </w:rPr>
  </w:style>
  <w:style w:type="character" w:styleId="Strong">
    <w:name w:val="Strong"/>
    <w:basedOn w:val="DefaultParagraphFont"/>
    <w:uiPriority w:val="22"/>
    <w:qFormat/>
    <w:rsid w:val="00C54905"/>
    <w:rPr>
      <w:b/>
      <w:bCs/>
    </w:rPr>
  </w:style>
  <w:style w:type="character" w:styleId="Emphasis">
    <w:name w:val="Emphasis"/>
    <w:basedOn w:val="DefaultParagraphFont"/>
    <w:uiPriority w:val="20"/>
    <w:qFormat/>
    <w:rsid w:val="00C54905"/>
    <w:rPr>
      <w:i/>
      <w:iCs/>
    </w:rPr>
  </w:style>
  <w:style w:type="paragraph" w:customStyle="1" w:styleId="NoSpacing1">
    <w:name w:val="No Spacing1"/>
    <w:next w:val="NoSpacing"/>
    <w:uiPriority w:val="1"/>
    <w:qFormat/>
    <w:rsid w:val="00C54905"/>
    <w:rPr>
      <w:rFonts w:ascii="Calibri" w:eastAsia="Times New Roman" w:hAnsi="Calibri"/>
      <w:sz w:val="20"/>
      <w:szCs w:val="20"/>
      <w:lang w:eastAsia="en-US"/>
    </w:rPr>
  </w:style>
  <w:style w:type="paragraph" w:customStyle="1" w:styleId="Quote2">
    <w:name w:val="Quote2"/>
    <w:basedOn w:val="Normal"/>
    <w:next w:val="Normal"/>
    <w:uiPriority w:val="29"/>
    <w:qFormat/>
    <w:rsid w:val="00C54905"/>
    <w:pPr>
      <w:suppressAutoHyphens w:val="0"/>
      <w:spacing w:before="160" w:after="120" w:line="264" w:lineRule="auto"/>
      <w:ind w:left="720" w:right="720"/>
      <w:jc w:val="left"/>
    </w:pPr>
    <w:rPr>
      <w:rFonts w:ascii="Calibri" w:eastAsia="Times New Roman" w:hAnsi="Calibri"/>
      <w:i/>
      <w:iCs/>
      <w:color w:val="404040"/>
      <w:sz w:val="20"/>
      <w:szCs w:val="20"/>
      <w:lang w:eastAsia="en-US"/>
    </w:rPr>
  </w:style>
  <w:style w:type="character" w:customStyle="1" w:styleId="QuoteChar">
    <w:name w:val="Quote Char"/>
    <w:basedOn w:val="DefaultParagraphFont"/>
    <w:link w:val="Quote"/>
    <w:uiPriority w:val="29"/>
    <w:rsid w:val="00C54905"/>
    <w:rPr>
      <w:i/>
      <w:iCs/>
      <w:color w:val="404040"/>
    </w:rPr>
  </w:style>
  <w:style w:type="paragraph" w:customStyle="1" w:styleId="IntenseQuote1">
    <w:name w:val="Intense Quote1"/>
    <w:basedOn w:val="Normal"/>
    <w:next w:val="Normal"/>
    <w:uiPriority w:val="30"/>
    <w:qFormat/>
    <w:rsid w:val="00C54905"/>
    <w:pPr>
      <w:pBdr>
        <w:left w:val="single" w:sz="18" w:space="12" w:color="5B9BD5"/>
      </w:pBdr>
      <w:suppressAutoHyphens w:val="0"/>
      <w:spacing w:before="100" w:beforeAutospacing="1" w:after="120" w:line="300" w:lineRule="auto"/>
      <w:ind w:left="1224" w:right="1224"/>
      <w:jc w:val="left"/>
    </w:pPr>
    <w:rPr>
      <w:rFonts w:ascii="Calibri Light" w:eastAsia="Times New Roman" w:hAnsi="Calibri Light"/>
      <w:color w:val="5B9BD5"/>
      <w:sz w:val="28"/>
      <w:szCs w:val="28"/>
      <w:lang w:eastAsia="en-US"/>
    </w:rPr>
  </w:style>
  <w:style w:type="character" w:customStyle="1" w:styleId="IntenseQuoteChar">
    <w:name w:val="Intense Quote Char"/>
    <w:basedOn w:val="DefaultParagraphFont"/>
    <w:link w:val="IntenseQuote"/>
    <w:uiPriority w:val="30"/>
    <w:rsid w:val="00C54905"/>
    <w:rPr>
      <w:rFonts w:ascii="Calibri Light" w:eastAsia="Times New Roman" w:hAnsi="Calibri Light" w:cs="Times New Roman"/>
      <w:color w:val="5B9BD5"/>
      <w:sz w:val="28"/>
      <w:szCs w:val="28"/>
    </w:rPr>
  </w:style>
  <w:style w:type="character" w:customStyle="1" w:styleId="SubtleEmphasis1">
    <w:name w:val="Subtle Emphasis1"/>
    <w:basedOn w:val="DefaultParagraphFont"/>
    <w:uiPriority w:val="19"/>
    <w:qFormat/>
    <w:rsid w:val="00C54905"/>
    <w:rPr>
      <w:i/>
      <w:iCs/>
      <w:color w:val="404040"/>
    </w:rPr>
  </w:style>
  <w:style w:type="character" w:styleId="IntenseEmphasis">
    <w:name w:val="Intense Emphasis"/>
    <w:basedOn w:val="DefaultParagraphFont"/>
    <w:uiPriority w:val="21"/>
    <w:qFormat/>
    <w:rsid w:val="00C54905"/>
    <w:rPr>
      <w:b/>
      <w:bCs/>
      <w:i/>
      <w:iCs/>
    </w:rPr>
  </w:style>
  <w:style w:type="character" w:customStyle="1" w:styleId="SubtleReference1">
    <w:name w:val="Subtle Reference1"/>
    <w:basedOn w:val="DefaultParagraphFont"/>
    <w:uiPriority w:val="31"/>
    <w:qFormat/>
    <w:rsid w:val="00C54905"/>
    <w:rPr>
      <w:smallCaps/>
      <w:color w:val="404040"/>
      <w:u w:val="single" w:color="7F7F7F"/>
    </w:rPr>
  </w:style>
  <w:style w:type="character" w:styleId="IntenseReference">
    <w:name w:val="Intense Reference"/>
    <w:basedOn w:val="DefaultParagraphFont"/>
    <w:uiPriority w:val="32"/>
    <w:qFormat/>
    <w:rsid w:val="00C54905"/>
    <w:rPr>
      <w:b/>
      <w:bCs/>
      <w:smallCaps/>
      <w:spacing w:val="5"/>
      <w:u w:val="single"/>
    </w:rPr>
  </w:style>
  <w:style w:type="character" w:styleId="BookTitle">
    <w:name w:val="Book Title"/>
    <w:basedOn w:val="DefaultParagraphFont"/>
    <w:uiPriority w:val="33"/>
    <w:qFormat/>
    <w:rsid w:val="00C54905"/>
    <w:rPr>
      <w:b/>
      <w:bCs/>
      <w:smallCaps/>
    </w:rPr>
  </w:style>
  <w:style w:type="paragraph" w:styleId="Header">
    <w:name w:val="header"/>
    <w:basedOn w:val="Normal"/>
    <w:link w:val="HeaderChar"/>
    <w:uiPriority w:val="99"/>
    <w:unhideWhenUsed/>
    <w:rsid w:val="00C54905"/>
    <w:pPr>
      <w:tabs>
        <w:tab w:val="center" w:pos="4513"/>
        <w:tab w:val="right" w:pos="9026"/>
      </w:tabs>
      <w:suppressAutoHyphens w:val="0"/>
      <w:spacing w:before="0" w:line="240" w:lineRule="auto"/>
      <w:jc w:val="left"/>
    </w:pPr>
    <w:rPr>
      <w:rFonts w:ascii="Times New Roman" w:eastAsia="Times New Roman" w:hAnsi="Times New Roman"/>
      <w:sz w:val="24"/>
      <w:szCs w:val="24"/>
    </w:rPr>
  </w:style>
  <w:style w:type="character" w:customStyle="1" w:styleId="HeaderChar">
    <w:name w:val="Header Char"/>
    <w:basedOn w:val="DefaultParagraphFont"/>
    <w:link w:val="Header"/>
    <w:uiPriority w:val="99"/>
    <w:rsid w:val="00C54905"/>
    <w:rPr>
      <w:rFonts w:ascii="Times New Roman" w:eastAsia="Times New Roman" w:hAnsi="Times New Roman"/>
      <w:sz w:val="24"/>
      <w:szCs w:val="24"/>
    </w:rPr>
  </w:style>
  <w:style w:type="paragraph" w:customStyle="1" w:styleId="FirstLineMemo">
    <w:name w:val="First Line Memo"/>
    <w:basedOn w:val="Normal"/>
    <w:next w:val="Normal"/>
    <w:rsid w:val="00C54905"/>
    <w:pPr>
      <w:suppressAutoHyphens w:val="0"/>
      <w:spacing w:before="360" w:line="240" w:lineRule="auto"/>
      <w:jc w:val="left"/>
    </w:pPr>
    <w:rPr>
      <w:rFonts w:ascii="Trebuchet MS" w:eastAsia="Times New Roman" w:hAnsi="Trebuchet MS"/>
      <w:sz w:val="22"/>
      <w:szCs w:val="22"/>
      <w:lang w:eastAsia="en-US"/>
    </w:rPr>
  </w:style>
  <w:style w:type="paragraph" w:customStyle="1" w:styleId="DocumentLabel">
    <w:name w:val="Document Label"/>
    <w:basedOn w:val="Normal"/>
    <w:rsid w:val="00C54905"/>
    <w:pPr>
      <w:keepNext/>
      <w:keepLines/>
      <w:suppressAutoHyphens w:val="0"/>
      <w:spacing w:before="400" w:after="120" w:line="240" w:lineRule="atLeast"/>
      <w:jc w:val="left"/>
    </w:pPr>
    <w:rPr>
      <w:rFonts w:ascii="Arial Black" w:eastAsia="Times New Roman" w:hAnsi="Arial Black"/>
      <w:spacing w:val="-100"/>
      <w:kern w:val="28"/>
      <w:sz w:val="108"/>
      <w:szCs w:val="20"/>
      <w:lang w:eastAsia="en-US"/>
    </w:rPr>
  </w:style>
  <w:style w:type="paragraph" w:customStyle="1" w:styleId="MessageHeaderFirst">
    <w:name w:val="Message Header First"/>
    <w:basedOn w:val="MessageHeader"/>
    <w:next w:val="MessageHeader"/>
    <w:rsid w:val="00C54905"/>
  </w:style>
  <w:style w:type="paragraph" w:styleId="MessageHeader">
    <w:name w:val="Message Header"/>
    <w:basedOn w:val="BodyText"/>
    <w:link w:val="MessageHeaderChar"/>
    <w:rsid w:val="00C54905"/>
    <w:pPr>
      <w:keepLines/>
      <w:tabs>
        <w:tab w:val="left" w:pos="720"/>
        <w:tab w:val="left" w:pos="4320"/>
        <w:tab w:val="left" w:pos="5040"/>
        <w:tab w:val="right" w:pos="8640"/>
      </w:tabs>
      <w:suppressAutoHyphens w:val="0"/>
      <w:spacing w:before="0" w:after="40" w:line="440" w:lineRule="atLeast"/>
      <w:ind w:left="720" w:hanging="720"/>
      <w:jc w:val="left"/>
    </w:pPr>
    <w:rPr>
      <w:rFonts w:ascii="Trebuchet MS" w:eastAsia="Times New Roman" w:hAnsi="Trebuchet MS"/>
      <w:color w:val="auto"/>
      <w:spacing w:val="-5"/>
      <w:sz w:val="22"/>
      <w:szCs w:val="20"/>
      <w:lang w:eastAsia="en-US"/>
    </w:rPr>
  </w:style>
  <w:style w:type="character" w:customStyle="1" w:styleId="MessageHeaderChar">
    <w:name w:val="Message Header Char"/>
    <w:basedOn w:val="DefaultParagraphFont"/>
    <w:link w:val="MessageHeader"/>
    <w:rsid w:val="00C54905"/>
    <w:rPr>
      <w:rFonts w:ascii="Trebuchet MS" w:eastAsia="Times New Roman" w:hAnsi="Trebuchet MS"/>
      <w:spacing w:val="-5"/>
      <w:sz w:val="22"/>
      <w:szCs w:val="20"/>
      <w:lang w:eastAsia="en-US"/>
    </w:rPr>
  </w:style>
  <w:style w:type="character" w:customStyle="1" w:styleId="MessageHeaderLabel">
    <w:name w:val="Message Header Label"/>
    <w:rsid w:val="00C54905"/>
    <w:rPr>
      <w:rFonts w:ascii="Arial Black" w:hAnsi="Arial Black" w:hint="default"/>
      <w:sz w:val="18"/>
    </w:rPr>
  </w:style>
  <w:style w:type="table" w:customStyle="1" w:styleId="TableGrid1">
    <w:name w:val="Table Grid1"/>
    <w:basedOn w:val="TableNormal"/>
    <w:next w:val="TableGrid"/>
    <w:uiPriority w:val="39"/>
    <w:rsid w:val="00C5490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Content">
    <w:name w:val="Body (Content)"/>
    <w:basedOn w:val="Normal"/>
    <w:uiPriority w:val="99"/>
    <w:rsid w:val="00C54905"/>
    <w:pPr>
      <w:autoSpaceDE w:val="0"/>
      <w:autoSpaceDN w:val="0"/>
      <w:adjustRightInd w:val="0"/>
      <w:spacing w:before="113" w:after="57" w:line="216" w:lineRule="atLeast"/>
      <w:ind w:left="560"/>
      <w:textAlignment w:val="center"/>
    </w:pPr>
    <w:rPr>
      <w:rFonts w:ascii="Humnst777 BT" w:eastAsia="Calibri" w:hAnsi="Humnst777 BT" w:cs="Humnst777 BT"/>
      <w:color w:val="000000"/>
      <w:lang w:val="en-US" w:eastAsia="en-US"/>
    </w:rPr>
  </w:style>
  <w:style w:type="paragraph" w:styleId="Title">
    <w:name w:val="Title"/>
    <w:basedOn w:val="Normal"/>
    <w:next w:val="Normal"/>
    <w:link w:val="TitleChar"/>
    <w:uiPriority w:val="10"/>
    <w:rsid w:val="00C54905"/>
    <w:pPr>
      <w:spacing w:before="0" w:line="240" w:lineRule="auto"/>
      <w:contextualSpacing/>
    </w:pPr>
    <w:rPr>
      <w:rFonts w:ascii="Calibri Light" w:eastAsia="Times New Roman" w:hAnsi="Calibri Light"/>
      <w:color w:val="5B9BD5"/>
      <w:spacing w:val="-10"/>
      <w:sz w:val="56"/>
      <w:szCs w:val="56"/>
    </w:rPr>
  </w:style>
  <w:style w:type="character" w:customStyle="1" w:styleId="TitleChar1">
    <w:name w:val="Title Char1"/>
    <w:basedOn w:val="DefaultParagraphFont"/>
    <w:rsid w:val="00C5490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rsid w:val="00C54905"/>
    <w:pPr>
      <w:numPr>
        <w:ilvl w:val="1"/>
      </w:numPr>
      <w:spacing w:after="160"/>
    </w:pPr>
    <w:rPr>
      <w:rFonts w:ascii="Calibri Light" w:eastAsia="Times New Roman" w:hAnsi="Calibri Light"/>
      <w:sz w:val="24"/>
      <w:szCs w:val="24"/>
    </w:rPr>
  </w:style>
  <w:style w:type="character" w:customStyle="1" w:styleId="SubtitleChar1">
    <w:name w:val="Subtitle Char1"/>
    <w:basedOn w:val="DefaultParagraphFont"/>
    <w:rsid w:val="00C54905"/>
    <w:rPr>
      <w:rFonts w:asciiTheme="minorHAnsi" w:eastAsiaTheme="minorEastAsia" w:hAnsiTheme="minorHAnsi" w:cstheme="minorBidi"/>
      <w:color w:val="5A5A5A" w:themeColor="text1" w:themeTint="A5"/>
      <w:spacing w:val="15"/>
      <w:sz w:val="22"/>
      <w:szCs w:val="22"/>
    </w:rPr>
  </w:style>
  <w:style w:type="paragraph" w:styleId="NoSpacing">
    <w:name w:val="No Spacing"/>
    <w:uiPriority w:val="1"/>
    <w:qFormat/>
    <w:rsid w:val="00C54905"/>
    <w:pPr>
      <w:suppressAutoHyphens/>
      <w:jc w:val="both"/>
    </w:pPr>
  </w:style>
  <w:style w:type="paragraph" w:styleId="Quote">
    <w:name w:val="Quote"/>
    <w:basedOn w:val="Normal"/>
    <w:next w:val="Normal"/>
    <w:link w:val="QuoteChar"/>
    <w:uiPriority w:val="29"/>
    <w:rsid w:val="00C54905"/>
    <w:pPr>
      <w:spacing w:after="160"/>
      <w:ind w:left="864" w:right="864"/>
      <w:jc w:val="center"/>
    </w:pPr>
    <w:rPr>
      <w:i/>
      <w:iCs/>
      <w:color w:val="404040"/>
    </w:rPr>
  </w:style>
  <w:style w:type="character" w:customStyle="1" w:styleId="QuoteChar1">
    <w:name w:val="Quote Char1"/>
    <w:basedOn w:val="DefaultParagraphFont"/>
    <w:rsid w:val="00C54905"/>
    <w:rPr>
      <w:i/>
      <w:iCs/>
      <w:color w:val="404040" w:themeColor="text1" w:themeTint="BF"/>
    </w:rPr>
  </w:style>
  <w:style w:type="paragraph" w:styleId="IntenseQuote">
    <w:name w:val="Intense Quote"/>
    <w:basedOn w:val="Normal"/>
    <w:next w:val="Normal"/>
    <w:link w:val="IntenseQuoteChar"/>
    <w:uiPriority w:val="30"/>
    <w:rsid w:val="00C54905"/>
    <w:pPr>
      <w:pBdr>
        <w:top w:val="single" w:sz="4" w:space="10" w:color="005EA1" w:themeColor="accent1"/>
        <w:bottom w:val="single" w:sz="4" w:space="10" w:color="005EA1" w:themeColor="accent1"/>
      </w:pBdr>
      <w:spacing w:before="360" w:after="360"/>
      <w:ind w:left="864" w:right="864"/>
      <w:jc w:val="center"/>
    </w:pPr>
    <w:rPr>
      <w:rFonts w:ascii="Calibri Light" w:eastAsia="Times New Roman" w:hAnsi="Calibri Light"/>
      <w:color w:val="5B9BD5"/>
      <w:sz w:val="28"/>
      <w:szCs w:val="28"/>
    </w:rPr>
  </w:style>
  <w:style w:type="character" w:customStyle="1" w:styleId="IntenseQuoteChar1">
    <w:name w:val="Intense Quote Char1"/>
    <w:basedOn w:val="DefaultParagraphFont"/>
    <w:rsid w:val="00C54905"/>
    <w:rPr>
      <w:i/>
      <w:iCs/>
      <w:color w:val="005EA1" w:themeColor="accent1"/>
    </w:rPr>
  </w:style>
  <w:style w:type="character" w:styleId="SubtleEmphasis">
    <w:name w:val="Subtle Emphasis"/>
    <w:basedOn w:val="DefaultParagraphFont"/>
    <w:rsid w:val="00C54905"/>
    <w:rPr>
      <w:i/>
      <w:iCs/>
      <w:color w:val="404040" w:themeColor="text1" w:themeTint="BF"/>
    </w:rPr>
  </w:style>
  <w:style w:type="character" w:styleId="SubtleReference">
    <w:name w:val="Subtle Reference"/>
    <w:basedOn w:val="DefaultParagraphFont"/>
    <w:rsid w:val="00C54905"/>
    <w:rPr>
      <w:smallCaps/>
      <w:color w:val="5A5A5A" w:themeColor="text1" w:themeTint="A5"/>
    </w:rPr>
  </w:style>
  <w:style w:type="paragraph" w:styleId="FootnoteText">
    <w:name w:val="footnote text"/>
    <w:basedOn w:val="Normal"/>
    <w:link w:val="FootnoteTextChar"/>
    <w:semiHidden/>
    <w:unhideWhenUsed/>
    <w:rsid w:val="00603224"/>
    <w:pPr>
      <w:spacing w:before="0" w:line="240" w:lineRule="auto"/>
    </w:pPr>
    <w:rPr>
      <w:sz w:val="20"/>
      <w:szCs w:val="20"/>
    </w:rPr>
  </w:style>
  <w:style w:type="character" w:customStyle="1" w:styleId="FootnoteTextChar">
    <w:name w:val="Footnote Text Char"/>
    <w:basedOn w:val="DefaultParagraphFont"/>
    <w:link w:val="FootnoteText"/>
    <w:semiHidden/>
    <w:rsid w:val="00603224"/>
    <w:rPr>
      <w:sz w:val="20"/>
      <w:szCs w:val="20"/>
    </w:rPr>
  </w:style>
  <w:style w:type="character" w:styleId="FootnoteReference">
    <w:name w:val="footnote reference"/>
    <w:basedOn w:val="DefaultParagraphFont"/>
    <w:semiHidden/>
    <w:unhideWhenUsed/>
    <w:rsid w:val="00603224"/>
    <w:rPr>
      <w:vertAlign w:val="superscript"/>
    </w:rPr>
  </w:style>
  <w:style w:type="character" w:styleId="CommentReference">
    <w:name w:val="annotation reference"/>
    <w:basedOn w:val="DefaultParagraphFont"/>
    <w:semiHidden/>
    <w:unhideWhenUsed/>
    <w:rsid w:val="0025712E"/>
    <w:rPr>
      <w:sz w:val="16"/>
      <w:szCs w:val="16"/>
    </w:rPr>
  </w:style>
  <w:style w:type="paragraph" w:styleId="CommentText">
    <w:name w:val="annotation text"/>
    <w:basedOn w:val="Normal"/>
    <w:link w:val="CommentTextChar"/>
    <w:semiHidden/>
    <w:unhideWhenUsed/>
    <w:rsid w:val="0025712E"/>
    <w:pPr>
      <w:spacing w:line="240" w:lineRule="auto"/>
    </w:pPr>
    <w:rPr>
      <w:sz w:val="20"/>
      <w:szCs w:val="20"/>
    </w:rPr>
  </w:style>
  <w:style w:type="character" w:customStyle="1" w:styleId="CommentTextChar">
    <w:name w:val="Comment Text Char"/>
    <w:basedOn w:val="DefaultParagraphFont"/>
    <w:link w:val="CommentText"/>
    <w:semiHidden/>
    <w:rsid w:val="0025712E"/>
    <w:rPr>
      <w:sz w:val="20"/>
      <w:szCs w:val="20"/>
    </w:rPr>
  </w:style>
  <w:style w:type="paragraph" w:styleId="CommentSubject">
    <w:name w:val="annotation subject"/>
    <w:basedOn w:val="CommentText"/>
    <w:next w:val="CommentText"/>
    <w:link w:val="CommentSubjectChar"/>
    <w:semiHidden/>
    <w:unhideWhenUsed/>
    <w:rsid w:val="0025712E"/>
    <w:rPr>
      <w:b/>
      <w:bCs/>
    </w:rPr>
  </w:style>
  <w:style w:type="character" w:customStyle="1" w:styleId="CommentSubjectChar">
    <w:name w:val="Comment Subject Char"/>
    <w:basedOn w:val="CommentTextChar"/>
    <w:link w:val="CommentSubject"/>
    <w:semiHidden/>
    <w:rsid w:val="0025712E"/>
    <w:rPr>
      <w:b/>
      <w:bCs/>
      <w:sz w:val="20"/>
      <w:szCs w:val="20"/>
    </w:rPr>
  </w:style>
  <w:style w:type="table" w:styleId="GridTable2-Accent1">
    <w:name w:val="Grid Table 2 Accent 1"/>
    <w:basedOn w:val="TableNormal"/>
    <w:uiPriority w:val="47"/>
    <w:rsid w:val="00BB6FA2"/>
    <w:tblPr>
      <w:tblStyleRowBandSize w:val="1"/>
      <w:tblStyleColBandSize w:val="1"/>
      <w:tblBorders>
        <w:top w:val="single" w:sz="2" w:space="0" w:color="2DA7FF" w:themeColor="accent1" w:themeTint="99"/>
        <w:bottom w:val="single" w:sz="2" w:space="0" w:color="2DA7FF" w:themeColor="accent1" w:themeTint="99"/>
        <w:insideH w:val="single" w:sz="2" w:space="0" w:color="2DA7FF" w:themeColor="accent1" w:themeTint="99"/>
        <w:insideV w:val="single" w:sz="2" w:space="0" w:color="2DA7FF" w:themeColor="accent1" w:themeTint="99"/>
      </w:tblBorders>
    </w:tblPr>
    <w:tblStylePr w:type="firstRow">
      <w:rPr>
        <w:b/>
        <w:bCs/>
      </w:rPr>
      <w:tblPr/>
      <w:tcPr>
        <w:tcBorders>
          <w:top w:val="nil"/>
          <w:bottom w:val="single" w:sz="12" w:space="0" w:color="2DA7FF" w:themeColor="accent1" w:themeTint="99"/>
          <w:insideH w:val="nil"/>
          <w:insideV w:val="nil"/>
        </w:tcBorders>
        <w:shd w:val="clear" w:color="auto" w:fill="FFFFFF" w:themeFill="background1"/>
      </w:tcPr>
    </w:tblStylePr>
    <w:tblStylePr w:type="lastRow">
      <w:rPr>
        <w:b/>
        <w:bCs/>
      </w:rPr>
      <w:tblPr/>
      <w:tcPr>
        <w:tcBorders>
          <w:top w:val="double" w:sz="2" w:space="0" w:color="2DA7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E1FF" w:themeFill="accent1" w:themeFillTint="33"/>
      </w:tcPr>
    </w:tblStylePr>
    <w:tblStylePr w:type="band1Horz">
      <w:tblPr/>
      <w:tcPr>
        <w:shd w:val="clear" w:color="auto" w:fill="B9E1FF" w:themeFill="accent1" w:themeFillTint="33"/>
      </w:tcPr>
    </w:tblStylePr>
  </w:style>
  <w:style w:type="table" w:styleId="GridTable1Light">
    <w:name w:val="Grid Table 1 Light"/>
    <w:basedOn w:val="TableNormal"/>
    <w:rsid w:val="00B769C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Number">
    <w:name w:val="List Number"/>
    <w:basedOn w:val="Normal"/>
    <w:semiHidden/>
    <w:unhideWhenUsed/>
    <w:qFormat/>
    <w:rsid w:val="00C2716C"/>
    <w:pPr>
      <w:numPr>
        <w:numId w:val="61"/>
      </w:numPr>
      <w:suppressAutoHyphens w:val="0"/>
      <w:spacing w:before="0" w:line="240" w:lineRule="auto"/>
      <w:contextualSpacing/>
      <w:jc w:val="left"/>
    </w:pPr>
    <w:rPr>
      <w:rFonts w:ascii="Verdana" w:eastAsia="Times New Roman" w:hAnsi="Verdana"/>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40168">
      <w:bodyDiv w:val="1"/>
      <w:marLeft w:val="0"/>
      <w:marRight w:val="0"/>
      <w:marTop w:val="0"/>
      <w:marBottom w:val="0"/>
      <w:divBdr>
        <w:top w:val="none" w:sz="0" w:space="0" w:color="auto"/>
        <w:left w:val="none" w:sz="0" w:space="0" w:color="auto"/>
        <w:bottom w:val="none" w:sz="0" w:space="0" w:color="auto"/>
        <w:right w:val="none" w:sz="0" w:space="0" w:color="auto"/>
      </w:divBdr>
    </w:div>
    <w:div w:id="121274061">
      <w:bodyDiv w:val="1"/>
      <w:marLeft w:val="0"/>
      <w:marRight w:val="0"/>
      <w:marTop w:val="0"/>
      <w:marBottom w:val="0"/>
      <w:divBdr>
        <w:top w:val="none" w:sz="0" w:space="0" w:color="auto"/>
        <w:left w:val="none" w:sz="0" w:space="0" w:color="auto"/>
        <w:bottom w:val="none" w:sz="0" w:space="0" w:color="auto"/>
        <w:right w:val="none" w:sz="0" w:space="0" w:color="auto"/>
      </w:divBdr>
    </w:div>
    <w:div w:id="171918636">
      <w:bodyDiv w:val="1"/>
      <w:marLeft w:val="0"/>
      <w:marRight w:val="0"/>
      <w:marTop w:val="0"/>
      <w:marBottom w:val="0"/>
      <w:divBdr>
        <w:top w:val="none" w:sz="0" w:space="0" w:color="auto"/>
        <w:left w:val="none" w:sz="0" w:space="0" w:color="auto"/>
        <w:bottom w:val="none" w:sz="0" w:space="0" w:color="auto"/>
        <w:right w:val="none" w:sz="0" w:space="0" w:color="auto"/>
      </w:divBdr>
    </w:div>
    <w:div w:id="194657035">
      <w:bodyDiv w:val="1"/>
      <w:marLeft w:val="0"/>
      <w:marRight w:val="0"/>
      <w:marTop w:val="0"/>
      <w:marBottom w:val="0"/>
      <w:divBdr>
        <w:top w:val="none" w:sz="0" w:space="0" w:color="auto"/>
        <w:left w:val="none" w:sz="0" w:space="0" w:color="auto"/>
        <w:bottom w:val="none" w:sz="0" w:space="0" w:color="auto"/>
        <w:right w:val="none" w:sz="0" w:space="0" w:color="auto"/>
      </w:divBdr>
    </w:div>
    <w:div w:id="215168414">
      <w:bodyDiv w:val="1"/>
      <w:marLeft w:val="0"/>
      <w:marRight w:val="0"/>
      <w:marTop w:val="0"/>
      <w:marBottom w:val="0"/>
      <w:divBdr>
        <w:top w:val="none" w:sz="0" w:space="0" w:color="auto"/>
        <w:left w:val="none" w:sz="0" w:space="0" w:color="auto"/>
        <w:bottom w:val="none" w:sz="0" w:space="0" w:color="auto"/>
        <w:right w:val="none" w:sz="0" w:space="0" w:color="auto"/>
      </w:divBdr>
    </w:div>
    <w:div w:id="250243305">
      <w:bodyDiv w:val="1"/>
      <w:marLeft w:val="0"/>
      <w:marRight w:val="0"/>
      <w:marTop w:val="0"/>
      <w:marBottom w:val="0"/>
      <w:divBdr>
        <w:top w:val="none" w:sz="0" w:space="0" w:color="auto"/>
        <w:left w:val="none" w:sz="0" w:space="0" w:color="auto"/>
        <w:bottom w:val="none" w:sz="0" w:space="0" w:color="auto"/>
        <w:right w:val="none" w:sz="0" w:space="0" w:color="auto"/>
      </w:divBdr>
    </w:div>
    <w:div w:id="275718700">
      <w:bodyDiv w:val="1"/>
      <w:marLeft w:val="0"/>
      <w:marRight w:val="0"/>
      <w:marTop w:val="0"/>
      <w:marBottom w:val="0"/>
      <w:divBdr>
        <w:top w:val="none" w:sz="0" w:space="0" w:color="auto"/>
        <w:left w:val="none" w:sz="0" w:space="0" w:color="auto"/>
        <w:bottom w:val="none" w:sz="0" w:space="0" w:color="auto"/>
        <w:right w:val="none" w:sz="0" w:space="0" w:color="auto"/>
      </w:divBdr>
    </w:div>
    <w:div w:id="283274389">
      <w:bodyDiv w:val="1"/>
      <w:marLeft w:val="0"/>
      <w:marRight w:val="0"/>
      <w:marTop w:val="0"/>
      <w:marBottom w:val="0"/>
      <w:divBdr>
        <w:top w:val="none" w:sz="0" w:space="0" w:color="auto"/>
        <w:left w:val="none" w:sz="0" w:space="0" w:color="auto"/>
        <w:bottom w:val="none" w:sz="0" w:space="0" w:color="auto"/>
        <w:right w:val="none" w:sz="0" w:space="0" w:color="auto"/>
      </w:divBdr>
    </w:div>
    <w:div w:id="288627740">
      <w:bodyDiv w:val="1"/>
      <w:marLeft w:val="0"/>
      <w:marRight w:val="0"/>
      <w:marTop w:val="0"/>
      <w:marBottom w:val="0"/>
      <w:divBdr>
        <w:top w:val="none" w:sz="0" w:space="0" w:color="auto"/>
        <w:left w:val="none" w:sz="0" w:space="0" w:color="auto"/>
        <w:bottom w:val="none" w:sz="0" w:space="0" w:color="auto"/>
        <w:right w:val="none" w:sz="0" w:space="0" w:color="auto"/>
      </w:divBdr>
    </w:div>
    <w:div w:id="289019424">
      <w:bodyDiv w:val="1"/>
      <w:marLeft w:val="0"/>
      <w:marRight w:val="0"/>
      <w:marTop w:val="0"/>
      <w:marBottom w:val="0"/>
      <w:divBdr>
        <w:top w:val="none" w:sz="0" w:space="0" w:color="auto"/>
        <w:left w:val="none" w:sz="0" w:space="0" w:color="auto"/>
        <w:bottom w:val="none" w:sz="0" w:space="0" w:color="auto"/>
        <w:right w:val="none" w:sz="0" w:space="0" w:color="auto"/>
      </w:divBdr>
    </w:div>
    <w:div w:id="388767850">
      <w:bodyDiv w:val="1"/>
      <w:marLeft w:val="0"/>
      <w:marRight w:val="0"/>
      <w:marTop w:val="0"/>
      <w:marBottom w:val="0"/>
      <w:divBdr>
        <w:top w:val="none" w:sz="0" w:space="0" w:color="auto"/>
        <w:left w:val="none" w:sz="0" w:space="0" w:color="auto"/>
        <w:bottom w:val="none" w:sz="0" w:space="0" w:color="auto"/>
        <w:right w:val="none" w:sz="0" w:space="0" w:color="auto"/>
      </w:divBdr>
    </w:div>
    <w:div w:id="508446887">
      <w:bodyDiv w:val="1"/>
      <w:marLeft w:val="0"/>
      <w:marRight w:val="0"/>
      <w:marTop w:val="0"/>
      <w:marBottom w:val="0"/>
      <w:divBdr>
        <w:top w:val="none" w:sz="0" w:space="0" w:color="auto"/>
        <w:left w:val="none" w:sz="0" w:space="0" w:color="auto"/>
        <w:bottom w:val="none" w:sz="0" w:space="0" w:color="auto"/>
        <w:right w:val="none" w:sz="0" w:space="0" w:color="auto"/>
      </w:divBdr>
    </w:div>
    <w:div w:id="510871441">
      <w:bodyDiv w:val="1"/>
      <w:marLeft w:val="0"/>
      <w:marRight w:val="0"/>
      <w:marTop w:val="0"/>
      <w:marBottom w:val="0"/>
      <w:divBdr>
        <w:top w:val="none" w:sz="0" w:space="0" w:color="auto"/>
        <w:left w:val="none" w:sz="0" w:space="0" w:color="auto"/>
        <w:bottom w:val="none" w:sz="0" w:space="0" w:color="auto"/>
        <w:right w:val="none" w:sz="0" w:space="0" w:color="auto"/>
      </w:divBdr>
    </w:div>
    <w:div w:id="513499236">
      <w:bodyDiv w:val="1"/>
      <w:marLeft w:val="0"/>
      <w:marRight w:val="0"/>
      <w:marTop w:val="0"/>
      <w:marBottom w:val="0"/>
      <w:divBdr>
        <w:top w:val="none" w:sz="0" w:space="0" w:color="auto"/>
        <w:left w:val="none" w:sz="0" w:space="0" w:color="auto"/>
        <w:bottom w:val="none" w:sz="0" w:space="0" w:color="auto"/>
        <w:right w:val="none" w:sz="0" w:space="0" w:color="auto"/>
      </w:divBdr>
    </w:div>
    <w:div w:id="515772241">
      <w:bodyDiv w:val="1"/>
      <w:marLeft w:val="0"/>
      <w:marRight w:val="0"/>
      <w:marTop w:val="0"/>
      <w:marBottom w:val="0"/>
      <w:divBdr>
        <w:top w:val="none" w:sz="0" w:space="0" w:color="auto"/>
        <w:left w:val="none" w:sz="0" w:space="0" w:color="auto"/>
        <w:bottom w:val="none" w:sz="0" w:space="0" w:color="auto"/>
        <w:right w:val="none" w:sz="0" w:space="0" w:color="auto"/>
      </w:divBdr>
      <w:divsChild>
        <w:div w:id="845289568">
          <w:marLeft w:val="850"/>
          <w:marRight w:val="0"/>
          <w:marTop w:val="0"/>
          <w:marBottom w:val="0"/>
          <w:divBdr>
            <w:top w:val="none" w:sz="0" w:space="0" w:color="auto"/>
            <w:left w:val="none" w:sz="0" w:space="0" w:color="auto"/>
            <w:bottom w:val="none" w:sz="0" w:space="0" w:color="auto"/>
            <w:right w:val="none" w:sz="0" w:space="0" w:color="auto"/>
          </w:divBdr>
        </w:div>
        <w:div w:id="930965612">
          <w:marLeft w:val="850"/>
          <w:marRight w:val="0"/>
          <w:marTop w:val="0"/>
          <w:marBottom w:val="0"/>
          <w:divBdr>
            <w:top w:val="none" w:sz="0" w:space="0" w:color="auto"/>
            <w:left w:val="none" w:sz="0" w:space="0" w:color="auto"/>
            <w:bottom w:val="none" w:sz="0" w:space="0" w:color="auto"/>
            <w:right w:val="none" w:sz="0" w:space="0" w:color="auto"/>
          </w:divBdr>
        </w:div>
        <w:div w:id="1720007632">
          <w:marLeft w:val="850"/>
          <w:marRight w:val="0"/>
          <w:marTop w:val="0"/>
          <w:marBottom w:val="0"/>
          <w:divBdr>
            <w:top w:val="none" w:sz="0" w:space="0" w:color="auto"/>
            <w:left w:val="none" w:sz="0" w:space="0" w:color="auto"/>
            <w:bottom w:val="none" w:sz="0" w:space="0" w:color="auto"/>
            <w:right w:val="none" w:sz="0" w:space="0" w:color="auto"/>
          </w:divBdr>
        </w:div>
      </w:divsChild>
    </w:div>
    <w:div w:id="552620378">
      <w:bodyDiv w:val="1"/>
      <w:marLeft w:val="0"/>
      <w:marRight w:val="0"/>
      <w:marTop w:val="0"/>
      <w:marBottom w:val="0"/>
      <w:divBdr>
        <w:top w:val="none" w:sz="0" w:space="0" w:color="auto"/>
        <w:left w:val="none" w:sz="0" w:space="0" w:color="auto"/>
        <w:bottom w:val="none" w:sz="0" w:space="0" w:color="auto"/>
        <w:right w:val="none" w:sz="0" w:space="0" w:color="auto"/>
      </w:divBdr>
    </w:div>
    <w:div w:id="606809069">
      <w:bodyDiv w:val="1"/>
      <w:marLeft w:val="0"/>
      <w:marRight w:val="0"/>
      <w:marTop w:val="0"/>
      <w:marBottom w:val="0"/>
      <w:divBdr>
        <w:top w:val="none" w:sz="0" w:space="0" w:color="auto"/>
        <w:left w:val="none" w:sz="0" w:space="0" w:color="auto"/>
        <w:bottom w:val="none" w:sz="0" w:space="0" w:color="auto"/>
        <w:right w:val="none" w:sz="0" w:space="0" w:color="auto"/>
      </w:divBdr>
    </w:div>
    <w:div w:id="655307478">
      <w:bodyDiv w:val="1"/>
      <w:marLeft w:val="0"/>
      <w:marRight w:val="0"/>
      <w:marTop w:val="0"/>
      <w:marBottom w:val="0"/>
      <w:divBdr>
        <w:top w:val="none" w:sz="0" w:space="0" w:color="auto"/>
        <w:left w:val="none" w:sz="0" w:space="0" w:color="auto"/>
        <w:bottom w:val="none" w:sz="0" w:space="0" w:color="auto"/>
        <w:right w:val="none" w:sz="0" w:space="0" w:color="auto"/>
      </w:divBdr>
    </w:div>
    <w:div w:id="804811827">
      <w:bodyDiv w:val="1"/>
      <w:marLeft w:val="0"/>
      <w:marRight w:val="0"/>
      <w:marTop w:val="0"/>
      <w:marBottom w:val="0"/>
      <w:divBdr>
        <w:top w:val="none" w:sz="0" w:space="0" w:color="auto"/>
        <w:left w:val="none" w:sz="0" w:space="0" w:color="auto"/>
        <w:bottom w:val="none" w:sz="0" w:space="0" w:color="auto"/>
        <w:right w:val="none" w:sz="0" w:space="0" w:color="auto"/>
      </w:divBdr>
    </w:div>
    <w:div w:id="880705514">
      <w:bodyDiv w:val="1"/>
      <w:marLeft w:val="0"/>
      <w:marRight w:val="0"/>
      <w:marTop w:val="0"/>
      <w:marBottom w:val="0"/>
      <w:divBdr>
        <w:top w:val="none" w:sz="0" w:space="0" w:color="auto"/>
        <w:left w:val="none" w:sz="0" w:space="0" w:color="auto"/>
        <w:bottom w:val="none" w:sz="0" w:space="0" w:color="auto"/>
        <w:right w:val="none" w:sz="0" w:space="0" w:color="auto"/>
      </w:divBdr>
    </w:div>
    <w:div w:id="881481890">
      <w:bodyDiv w:val="1"/>
      <w:marLeft w:val="0"/>
      <w:marRight w:val="0"/>
      <w:marTop w:val="0"/>
      <w:marBottom w:val="0"/>
      <w:divBdr>
        <w:top w:val="none" w:sz="0" w:space="0" w:color="auto"/>
        <w:left w:val="none" w:sz="0" w:space="0" w:color="auto"/>
        <w:bottom w:val="none" w:sz="0" w:space="0" w:color="auto"/>
        <w:right w:val="none" w:sz="0" w:space="0" w:color="auto"/>
      </w:divBdr>
    </w:div>
    <w:div w:id="901332657">
      <w:bodyDiv w:val="1"/>
      <w:marLeft w:val="0"/>
      <w:marRight w:val="0"/>
      <w:marTop w:val="0"/>
      <w:marBottom w:val="0"/>
      <w:divBdr>
        <w:top w:val="none" w:sz="0" w:space="0" w:color="auto"/>
        <w:left w:val="none" w:sz="0" w:space="0" w:color="auto"/>
        <w:bottom w:val="none" w:sz="0" w:space="0" w:color="auto"/>
        <w:right w:val="none" w:sz="0" w:space="0" w:color="auto"/>
      </w:divBdr>
    </w:div>
    <w:div w:id="929045713">
      <w:bodyDiv w:val="1"/>
      <w:marLeft w:val="0"/>
      <w:marRight w:val="0"/>
      <w:marTop w:val="0"/>
      <w:marBottom w:val="0"/>
      <w:divBdr>
        <w:top w:val="none" w:sz="0" w:space="0" w:color="auto"/>
        <w:left w:val="none" w:sz="0" w:space="0" w:color="auto"/>
        <w:bottom w:val="none" w:sz="0" w:space="0" w:color="auto"/>
        <w:right w:val="none" w:sz="0" w:space="0" w:color="auto"/>
      </w:divBdr>
    </w:div>
    <w:div w:id="961763068">
      <w:bodyDiv w:val="1"/>
      <w:marLeft w:val="0"/>
      <w:marRight w:val="0"/>
      <w:marTop w:val="0"/>
      <w:marBottom w:val="0"/>
      <w:divBdr>
        <w:top w:val="none" w:sz="0" w:space="0" w:color="auto"/>
        <w:left w:val="none" w:sz="0" w:space="0" w:color="auto"/>
        <w:bottom w:val="none" w:sz="0" w:space="0" w:color="auto"/>
        <w:right w:val="none" w:sz="0" w:space="0" w:color="auto"/>
      </w:divBdr>
    </w:div>
    <w:div w:id="1092163054">
      <w:bodyDiv w:val="1"/>
      <w:marLeft w:val="0"/>
      <w:marRight w:val="0"/>
      <w:marTop w:val="0"/>
      <w:marBottom w:val="0"/>
      <w:divBdr>
        <w:top w:val="none" w:sz="0" w:space="0" w:color="auto"/>
        <w:left w:val="none" w:sz="0" w:space="0" w:color="auto"/>
        <w:bottom w:val="none" w:sz="0" w:space="0" w:color="auto"/>
        <w:right w:val="none" w:sz="0" w:space="0" w:color="auto"/>
      </w:divBdr>
    </w:div>
    <w:div w:id="1122528911">
      <w:bodyDiv w:val="1"/>
      <w:marLeft w:val="0"/>
      <w:marRight w:val="0"/>
      <w:marTop w:val="0"/>
      <w:marBottom w:val="0"/>
      <w:divBdr>
        <w:top w:val="none" w:sz="0" w:space="0" w:color="auto"/>
        <w:left w:val="none" w:sz="0" w:space="0" w:color="auto"/>
        <w:bottom w:val="none" w:sz="0" w:space="0" w:color="auto"/>
        <w:right w:val="none" w:sz="0" w:space="0" w:color="auto"/>
      </w:divBdr>
      <w:divsChild>
        <w:div w:id="432550669">
          <w:marLeft w:val="1426"/>
          <w:marRight w:val="0"/>
          <w:marTop w:val="0"/>
          <w:marBottom w:val="0"/>
          <w:divBdr>
            <w:top w:val="none" w:sz="0" w:space="0" w:color="auto"/>
            <w:left w:val="none" w:sz="0" w:space="0" w:color="auto"/>
            <w:bottom w:val="none" w:sz="0" w:space="0" w:color="auto"/>
            <w:right w:val="none" w:sz="0" w:space="0" w:color="auto"/>
          </w:divBdr>
        </w:div>
        <w:div w:id="802889351">
          <w:marLeft w:val="547"/>
          <w:marRight w:val="0"/>
          <w:marTop w:val="0"/>
          <w:marBottom w:val="0"/>
          <w:divBdr>
            <w:top w:val="none" w:sz="0" w:space="0" w:color="auto"/>
            <w:left w:val="none" w:sz="0" w:space="0" w:color="auto"/>
            <w:bottom w:val="none" w:sz="0" w:space="0" w:color="auto"/>
            <w:right w:val="none" w:sz="0" w:space="0" w:color="auto"/>
          </w:divBdr>
        </w:div>
        <w:div w:id="878274818">
          <w:marLeft w:val="1138"/>
          <w:marRight w:val="0"/>
          <w:marTop w:val="0"/>
          <w:marBottom w:val="0"/>
          <w:divBdr>
            <w:top w:val="none" w:sz="0" w:space="0" w:color="auto"/>
            <w:left w:val="none" w:sz="0" w:space="0" w:color="auto"/>
            <w:bottom w:val="none" w:sz="0" w:space="0" w:color="auto"/>
            <w:right w:val="none" w:sz="0" w:space="0" w:color="auto"/>
          </w:divBdr>
        </w:div>
        <w:div w:id="1073505193">
          <w:marLeft w:val="547"/>
          <w:marRight w:val="0"/>
          <w:marTop w:val="0"/>
          <w:marBottom w:val="0"/>
          <w:divBdr>
            <w:top w:val="none" w:sz="0" w:space="0" w:color="auto"/>
            <w:left w:val="none" w:sz="0" w:space="0" w:color="auto"/>
            <w:bottom w:val="none" w:sz="0" w:space="0" w:color="auto"/>
            <w:right w:val="none" w:sz="0" w:space="0" w:color="auto"/>
          </w:divBdr>
        </w:div>
        <w:div w:id="1085806489">
          <w:marLeft w:val="547"/>
          <w:marRight w:val="0"/>
          <w:marTop w:val="0"/>
          <w:marBottom w:val="0"/>
          <w:divBdr>
            <w:top w:val="none" w:sz="0" w:space="0" w:color="auto"/>
            <w:left w:val="none" w:sz="0" w:space="0" w:color="auto"/>
            <w:bottom w:val="none" w:sz="0" w:space="0" w:color="auto"/>
            <w:right w:val="none" w:sz="0" w:space="0" w:color="auto"/>
          </w:divBdr>
        </w:div>
        <w:div w:id="1176727221">
          <w:marLeft w:val="1138"/>
          <w:marRight w:val="0"/>
          <w:marTop w:val="0"/>
          <w:marBottom w:val="0"/>
          <w:divBdr>
            <w:top w:val="none" w:sz="0" w:space="0" w:color="auto"/>
            <w:left w:val="none" w:sz="0" w:space="0" w:color="auto"/>
            <w:bottom w:val="none" w:sz="0" w:space="0" w:color="auto"/>
            <w:right w:val="none" w:sz="0" w:space="0" w:color="auto"/>
          </w:divBdr>
        </w:div>
        <w:div w:id="1217623772">
          <w:marLeft w:val="547"/>
          <w:marRight w:val="0"/>
          <w:marTop w:val="0"/>
          <w:marBottom w:val="0"/>
          <w:divBdr>
            <w:top w:val="none" w:sz="0" w:space="0" w:color="auto"/>
            <w:left w:val="none" w:sz="0" w:space="0" w:color="auto"/>
            <w:bottom w:val="none" w:sz="0" w:space="0" w:color="auto"/>
            <w:right w:val="none" w:sz="0" w:space="0" w:color="auto"/>
          </w:divBdr>
        </w:div>
        <w:div w:id="1381780309">
          <w:marLeft w:val="547"/>
          <w:marRight w:val="0"/>
          <w:marTop w:val="0"/>
          <w:marBottom w:val="0"/>
          <w:divBdr>
            <w:top w:val="none" w:sz="0" w:space="0" w:color="auto"/>
            <w:left w:val="none" w:sz="0" w:space="0" w:color="auto"/>
            <w:bottom w:val="none" w:sz="0" w:space="0" w:color="auto"/>
            <w:right w:val="none" w:sz="0" w:space="0" w:color="auto"/>
          </w:divBdr>
        </w:div>
        <w:div w:id="1452088634">
          <w:marLeft w:val="1426"/>
          <w:marRight w:val="0"/>
          <w:marTop w:val="0"/>
          <w:marBottom w:val="0"/>
          <w:divBdr>
            <w:top w:val="none" w:sz="0" w:space="0" w:color="auto"/>
            <w:left w:val="none" w:sz="0" w:space="0" w:color="auto"/>
            <w:bottom w:val="none" w:sz="0" w:space="0" w:color="auto"/>
            <w:right w:val="none" w:sz="0" w:space="0" w:color="auto"/>
          </w:divBdr>
        </w:div>
        <w:div w:id="1761096633">
          <w:marLeft w:val="547"/>
          <w:marRight w:val="0"/>
          <w:marTop w:val="0"/>
          <w:marBottom w:val="0"/>
          <w:divBdr>
            <w:top w:val="none" w:sz="0" w:space="0" w:color="auto"/>
            <w:left w:val="none" w:sz="0" w:space="0" w:color="auto"/>
            <w:bottom w:val="none" w:sz="0" w:space="0" w:color="auto"/>
            <w:right w:val="none" w:sz="0" w:space="0" w:color="auto"/>
          </w:divBdr>
        </w:div>
        <w:div w:id="2010524266">
          <w:marLeft w:val="547"/>
          <w:marRight w:val="0"/>
          <w:marTop w:val="0"/>
          <w:marBottom w:val="0"/>
          <w:divBdr>
            <w:top w:val="none" w:sz="0" w:space="0" w:color="auto"/>
            <w:left w:val="none" w:sz="0" w:space="0" w:color="auto"/>
            <w:bottom w:val="none" w:sz="0" w:space="0" w:color="auto"/>
            <w:right w:val="none" w:sz="0" w:space="0" w:color="auto"/>
          </w:divBdr>
        </w:div>
        <w:div w:id="2029674634">
          <w:marLeft w:val="547"/>
          <w:marRight w:val="0"/>
          <w:marTop w:val="0"/>
          <w:marBottom w:val="0"/>
          <w:divBdr>
            <w:top w:val="none" w:sz="0" w:space="0" w:color="auto"/>
            <w:left w:val="none" w:sz="0" w:space="0" w:color="auto"/>
            <w:bottom w:val="none" w:sz="0" w:space="0" w:color="auto"/>
            <w:right w:val="none" w:sz="0" w:space="0" w:color="auto"/>
          </w:divBdr>
        </w:div>
        <w:div w:id="2109815779">
          <w:marLeft w:val="547"/>
          <w:marRight w:val="0"/>
          <w:marTop w:val="0"/>
          <w:marBottom w:val="0"/>
          <w:divBdr>
            <w:top w:val="none" w:sz="0" w:space="0" w:color="auto"/>
            <w:left w:val="none" w:sz="0" w:space="0" w:color="auto"/>
            <w:bottom w:val="none" w:sz="0" w:space="0" w:color="auto"/>
            <w:right w:val="none" w:sz="0" w:space="0" w:color="auto"/>
          </w:divBdr>
        </w:div>
        <w:div w:id="2121096714">
          <w:marLeft w:val="547"/>
          <w:marRight w:val="0"/>
          <w:marTop w:val="0"/>
          <w:marBottom w:val="0"/>
          <w:divBdr>
            <w:top w:val="none" w:sz="0" w:space="0" w:color="auto"/>
            <w:left w:val="none" w:sz="0" w:space="0" w:color="auto"/>
            <w:bottom w:val="none" w:sz="0" w:space="0" w:color="auto"/>
            <w:right w:val="none" w:sz="0" w:space="0" w:color="auto"/>
          </w:divBdr>
        </w:div>
      </w:divsChild>
    </w:div>
    <w:div w:id="1125463648">
      <w:bodyDiv w:val="1"/>
      <w:marLeft w:val="0"/>
      <w:marRight w:val="0"/>
      <w:marTop w:val="0"/>
      <w:marBottom w:val="0"/>
      <w:divBdr>
        <w:top w:val="none" w:sz="0" w:space="0" w:color="auto"/>
        <w:left w:val="none" w:sz="0" w:space="0" w:color="auto"/>
        <w:bottom w:val="none" w:sz="0" w:space="0" w:color="auto"/>
        <w:right w:val="none" w:sz="0" w:space="0" w:color="auto"/>
      </w:divBdr>
    </w:div>
    <w:div w:id="1159033655">
      <w:bodyDiv w:val="1"/>
      <w:marLeft w:val="0"/>
      <w:marRight w:val="0"/>
      <w:marTop w:val="0"/>
      <w:marBottom w:val="0"/>
      <w:divBdr>
        <w:top w:val="none" w:sz="0" w:space="0" w:color="auto"/>
        <w:left w:val="none" w:sz="0" w:space="0" w:color="auto"/>
        <w:bottom w:val="none" w:sz="0" w:space="0" w:color="auto"/>
        <w:right w:val="none" w:sz="0" w:space="0" w:color="auto"/>
      </w:divBdr>
    </w:div>
    <w:div w:id="1214580668">
      <w:bodyDiv w:val="1"/>
      <w:marLeft w:val="0"/>
      <w:marRight w:val="0"/>
      <w:marTop w:val="0"/>
      <w:marBottom w:val="0"/>
      <w:divBdr>
        <w:top w:val="none" w:sz="0" w:space="0" w:color="auto"/>
        <w:left w:val="none" w:sz="0" w:space="0" w:color="auto"/>
        <w:bottom w:val="none" w:sz="0" w:space="0" w:color="auto"/>
        <w:right w:val="none" w:sz="0" w:space="0" w:color="auto"/>
      </w:divBdr>
    </w:div>
    <w:div w:id="1235700577">
      <w:bodyDiv w:val="1"/>
      <w:marLeft w:val="0"/>
      <w:marRight w:val="0"/>
      <w:marTop w:val="0"/>
      <w:marBottom w:val="0"/>
      <w:divBdr>
        <w:top w:val="none" w:sz="0" w:space="0" w:color="auto"/>
        <w:left w:val="none" w:sz="0" w:space="0" w:color="auto"/>
        <w:bottom w:val="none" w:sz="0" w:space="0" w:color="auto"/>
        <w:right w:val="none" w:sz="0" w:space="0" w:color="auto"/>
      </w:divBdr>
    </w:div>
    <w:div w:id="1244727253">
      <w:bodyDiv w:val="1"/>
      <w:marLeft w:val="0"/>
      <w:marRight w:val="0"/>
      <w:marTop w:val="0"/>
      <w:marBottom w:val="0"/>
      <w:divBdr>
        <w:top w:val="none" w:sz="0" w:space="0" w:color="auto"/>
        <w:left w:val="none" w:sz="0" w:space="0" w:color="auto"/>
        <w:bottom w:val="none" w:sz="0" w:space="0" w:color="auto"/>
        <w:right w:val="none" w:sz="0" w:space="0" w:color="auto"/>
      </w:divBdr>
    </w:div>
    <w:div w:id="1317609265">
      <w:bodyDiv w:val="1"/>
      <w:marLeft w:val="0"/>
      <w:marRight w:val="0"/>
      <w:marTop w:val="0"/>
      <w:marBottom w:val="0"/>
      <w:divBdr>
        <w:top w:val="none" w:sz="0" w:space="0" w:color="auto"/>
        <w:left w:val="none" w:sz="0" w:space="0" w:color="auto"/>
        <w:bottom w:val="none" w:sz="0" w:space="0" w:color="auto"/>
        <w:right w:val="none" w:sz="0" w:space="0" w:color="auto"/>
      </w:divBdr>
    </w:div>
    <w:div w:id="1479497135">
      <w:bodyDiv w:val="1"/>
      <w:marLeft w:val="0"/>
      <w:marRight w:val="0"/>
      <w:marTop w:val="0"/>
      <w:marBottom w:val="0"/>
      <w:divBdr>
        <w:top w:val="none" w:sz="0" w:space="0" w:color="auto"/>
        <w:left w:val="none" w:sz="0" w:space="0" w:color="auto"/>
        <w:bottom w:val="none" w:sz="0" w:space="0" w:color="auto"/>
        <w:right w:val="none" w:sz="0" w:space="0" w:color="auto"/>
      </w:divBdr>
    </w:div>
    <w:div w:id="1482112494">
      <w:bodyDiv w:val="1"/>
      <w:marLeft w:val="0"/>
      <w:marRight w:val="0"/>
      <w:marTop w:val="0"/>
      <w:marBottom w:val="0"/>
      <w:divBdr>
        <w:top w:val="none" w:sz="0" w:space="0" w:color="auto"/>
        <w:left w:val="none" w:sz="0" w:space="0" w:color="auto"/>
        <w:bottom w:val="none" w:sz="0" w:space="0" w:color="auto"/>
        <w:right w:val="none" w:sz="0" w:space="0" w:color="auto"/>
      </w:divBdr>
    </w:div>
    <w:div w:id="1501582596">
      <w:bodyDiv w:val="1"/>
      <w:marLeft w:val="0"/>
      <w:marRight w:val="0"/>
      <w:marTop w:val="0"/>
      <w:marBottom w:val="0"/>
      <w:divBdr>
        <w:top w:val="none" w:sz="0" w:space="0" w:color="auto"/>
        <w:left w:val="none" w:sz="0" w:space="0" w:color="auto"/>
        <w:bottom w:val="none" w:sz="0" w:space="0" w:color="auto"/>
        <w:right w:val="none" w:sz="0" w:space="0" w:color="auto"/>
      </w:divBdr>
    </w:div>
    <w:div w:id="1550461701">
      <w:bodyDiv w:val="1"/>
      <w:marLeft w:val="0"/>
      <w:marRight w:val="0"/>
      <w:marTop w:val="0"/>
      <w:marBottom w:val="0"/>
      <w:divBdr>
        <w:top w:val="none" w:sz="0" w:space="0" w:color="auto"/>
        <w:left w:val="none" w:sz="0" w:space="0" w:color="auto"/>
        <w:bottom w:val="none" w:sz="0" w:space="0" w:color="auto"/>
        <w:right w:val="none" w:sz="0" w:space="0" w:color="auto"/>
      </w:divBdr>
    </w:div>
    <w:div w:id="1576938955">
      <w:bodyDiv w:val="1"/>
      <w:marLeft w:val="0"/>
      <w:marRight w:val="0"/>
      <w:marTop w:val="0"/>
      <w:marBottom w:val="0"/>
      <w:divBdr>
        <w:top w:val="none" w:sz="0" w:space="0" w:color="auto"/>
        <w:left w:val="none" w:sz="0" w:space="0" w:color="auto"/>
        <w:bottom w:val="none" w:sz="0" w:space="0" w:color="auto"/>
        <w:right w:val="none" w:sz="0" w:space="0" w:color="auto"/>
      </w:divBdr>
    </w:div>
    <w:div w:id="1637444925">
      <w:bodyDiv w:val="1"/>
      <w:marLeft w:val="0"/>
      <w:marRight w:val="0"/>
      <w:marTop w:val="0"/>
      <w:marBottom w:val="0"/>
      <w:divBdr>
        <w:top w:val="none" w:sz="0" w:space="0" w:color="auto"/>
        <w:left w:val="none" w:sz="0" w:space="0" w:color="auto"/>
        <w:bottom w:val="none" w:sz="0" w:space="0" w:color="auto"/>
        <w:right w:val="none" w:sz="0" w:space="0" w:color="auto"/>
      </w:divBdr>
    </w:div>
    <w:div w:id="1644504524">
      <w:bodyDiv w:val="1"/>
      <w:marLeft w:val="0"/>
      <w:marRight w:val="0"/>
      <w:marTop w:val="0"/>
      <w:marBottom w:val="0"/>
      <w:divBdr>
        <w:top w:val="none" w:sz="0" w:space="0" w:color="auto"/>
        <w:left w:val="none" w:sz="0" w:space="0" w:color="auto"/>
        <w:bottom w:val="none" w:sz="0" w:space="0" w:color="auto"/>
        <w:right w:val="none" w:sz="0" w:space="0" w:color="auto"/>
      </w:divBdr>
    </w:div>
    <w:div w:id="1683973930">
      <w:bodyDiv w:val="1"/>
      <w:marLeft w:val="0"/>
      <w:marRight w:val="0"/>
      <w:marTop w:val="0"/>
      <w:marBottom w:val="0"/>
      <w:divBdr>
        <w:top w:val="none" w:sz="0" w:space="0" w:color="auto"/>
        <w:left w:val="none" w:sz="0" w:space="0" w:color="auto"/>
        <w:bottom w:val="none" w:sz="0" w:space="0" w:color="auto"/>
        <w:right w:val="none" w:sz="0" w:space="0" w:color="auto"/>
      </w:divBdr>
    </w:div>
    <w:div w:id="1808549854">
      <w:bodyDiv w:val="1"/>
      <w:marLeft w:val="0"/>
      <w:marRight w:val="0"/>
      <w:marTop w:val="0"/>
      <w:marBottom w:val="0"/>
      <w:divBdr>
        <w:top w:val="none" w:sz="0" w:space="0" w:color="auto"/>
        <w:left w:val="none" w:sz="0" w:space="0" w:color="auto"/>
        <w:bottom w:val="none" w:sz="0" w:space="0" w:color="auto"/>
        <w:right w:val="none" w:sz="0" w:space="0" w:color="auto"/>
      </w:divBdr>
    </w:div>
    <w:div w:id="1884554368">
      <w:bodyDiv w:val="1"/>
      <w:marLeft w:val="0"/>
      <w:marRight w:val="0"/>
      <w:marTop w:val="0"/>
      <w:marBottom w:val="0"/>
      <w:divBdr>
        <w:top w:val="none" w:sz="0" w:space="0" w:color="auto"/>
        <w:left w:val="none" w:sz="0" w:space="0" w:color="auto"/>
        <w:bottom w:val="none" w:sz="0" w:space="0" w:color="auto"/>
        <w:right w:val="none" w:sz="0" w:space="0" w:color="auto"/>
      </w:divBdr>
    </w:div>
    <w:div w:id="1892573148">
      <w:bodyDiv w:val="1"/>
      <w:marLeft w:val="0"/>
      <w:marRight w:val="0"/>
      <w:marTop w:val="0"/>
      <w:marBottom w:val="0"/>
      <w:divBdr>
        <w:top w:val="none" w:sz="0" w:space="0" w:color="auto"/>
        <w:left w:val="none" w:sz="0" w:space="0" w:color="auto"/>
        <w:bottom w:val="none" w:sz="0" w:space="0" w:color="auto"/>
        <w:right w:val="none" w:sz="0" w:space="0" w:color="auto"/>
      </w:divBdr>
    </w:div>
    <w:div w:id="1941788909">
      <w:bodyDiv w:val="1"/>
      <w:marLeft w:val="0"/>
      <w:marRight w:val="0"/>
      <w:marTop w:val="0"/>
      <w:marBottom w:val="0"/>
      <w:divBdr>
        <w:top w:val="none" w:sz="0" w:space="0" w:color="auto"/>
        <w:left w:val="none" w:sz="0" w:space="0" w:color="auto"/>
        <w:bottom w:val="none" w:sz="0" w:space="0" w:color="auto"/>
        <w:right w:val="none" w:sz="0" w:space="0" w:color="auto"/>
      </w:divBdr>
    </w:div>
    <w:div w:id="2021352261">
      <w:bodyDiv w:val="1"/>
      <w:marLeft w:val="0"/>
      <w:marRight w:val="0"/>
      <w:marTop w:val="0"/>
      <w:marBottom w:val="0"/>
      <w:divBdr>
        <w:top w:val="none" w:sz="0" w:space="0" w:color="auto"/>
        <w:left w:val="none" w:sz="0" w:space="0" w:color="auto"/>
        <w:bottom w:val="none" w:sz="0" w:space="0" w:color="auto"/>
        <w:right w:val="none" w:sz="0" w:space="0" w:color="auto"/>
      </w:divBdr>
    </w:div>
    <w:div w:id="2028559274">
      <w:bodyDiv w:val="1"/>
      <w:marLeft w:val="0"/>
      <w:marRight w:val="0"/>
      <w:marTop w:val="0"/>
      <w:marBottom w:val="0"/>
      <w:divBdr>
        <w:top w:val="none" w:sz="0" w:space="0" w:color="auto"/>
        <w:left w:val="none" w:sz="0" w:space="0" w:color="auto"/>
        <w:bottom w:val="none" w:sz="0" w:space="0" w:color="auto"/>
        <w:right w:val="none" w:sz="0" w:space="0" w:color="auto"/>
      </w:divBdr>
    </w:div>
    <w:div w:id="2034454044">
      <w:bodyDiv w:val="1"/>
      <w:marLeft w:val="0"/>
      <w:marRight w:val="0"/>
      <w:marTop w:val="0"/>
      <w:marBottom w:val="0"/>
      <w:divBdr>
        <w:top w:val="none" w:sz="0" w:space="0" w:color="auto"/>
        <w:left w:val="none" w:sz="0" w:space="0" w:color="auto"/>
        <w:bottom w:val="none" w:sz="0" w:space="0" w:color="auto"/>
        <w:right w:val="none" w:sz="0" w:space="0" w:color="auto"/>
      </w:divBdr>
    </w:div>
    <w:div w:id="2047362640">
      <w:bodyDiv w:val="1"/>
      <w:marLeft w:val="0"/>
      <w:marRight w:val="0"/>
      <w:marTop w:val="0"/>
      <w:marBottom w:val="0"/>
      <w:divBdr>
        <w:top w:val="none" w:sz="0" w:space="0" w:color="auto"/>
        <w:left w:val="none" w:sz="0" w:space="0" w:color="auto"/>
        <w:bottom w:val="none" w:sz="0" w:space="0" w:color="auto"/>
        <w:right w:val="none" w:sz="0" w:space="0" w:color="auto"/>
      </w:divBdr>
    </w:div>
    <w:div w:id="2057585218">
      <w:bodyDiv w:val="1"/>
      <w:marLeft w:val="0"/>
      <w:marRight w:val="0"/>
      <w:marTop w:val="0"/>
      <w:marBottom w:val="0"/>
      <w:divBdr>
        <w:top w:val="none" w:sz="0" w:space="0" w:color="auto"/>
        <w:left w:val="none" w:sz="0" w:space="0" w:color="auto"/>
        <w:bottom w:val="none" w:sz="0" w:space="0" w:color="auto"/>
        <w:right w:val="none" w:sz="0" w:space="0" w:color="auto"/>
      </w:divBdr>
    </w:div>
    <w:div w:id="2085301476">
      <w:bodyDiv w:val="1"/>
      <w:marLeft w:val="0"/>
      <w:marRight w:val="0"/>
      <w:marTop w:val="0"/>
      <w:marBottom w:val="0"/>
      <w:divBdr>
        <w:top w:val="none" w:sz="0" w:space="0" w:color="auto"/>
        <w:left w:val="none" w:sz="0" w:space="0" w:color="auto"/>
        <w:bottom w:val="none" w:sz="0" w:space="0" w:color="auto"/>
        <w:right w:val="none" w:sz="0" w:space="0" w:color="auto"/>
      </w:divBdr>
    </w:div>
    <w:div w:id="2136100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6.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footer4.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PA">
  <a:themeElements>
    <a:clrScheme name="VPA">
      <a:dk1>
        <a:sysClr val="windowText" lastClr="000000"/>
      </a:dk1>
      <a:lt1>
        <a:sysClr val="window" lastClr="FFFFFF"/>
      </a:lt1>
      <a:dk2>
        <a:srgbClr val="003C74"/>
      </a:dk2>
      <a:lt2>
        <a:srgbClr val="E7E6E6"/>
      </a:lt2>
      <a:accent1>
        <a:srgbClr val="005EA1"/>
      </a:accent1>
      <a:accent2>
        <a:srgbClr val="008BD2"/>
      </a:accent2>
      <a:accent3>
        <a:srgbClr val="95C11F"/>
      </a:accent3>
      <a:accent4>
        <a:srgbClr val="9CA0A3"/>
      </a:accent4>
      <a:accent5>
        <a:srgbClr val="4CA22F"/>
      </a:accent5>
      <a:accent6>
        <a:srgbClr val="63B9E9"/>
      </a:accent6>
      <a:hlink>
        <a:srgbClr val="00B0F0"/>
      </a:hlink>
      <a:folHlink>
        <a:srgbClr val="7030A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68</Pages>
  <Words>19747</Words>
  <Characters>112558</Characters>
  <Application>Microsoft Office Word</Application>
  <DocSecurity>0</DocSecurity>
  <Lines>937</Lines>
  <Paragraphs>264</Paragraphs>
  <ScaleCrop>false</ScaleCrop>
  <Company/>
  <LinksUpToDate>false</LinksUpToDate>
  <CharactersWithSpaces>132041</CharactersWithSpaces>
  <SharedDoc>false</SharedDoc>
  <HLinks>
    <vt:vector size="6" baseType="variant">
      <vt:variant>
        <vt:i4>1900595</vt:i4>
      </vt:variant>
      <vt:variant>
        <vt:i4>2</vt:i4>
      </vt:variant>
      <vt:variant>
        <vt:i4>0</vt:i4>
      </vt:variant>
      <vt:variant>
        <vt:i4>5</vt:i4>
      </vt:variant>
      <vt:variant>
        <vt:lpwstr/>
      </vt:variant>
      <vt:variant>
        <vt:lpwstr>_Toc286321508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2017-08-20T21:53:00Z</dcterms:created>
  <dcterms:modified xsi:type="dcterms:W3CDTF">2017-08-20T21:53:00Z</dcterms:modified>
</cp:coreProperties>
</file>