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9.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0.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1.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2.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3.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4.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5.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6.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7.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8.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9.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0.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1.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2.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3.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4.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5.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6.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7.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8.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9.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80.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81.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82.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3.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4.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5.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6.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7.xml" ContentType="application/vnd.openxmlformats-officedocument.drawingml.chart+xml"/>
  <Override PartName="/word/charts/style82.xml" ContentType="application/vnd.ms-office.chartstyle+xml"/>
  <Override PartName="/word/charts/colors8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88.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9.xml" ContentType="application/vnd.openxmlformats-officedocument.drawingml.chart+xml"/>
  <Override PartName="/word/charts/style84.xml" ContentType="application/vnd.ms-office.chartstyle+xml"/>
  <Override PartName="/word/charts/colors8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AAF" w:rsidRDefault="003C041A" w:rsidP="00F356AA">
      <w:pPr>
        <w:tabs>
          <w:tab w:val="left" w:pos="7392"/>
        </w:tabs>
        <w:rPr>
          <w:b/>
          <w:sz w:val="32"/>
          <w:szCs w:val="32"/>
        </w:rPr>
      </w:pPr>
      <w:r w:rsidRPr="00D55AAF">
        <w:rPr>
          <w:b/>
          <w:noProof/>
          <w:sz w:val="32"/>
          <w:szCs w:val="32"/>
          <w:lang w:eastAsia="en-AU"/>
        </w:rPr>
        <mc:AlternateContent>
          <mc:Choice Requires="wps">
            <w:drawing>
              <wp:anchor distT="45720" distB="45720" distL="114300" distR="114300" simplePos="0" relativeHeight="251662336" behindDoc="0" locked="0" layoutInCell="1" allowOverlap="1" wp14:anchorId="25875C8D" wp14:editId="54F64AF6">
                <wp:simplePos x="0" y="0"/>
                <wp:positionH relativeFrom="column">
                  <wp:posOffset>109855</wp:posOffset>
                </wp:positionH>
                <wp:positionV relativeFrom="paragraph">
                  <wp:posOffset>8162290</wp:posOffset>
                </wp:positionV>
                <wp:extent cx="4552950" cy="578485"/>
                <wp:effectExtent l="0" t="0" r="0" b="1206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578485"/>
                        </a:xfrm>
                        <a:prstGeom prst="rect">
                          <a:avLst/>
                        </a:prstGeom>
                        <a:noFill/>
                        <a:ln w="9525">
                          <a:noFill/>
                          <a:miter lim="800000"/>
                          <a:headEnd/>
                          <a:tailEnd/>
                        </a:ln>
                      </wps:spPr>
                      <wps:txbx>
                        <w:txbxContent>
                          <w:p w:rsidR="00DD47A2" w:rsidRPr="004333C0" w:rsidRDefault="00DD47A2">
                            <w:pPr>
                              <w:rPr>
                                <w:b/>
                                <w:color w:val="767171" w:themeColor="background2" w:themeShade="80"/>
                                <w:sz w:val="28"/>
                              </w:rPr>
                            </w:pPr>
                            <w:r w:rsidRPr="004333C0">
                              <w:rPr>
                                <w:b/>
                                <w:color w:val="767171" w:themeColor="background2" w:themeShade="80"/>
                                <w:sz w:val="28"/>
                              </w:rPr>
                              <w:t>Prepared by the</w:t>
                            </w:r>
                            <w:r>
                              <w:rPr>
                                <w:b/>
                                <w:color w:val="767171" w:themeColor="background2" w:themeShade="80"/>
                                <w:sz w:val="28"/>
                              </w:rPr>
                              <w:t xml:space="preserve"> Victorian</w:t>
                            </w:r>
                            <w:r w:rsidRPr="004333C0">
                              <w:rPr>
                                <w:b/>
                                <w:color w:val="767171" w:themeColor="background2" w:themeShade="80"/>
                                <w:sz w:val="28"/>
                              </w:rPr>
                              <w:t xml:space="preserve"> Planning Authority</w:t>
                            </w:r>
                          </w:p>
                          <w:p w:rsidR="00DD47A2" w:rsidRPr="00A20757" w:rsidRDefault="00EE6B7A">
                            <w:pPr>
                              <w:rPr>
                                <w:b/>
                                <w:color w:val="767171" w:themeColor="background2" w:themeShade="80"/>
                                <w:sz w:val="28"/>
                              </w:rPr>
                            </w:pPr>
                            <w:r>
                              <w:rPr>
                                <w:b/>
                                <w:color w:val="767171" w:themeColor="background2" w:themeShade="80"/>
                                <w:sz w:val="28"/>
                              </w:rPr>
                              <w:t>June</w:t>
                            </w:r>
                            <w:r w:rsidR="00DD47A2">
                              <w:rPr>
                                <w:b/>
                                <w:color w:val="767171" w:themeColor="background2" w:themeShade="80"/>
                                <w:sz w:val="28"/>
                              </w:rPr>
                              <w:t xml:space="preserve"> 2017</w:t>
                            </w:r>
                          </w:p>
                        </w:txbxContent>
                      </wps:txbx>
                      <wps:bodyPr rot="0" vert="horz" wrap="square" lIns="91440" tIns="4572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875C8D" id="_x0000_t202" coordsize="21600,21600" o:spt="202" path="m,l,21600r21600,l21600,xe">
                <v:stroke joinstyle="miter"/>
                <v:path gradientshapeok="t" o:connecttype="rect"/>
              </v:shapetype>
              <v:shape id="Text Box 2" o:spid="_x0000_s1026" type="#_x0000_t202" style="position:absolute;margin-left:8.65pt;margin-top:642.7pt;width:358.5pt;height:4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MfCwIAAPEDAAAOAAAAZHJzL2Uyb0RvYy54bWysU8Fu2zAMvQ/YPwi6L3aMeEmMOEXXrsOA&#10;rhvQ7gNkWY6FSaImKbGzrx8lJ2mw3Yb5IJgi+cj3SG1uRq3IQTgvwdR0PsspEYZDK82upt9fHt6t&#10;KPGBmZYpMKKmR+Hpzfbtm81gK1FAD6oVjiCI8dVga9qHYKss87wXmvkZWGHQ2YHTLKDpdlnr2IDo&#10;WmVFnr/PBnCtdcCF93h7PznpNuF3neDha9d5EYiqKfYW0unS2cQz225YtXPM9pKf2mD/0IVm0mDR&#10;C9Q9C4zsnfwLSkvuwEMXZhx0Bl0nuUgckM08/4PNc8+sSFxQHG8vMvn/B8ufDt8ckW1NV0tKDNM4&#10;oxcxBvIBRlJEeQbrK4x6thgXRrzGMSeq3j4C/+GJgbuemZ24dQ6GXrAW25vHzOwqdcLxEaQZvkCL&#10;Zdg+QAIaO6ejdqgGQXQc0/EymtgKx8tFWRbrEl0cfeVytViVqQSrztnW+fBJgCbxp6YOR5/Q2eHR&#10;h9gNq84hsZiBB6lUGr8yZKjpuizKlHDl0TLgdiqpUZ48ftO+RJIfTZuSA5Nq+scCypxYR6IT5TA2&#10;IwZGKRpoj8jfwbSF+Grwpwf3i5IBN7Cm/ueeOUGJ+mxQw/V8sYgrm4xFuSzQcNeeJhl4ywxHmJry&#10;4M7GXUhLPjG9RaU7mUR47ePUKe5V0ub0BuLiXtsp6vWlbn8DAAD//wMAUEsDBBQABgAIAAAAIQDE&#10;zrdN4AAAAAwBAAAPAAAAZHJzL2Rvd25yZXYueG1sTI9PT4NAEMXvJn6HzZh4s4ulhQZZGv/ExPQm&#10;cPE2wBRI2V3Cbin66R1P9TR5b17e/CbdL3oQM02ut0bB4yoAQaa2TW9aBWXx/rAD4TyaBgdrSME3&#10;OdhntzcpJo29mE+ac98KLjEuQQWd92Mipas70uhWdiTDu6OdNHqWUyubCS9crge5DoJIauwNX+hw&#10;pNeO6lN+1gqK8i2ff7z8il7aIrKHj0NZESp1f7c8P4HwtPhrGP7wGR0yZqrs2TRODKzjkJM817vt&#10;BgQn4nDDVsVWGEdbkFkq/z+R/QIAAP//AwBQSwECLQAUAAYACAAAACEAtoM4kv4AAADhAQAAEwAA&#10;AAAAAAAAAAAAAAAAAAAAW0NvbnRlbnRfVHlwZXNdLnhtbFBLAQItABQABgAIAAAAIQA4/SH/1gAA&#10;AJQBAAALAAAAAAAAAAAAAAAAAC8BAABfcmVscy8ucmVsc1BLAQItABQABgAIAAAAIQAzbOMfCwIA&#10;APEDAAAOAAAAAAAAAAAAAAAAAC4CAABkcnMvZTJvRG9jLnhtbFBLAQItABQABgAIAAAAIQDEzrdN&#10;4AAAAAwBAAAPAAAAAAAAAAAAAAAAAGUEAABkcnMvZG93bnJldi54bWxQSwUGAAAAAAQABADzAAAA&#10;cgUAAAAA&#10;" filled="f" stroked="f">
                <v:textbox inset=",,,0">
                  <w:txbxContent>
                    <w:p w:rsidR="00DD47A2" w:rsidRPr="004333C0" w:rsidRDefault="00DD47A2">
                      <w:pPr>
                        <w:rPr>
                          <w:b/>
                          <w:color w:val="767171" w:themeColor="background2" w:themeShade="80"/>
                          <w:sz w:val="28"/>
                        </w:rPr>
                      </w:pPr>
                      <w:r w:rsidRPr="004333C0">
                        <w:rPr>
                          <w:b/>
                          <w:color w:val="767171" w:themeColor="background2" w:themeShade="80"/>
                          <w:sz w:val="28"/>
                        </w:rPr>
                        <w:t>Prepared by the</w:t>
                      </w:r>
                      <w:r>
                        <w:rPr>
                          <w:b/>
                          <w:color w:val="767171" w:themeColor="background2" w:themeShade="80"/>
                          <w:sz w:val="28"/>
                        </w:rPr>
                        <w:t xml:space="preserve"> Victorian</w:t>
                      </w:r>
                      <w:r w:rsidRPr="004333C0">
                        <w:rPr>
                          <w:b/>
                          <w:color w:val="767171" w:themeColor="background2" w:themeShade="80"/>
                          <w:sz w:val="28"/>
                        </w:rPr>
                        <w:t xml:space="preserve"> Planning Authority</w:t>
                      </w:r>
                    </w:p>
                    <w:p w:rsidR="00DD47A2" w:rsidRPr="00A20757" w:rsidRDefault="00EE6B7A">
                      <w:pPr>
                        <w:rPr>
                          <w:b/>
                          <w:color w:val="767171" w:themeColor="background2" w:themeShade="80"/>
                          <w:sz w:val="28"/>
                        </w:rPr>
                      </w:pPr>
                      <w:r>
                        <w:rPr>
                          <w:b/>
                          <w:color w:val="767171" w:themeColor="background2" w:themeShade="80"/>
                          <w:sz w:val="28"/>
                        </w:rPr>
                        <w:t>June</w:t>
                      </w:r>
                      <w:r w:rsidR="00DD47A2">
                        <w:rPr>
                          <w:b/>
                          <w:color w:val="767171" w:themeColor="background2" w:themeShade="80"/>
                          <w:sz w:val="28"/>
                        </w:rPr>
                        <w:t xml:space="preserve"> 2017</w:t>
                      </w:r>
                    </w:p>
                  </w:txbxContent>
                </v:textbox>
              </v:shape>
            </w:pict>
          </mc:Fallback>
        </mc:AlternateContent>
      </w:r>
      <w:r w:rsidR="00521242" w:rsidRPr="00D55AAF">
        <w:rPr>
          <w:b/>
          <w:noProof/>
          <w:sz w:val="32"/>
          <w:szCs w:val="32"/>
          <w:lang w:eastAsia="en-AU"/>
        </w:rPr>
        <mc:AlternateContent>
          <mc:Choice Requires="wps">
            <w:drawing>
              <wp:anchor distT="45720" distB="45720" distL="114300" distR="114300" simplePos="0" relativeHeight="251658240" behindDoc="0" locked="0" layoutInCell="1" allowOverlap="1" wp14:anchorId="4DD08117" wp14:editId="52F5284B">
                <wp:simplePos x="0" y="0"/>
                <wp:positionH relativeFrom="margin">
                  <wp:align>right</wp:align>
                </wp:positionH>
                <wp:positionV relativeFrom="paragraph">
                  <wp:posOffset>1854835</wp:posOffset>
                </wp:positionV>
                <wp:extent cx="6210300" cy="1122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22045"/>
                        </a:xfrm>
                        <a:prstGeom prst="rect">
                          <a:avLst/>
                        </a:prstGeom>
                        <a:noFill/>
                        <a:ln w="9525">
                          <a:noFill/>
                          <a:miter lim="800000"/>
                          <a:headEnd/>
                          <a:tailEnd/>
                        </a:ln>
                      </wps:spPr>
                      <wps:txbx>
                        <w:txbxContent>
                          <w:p w:rsidR="00DD47A2" w:rsidRPr="0014025C" w:rsidRDefault="00DD47A2" w:rsidP="00464D36">
                            <w:pPr>
                              <w:spacing w:after="40"/>
                              <w:rPr>
                                <w:b/>
                                <w:color w:val="003C74"/>
                                <w:sz w:val="48"/>
                                <w:szCs w:val="48"/>
                              </w:rPr>
                            </w:pPr>
                            <w:r w:rsidRPr="0014025C">
                              <w:rPr>
                                <w:b/>
                                <w:color w:val="003C74"/>
                                <w:sz w:val="48"/>
                                <w:szCs w:val="48"/>
                              </w:rPr>
                              <w:t>The VPA’s State of the State –</w:t>
                            </w:r>
                            <w:r w:rsidR="00897A22">
                              <w:rPr>
                                <w:b/>
                                <w:color w:val="003C74"/>
                                <w:sz w:val="48"/>
                                <w:szCs w:val="48"/>
                              </w:rPr>
                              <w:t xml:space="preserve"> 2</w:t>
                            </w:r>
                            <w:r w:rsidR="00897A22">
                              <w:rPr>
                                <w:b/>
                                <w:color w:val="003C74"/>
                                <w:sz w:val="48"/>
                                <w:szCs w:val="48"/>
                                <w:vertAlign w:val="superscript"/>
                              </w:rPr>
                              <w:t>nd</w:t>
                            </w:r>
                            <w:r>
                              <w:rPr>
                                <w:b/>
                                <w:color w:val="003C74"/>
                                <w:sz w:val="48"/>
                                <w:szCs w:val="48"/>
                              </w:rPr>
                              <w:t xml:space="preserve"> </w:t>
                            </w:r>
                            <w:r w:rsidRPr="0014025C">
                              <w:rPr>
                                <w:b/>
                                <w:color w:val="003C74"/>
                                <w:sz w:val="48"/>
                                <w:szCs w:val="48"/>
                              </w:rPr>
                              <w:t>Quarter 201</w:t>
                            </w:r>
                            <w:r>
                              <w:rPr>
                                <w:b/>
                                <w:color w:val="003C74"/>
                                <w:sz w:val="48"/>
                                <w:szCs w:val="48"/>
                              </w:rPr>
                              <w:t>7</w:t>
                            </w:r>
                            <w:r w:rsidRPr="0014025C">
                              <w:rPr>
                                <w:b/>
                                <w:color w:val="003C74"/>
                                <w:sz w:val="48"/>
                                <w:szCs w:val="48"/>
                              </w:rPr>
                              <w:t xml:space="preserve"> </w:t>
                            </w:r>
                          </w:p>
                          <w:p w:rsidR="00DD47A2" w:rsidRPr="00D72F84" w:rsidRDefault="00DD47A2">
                            <w:pPr>
                              <w:rPr>
                                <w:b/>
                                <w:color w:val="3B3838" w:themeColor="background2" w:themeShade="40"/>
                                <w:sz w:val="32"/>
                                <w:szCs w:val="36"/>
                              </w:rPr>
                            </w:pPr>
                            <w:r>
                              <w:rPr>
                                <w:b/>
                                <w:color w:val="3B3838" w:themeColor="background2" w:themeShade="40"/>
                                <w:sz w:val="32"/>
                                <w:szCs w:val="36"/>
                              </w:rPr>
                              <w:t>A V</w:t>
                            </w:r>
                            <w:r w:rsidRPr="004333C0">
                              <w:rPr>
                                <w:b/>
                                <w:color w:val="3B3838" w:themeColor="background2" w:themeShade="40"/>
                                <w:sz w:val="32"/>
                                <w:szCs w:val="36"/>
                              </w:rPr>
                              <w:t>PA report on Victoria’s Key Demographic &amp; Economic Metrics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08117" id="_x0000_s1027" type="#_x0000_t202" style="position:absolute;margin-left:437.8pt;margin-top:146.05pt;width:489pt;height:88.35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1mDwIAAPwDAAAOAAAAZHJzL2Uyb0RvYy54bWysU9tuGyEQfa/Uf0C813upncvKOEqTuqqU&#10;XqSkH4BZ1osKDAXsXffrM7COY7VvVfdhBQxzZs6Zw/JmNJrspQ8KLKPVrKREWgGtsltGfzyt311R&#10;EiK3LddgJaMHGejN6u2b5eAaWUMPupWeIIgNzeAY7WN0TVEE0UvDwwyctBjswBseceu3Rev5gOhG&#10;F3VZXhQD+NZ5EDIEPL2fgnSV8btOivit64KMRDOKvcX89/m/Sf9iteTN1nPXK3Fsg/9DF4Yri0VP&#10;UPc8crLz6i8oo4SHAF2cCTAFdJ0SMnNANlX5B5vHnjuZuaA4wZ1kCv8PVnzdf/dEtYzW1SUllhsc&#10;0pMcI/kAI6mTPoMLDV57dHgxjniMc85cg3sA8TMQC3c9t1t56z0MveQt9lelzOIsdcIJCWQzfIEW&#10;y/BdhAw0dt4k8VAOgug4p8NpNqkVgYcXdVW+LzEkMFZVdV3OF7kGb17SnQ/xkwRD0oJRj8PP8Hz/&#10;EGJqhzcvV1I1C2uldTaAtmRg9HpRL3LCWcSoiP7UyjB6VaZvckxi+dG2OTlypac1FtD2SDsxnTjH&#10;cTNmhbMmSZINtAfUwcNkR3w+uOjB/6ZkQCsyGn7tuJeU6M8Wtbyu5vPk3byZLy5r3PjzyOY8wq1A&#10;KEYjJdPyLma/J8rB3aLma5XVeO3k2DJaLIt0fA7Jw+f7fOv10a6eAQAA//8DAFBLAwQUAAYACAAA&#10;ACEA1S3tbd4AAAAIAQAADwAAAGRycy9kb3ducmV2LnhtbEyPwU7DMBBE70j8g7VI3KjTCLVpyKaq&#10;UFuOQIk4u7GbRI3XVuym4e9ZTvQ4O6uZN8V6sr0YzRA6RwjzWQLCUO10Rw1C9bV7ykCEqEir3pFB&#10;+DEB1uX9XaFy7a70acZDbASHUMgVQhujz6UMdWusCjPnDbF3coNVkeXQSD2oK4fbXqZJspBWdcQN&#10;rfLmtTX1+XCxCD76/fJteP/YbHdjUn3vq7RrtoiPD9PmBUQ0U/x/hj98RoeSmY7uQjqIHoGHRIR0&#10;lc5BsL1aZnw5IjwvsgxkWcjbAeUvAAAA//8DAFBLAQItABQABgAIAAAAIQC2gziS/gAAAOEBAAAT&#10;AAAAAAAAAAAAAAAAAAAAAABbQ29udGVudF9UeXBlc10ueG1sUEsBAi0AFAAGAAgAAAAhADj9If/W&#10;AAAAlAEAAAsAAAAAAAAAAAAAAAAALwEAAF9yZWxzLy5yZWxzUEsBAi0AFAAGAAgAAAAhAI8qnWYP&#10;AgAA/AMAAA4AAAAAAAAAAAAAAAAALgIAAGRycy9lMm9Eb2MueG1sUEsBAi0AFAAGAAgAAAAhANUt&#10;7W3eAAAACAEAAA8AAAAAAAAAAAAAAAAAaQQAAGRycy9kb3ducmV2LnhtbFBLBQYAAAAABAAEAPMA&#10;AAB0BQAAAAA=&#10;" filled="f" stroked="f">
                <v:textbox style="mso-fit-shape-to-text:t">
                  <w:txbxContent>
                    <w:p w:rsidR="00DD47A2" w:rsidRPr="0014025C" w:rsidRDefault="00DD47A2" w:rsidP="00464D36">
                      <w:pPr>
                        <w:spacing w:after="40"/>
                        <w:rPr>
                          <w:b/>
                          <w:color w:val="003C74"/>
                          <w:sz w:val="48"/>
                          <w:szCs w:val="48"/>
                        </w:rPr>
                      </w:pPr>
                      <w:r w:rsidRPr="0014025C">
                        <w:rPr>
                          <w:b/>
                          <w:color w:val="003C74"/>
                          <w:sz w:val="48"/>
                          <w:szCs w:val="48"/>
                        </w:rPr>
                        <w:t>The VPA’s State of the State –</w:t>
                      </w:r>
                      <w:r w:rsidR="00897A22">
                        <w:rPr>
                          <w:b/>
                          <w:color w:val="003C74"/>
                          <w:sz w:val="48"/>
                          <w:szCs w:val="48"/>
                        </w:rPr>
                        <w:t xml:space="preserve"> 2</w:t>
                      </w:r>
                      <w:r w:rsidR="00897A22">
                        <w:rPr>
                          <w:b/>
                          <w:color w:val="003C74"/>
                          <w:sz w:val="48"/>
                          <w:szCs w:val="48"/>
                          <w:vertAlign w:val="superscript"/>
                        </w:rPr>
                        <w:t>nd</w:t>
                      </w:r>
                      <w:r>
                        <w:rPr>
                          <w:b/>
                          <w:color w:val="003C74"/>
                          <w:sz w:val="48"/>
                          <w:szCs w:val="48"/>
                        </w:rPr>
                        <w:t xml:space="preserve"> </w:t>
                      </w:r>
                      <w:r w:rsidRPr="0014025C">
                        <w:rPr>
                          <w:b/>
                          <w:color w:val="003C74"/>
                          <w:sz w:val="48"/>
                          <w:szCs w:val="48"/>
                        </w:rPr>
                        <w:t>Quarter 201</w:t>
                      </w:r>
                      <w:r>
                        <w:rPr>
                          <w:b/>
                          <w:color w:val="003C74"/>
                          <w:sz w:val="48"/>
                          <w:szCs w:val="48"/>
                        </w:rPr>
                        <w:t>7</w:t>
                      </w:r>
                      <w:r w:rsidRPr="0014025C">
                        <w:rPr>
                          <w:b/>
                          <w:color w:val="003C74"/>
                          <w:sz w:val="48"/>
                          <w:szCs w:val="48"/>
                        </w:rPr>
                        <w:t xml:space="preserve"> </w:t>
                      </w:r>
                    </w:p>
                    <w:p w:rsidR="00DD47A2" w:rsidRPr="00D72F84" w:rsidRDefault="00DD47A2">
                      <w:pPr>
                        <w:rPr>
                          <w:b/>
                          <w:color w:val="3B3838" w:themeColor="background2" w:themeShade="40"/>
                          <w:sz w:val="32"/>
                          <w:szCs w:val="36"/>
                        </w:rPr>
                      </w:pPr>
                      <w:r>
                        <w:rPr>
                          <w:b/>
                          <w:color w:val="3B3838" w:themeColor="background2" w:themeShade="40"/>
                          <w:sz w:val="32"/>
                          <w:szCs w:val="36"/>
                        </w:rPr>
                        <w:t>A V</w:t>
                      </w:r>
                      <w:r w:rsidRPr="004333C0">
                        <w:rPr>
                          <w:b/>
                          <w:color w:val="3B3838" w:themeColor="background2" w:themeShade="40"/>
                          <w:sz w:val="32"/>
                          <w:szCs w:val="36"/>
                        </w:rPr>
                        <w:t>PA report on Victoria’s Key Demographic &amp; Economic Metrics</w:t>
                      </w:r>
                    </w:p>
                  </w:txbxContent>
                </v:textbox>
                <w10:wrap type="square" anchorx="margin"/>
              </v:shape>
            </w:pict>
          </mc:Fallback>
        </mc:AlternateContent>
      </w:r>
      <w:r w:rsidR="00521242" w:rsidRPr="00D55AAF">
        <w:rPr>
          <w:b/>
          <w:noProof/>
          <w:sz w:val="32"/>
          <w:szCs w:val="32"/>
          <w:lang w:eastAsia="en-AU"/>
        </w:rPr>
        <w:drawing>
          <wp:anchor distT="0" distB="0" distL="114300" distR="114300" simplePos="0" relativeHeight="251664895" behindDoc="1" locked="0" layoutInCell="1" allowOverlap="1">
            <wp:simplePos x="807720" y="2834640"/>
            <wp:positionH relativeFrom="margin">
              <wp:align>center</wp:align>
            </wp:positionH>
            <wp:positionV relativeFrom="margin">
              <wp:align>center</wp:align>
            </wp:positionV>
            <wp:extent cx="6209665" cy="8782050"/>
            <wp:effectExtent l="0" t="0" r="635" b="0"/>
            <wp:wrapNone/>
            <wp:docPr id="43" name="Picture 43" descr="\\melfp\drafts\Drawings &amp; Graphics\Communications\Report Elements\State of the State Report_VPA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fp\drafts\Drawings &amp; Graphics\Communications\Report Elements\State of the State Report_VPA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F30" w:rsidRPr="00D55AAF">
        <w:rPr>
          <w:b/>
          <w:sz w:val="32"/>
          <w:szCs w:val="32"/>
        </w:rPr>
        <w:br w:type="page"/>
      </w:r>
      <w:r w:rsidR="00F356AA" w:rsidRPr="00D55AAF">
        <w:rPr>
          <w:b/>
          <w:sz w:val="32"/>
          <w:szCs w:val="32"/>
        </w:rPr>
        <w:lastRenderedPageBreak/>
        <w:tab/>
      </w: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Pr="00D55AAF" w:rsidRDefault="00D55AAF" w:rsidP="00D55AAF">
      <w:pPr>
        <w:jc w:val="center"/>
        <w:rPr>
          <w:b/>
          <w:color w:val="D9D9D9" w:themeColor="background1" w:themeShade="D9"/>
          <w:sz w:val="32"/>
          <w:szCs w:val="32"/>
        </w:rPr>
      </w:pPr>
      <w:r w:rsidRPr="00D55AAF">
        <w:rPr>
          <w:b/>
          <w:color w:val="D9D9D9" w:themeColor="background1" w:themeShade="D9"/>
          <w:sz w:val="32"/>
          <w:szCs w:val="32"/>
        </w:rPr>
        <w:t>This page is intentionally left blank</w:t>
      </w: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p>
    <w:p w:rsidR="00D55AAF" w:rsidRDefault="00D55AAF">
      <w:pPr>
        <w:rPr>
          <w:b/>
          <w:sz w:val="32"/>
          <w:szCs w:val="32"/>
        </w:rPr>
      </w:pPr>
      <w:r>
        <w:rPr>
          <w:b/>
          <w:sz w:val="32"/>
          <w:szCs w:val="32"/>
        </w:rPr>
        <w:br w:type="page"/>
      </w:r>
    </w:p>
    <w:p w:rsidR="00A91F30" w:rsidRPr="00D55AAF" w:rsidRDefault="00A91F30" w:rsidP="00F356AA">
      <w:pPr>
        <w:tabs>
          <w:tab w:val="left" w:pos="7392"/>
        </w:tabs>
        <w:rPr>
          <w:b/>
          <w:sz w:val="32"/>
          <w:szCs w:val="32"/>
        </w:rPr>
      </w:pPr>
    </w:p>
    <w:sdt>
      <w:sdtPr>
        <w:rPr>
          <w:rFonts w:asciiTheme="minorHAnsi" w:eastAsiaTheme="minorEastAsia" w:hAnsiTheme="minorHAnsi" w:cstheme="minorBidi"/>
          <w:b w:val="0"/>
          <w:caps w:val="0"/>
          <w:color w:val="auto"/>
          <w:sz w:val="22"/>
          <w:szCs w:val="22"/>
        </w:rPr>
        <w:id w:val="-734703578"/>
        <w:docPartObj>
          <w:docPartGallery w:val="Table of Contents"/>
          <w:docPartUnique/>
        </w:docPartObj>
      </w:sdtPr>
      <w:sdtEndPr>
        <w:rPr>
          <w:bCs/>
          <w:noProof/>
          <w:highlight w:val="yellow"/>
        </w:rPr>
      </w:sdtEndPr>
      <w:sdtContent>
        <w:p w:rsidR="00626AB9" w:rsidRPr="00DD47A2" w:rsidRDefault="00626AB9" w:rsidP="001C35C3">
          <w:pPr>
            <w:pStyle w:val="TOCHeading"/>
            <w:rPr>
              <w:color w:val="002060"/>
            </w:rPr>
          </w:pPr>
          <w:r w:rsidRPr="00DD47A2">
            <w:rPr>
              <w:color w:val="002060"/>
            </w:rPr>
            <w:t>Contents</w:t>
          </w:r>
        </w:p>
        <w:p w:rsidR="00190068" w:rsidRPr="00DD47A2" w:rsidRDefault="00626AB9">
          <w:pPr>
            <w:pStyle w:val="TOC1"/>
            <w:tabs>
              <w:tab w:val="right" w:leader="dot" w:pos="9769"/>
            </w:tabs>
            <w:rPr>
              <w:noProof/>
              <w:lang w:eastAsia="en-AU"/>
            </w:rPr>
          </w:pPr>
          <w:r w:rsidRPr="00DD47A2">
            <w:rPr>
              <w:sz w:val="20"/>
            </w:rPr>
            <w:fldChar w:fldCharType="begin"/>
          </w:r>
          <w:r w:rsidRPr="00DD47A2">
            <w:rPr>
              <w:sz w:val="20"/>
            </w:rPr>
            <w:instrText xml:space="preserve"> TOC \o "1-3" \h \z \u </w:instrText>
          </w:r>
          <w:r w:rsidRPr="00DD47A2">
            <w:rPr>
              <w:sz w:val="20"/>
            </w:rPr>
            <w:fldChar w:fldCharType="separate"/>
          </w:r>
          <w:hyperlink w:anchor="_Toc468972250" w:history="1">
            <w:r w:rsidR="00D55AAF" w:rsidRPr="00DD47A2">
              <w:rPr>
                <w:rStyle w:val="Hyperlink"/>
                <w:noProof/>
              </w:rPr>
              <w:t>Executive Summary</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_Toc468972250 \h </w:instrText>
            </w:r>
            <w:r w:rsidR="00190068" w:rsidRPr="00DD47A2">
              <w:rPr>
                <w:noProof/>
                <w:webHidden/>
              </w:rPr>
            </w:r>
            <w:r w:rsidR="00190068" w:rsidRPr="00DD47A2">
              <w:rPr>
                <w:noProof/>
                <w:webHidden/>
              </w:rPr>
              <w:fldChar w:fldCharType="separate"/>
            </w:r>
            <w:r w:rsidR="00534D71">
              <w:rPr>
                <w:noProof/>
                <w:webHidden/>
              </w:rPr>
              <w:t>3</w:t>
            </w:r>
            <w:r w:rsidR="00190068" w:rsidRPr="00DD47A2">
              <w:rPr>
                <w:noProof/>
                <w:webHidden/>
              </w:rPr>
              <w:fldChar w:fldCharType="end"/>
            </w:r>
          </w:hyperlink>
        </w:p>
        <w:p w:rsidR="008A6BB2" w:rsidRPr="00DD47A2" w:rsidRDefault="008A6BB2">
          <w:pPr>
            <w:pStyle w:val="TOC1"/>
            <w:tabs>
              <w:tab w:val="right" w:leader="dot" w:pos="9769"/>
            </w:tabs>
            <w:rPr>
              <w:rStyle w:val="Hyperlink"/>
              <w:noProof/>
            </w:rPr>
          </w:pPr>
        </w:p>
        <w:p w:rsidR="00190068" w:rsidRPr="00DD47A2" w:rsidRDefault="00067A9F">
          <w:pPr>
            <w:pStyle w:val="TOC1"/>
            <w:tabs>
              <w:tab w:val="right" w:leader="dot" w:pos="9769"/>
            </w:tabs>
            <w:rPr>
              <w:noProof/>
              <w:lang w:eastAsia="en-AU"/>
            </w:rPr>
          </w:pPr>
          <w:hyperlink w:anchor="_Toc468972251" w:history="1">
            <w:r w:rsidR="00190068" w:rsidRPr="00DD47A2">
              <w:rPr>
                <w:rStyle w:val="Hyperlink"/>
                <w:noProof/>
              </w:rPr>
              <w:t>POPULATION</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_Toc468972251 \h </w:instrText>
            </w:r>
            <w:r w:rsidR="00190068" w:rsidRPr="00DD47A2">
              <w:rPr>
                <w:noProof/>
                <w:webHidden/>
              </w:rPr>
            </w:r>
            <w:r w:rsidR="00190068" w:rsidRPr="00DD47A2">
              <w:rPr>
                <w:noProof/>
                <w:webHidden/>
              </w:rPr>
              <w:fldChar w:fldCharType="separate"/>
            </w:r>
            <w:r w:rsidR="00534D71">
              <w:rPr>
                <w:noProof/>
                <w:webHidden/>
              </w:rPr>
              <w:t>4</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52" w:history="1">
            <w:r w:rsidR="00190068" w:rsidRPr="00DD47A2">
              <w:rPr>
                <w:rStyle w:val="Hyperlink"/>
                <w:noProof/>
              </w:rPr>
              <w:t>1.</w:t>
            </w:r>
            <w:r w:rsidR="00190068" w:rsidRPr="00DD47A2">
              <w:rPr>
                <w:noProof/>
                <w:lang w:eastAsia="en-AU"/>
              </w:rPr>
              <w:tab/>
            </w:r>
            <w:r w:rsidR="00190068" w:rsidRPr="00DD47A2">
              <w:rPr>
                <w:rStyle w:val="Hyperlink"/>
                <w:noProof/>
              </w:rPr>
              <w:t>State Populations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_Toc468972252 \h </w:instrText>
            </w:r>
            <w:r w:rsidR="00190068" w:rsidRPr="00DD47A2">
              <w:rPr>
                <w:noProof/>
                <w:webHidden/>
              </w:rPr>
            </w:r>
            <w:r w:rsidR="00190068" w:rsidRPr="00DD47A2">
              <w:rPr>
                <w:noProof/>
                <w:webHidden/>
              </w:rPr>
              <w:fldChar w:fldCharType="separate"/>
            </w:r>
            <w:r w:rsidR="00534D71">
              <w:rPr>
                <w:noProof/>
                <w:webHidden/>
              </w:rPr>
              <w:t>4</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53" w:history="1">
            <w:r w:rsidR="00190068" w:rsidRPr="00DD47A2">
              <w:rPr>
                <w:rStyle w:val="Hyperlink"/>
                <w:noProof/>
              </w:rPr>
              <w:t>2.</w:t>
            </w:r>
            <w:r w:rsidR="00190068" w:rsidRPr="00DD47A2">
              <w:rPr>
                <w:noProof/>
                <w:lang w:eastAsia="en-AU"/>
              </w:rPr>
              <w:tab/>
            </w:r>
            <w:r w:rsidR="00190068" w:rsidRPr="00DD47A2">
              <w:rPr>
                <w:rStyle w:val="Hyperlink"/>
                <w:noProof/>
              </w:rPr>
              <w:t>Population Growth and Projections by Local Government Area</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_Toc468972253 \h </w:instrText>
            </w:r>
            <w:r w:rsidR="00190068" w:rsidRPr="00DD47A2">
              <w:rPr>
                <w:noProof/>
                <w:webHidden/>
              </w:rPr>
            </w:r>
            <w:r w:rsidR="00190068" w:rsidRPr="00DD47A2">
              <w:rPr>
                <w:noProof/>
                <w:webHidden/>
              </w:rPr>
              <w:fldChar w:fldCharType="separate"/>
            </w:r>
            <w:r w:rsidR="00534D71">
              <w:rPr>
                <w:noProof/>
                <w:webHidden/>
              </w:rPr>
              <w:t>7</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54" w:history="1">
            <w:r w:rsidR="00190068" w:rsidRPr="00DD47A2">
              <w:rPr>
                <w:rStyle w:val="Hyperlink"/>
                <w:noProof/>
              </w:rPr>
              <w:t>3.</w:t>
            </w:r>
            <w:r w:rsidR="00190068" w:rsidRPr="00DD47A2">
              <w:rPr>
                <w:noProof/>
                <w:lang w:eastAsia="en-AU"/>
              </w:rPr>
              <w:tab/>
            </w:r>
            <w:r w:rsidR="00190068" w:rsidRPr="00DD47A2">
              <w:rPr>
                <w:rStyle w:val="Hyperlink"/>
                <w:noProof/>
              </w:rPr>
              <w:t>Births by Local Government Area</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_Toc468972254 \h </w:instrText>
            </w:r>
            <w:r w:rsidR="00190068" w:rsidRPr="00DD47A2">
              <w:rPr>
                <w:noProof/>
                <w:webHidden/>
              </w:rPr>
            </w:r>
            <w:r w:rsidR="00190068" w:rsidRPr="00DD47A2">
              <w:rPr>
                <w:noProof/>
                <w:webHidden/>
              </w:rPr>
              <w:fldChar w:fldCharType="separate"/>
            </w:r>
            <w:r w:rsidR="00534D71">
              <w:rPr>
                <w:noProof/>
                <w:webHidden/>
              </w:rPr>
              <w:t>11</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55" w:history="1">
            <w:r w:rsidR="00190068" w:rsidRPr="00DD47A2">
              <w:rPr>
                <w:rStyle w:val="Hyperlink"/>
                <w:noProof/>
              </w:rPr>
              <w:t>4.</w:t>
            </w:r>
            <w:r w:rsidR="00190068" w:rsidRPr="00DD47A2">
              <w:rPr>
                <w:noProof/>
                <w:lang w:eastAsia="en-AU"/>
              </w:rPr>
              <w:tab/>
            </w:r>
            <w:r w:rsidR="00190068" w:rsidRPr="00DD47A2">
              <w:rPr>
                <w:rStyle w:val="Hyperlink"/>
                <w:noProof/>
              </w:rPr>
              <w:t>Deaths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_Toc468972255 \h </w:instrText>
            </w:r>
            <w:r w:rsidR="00190068" w:rsidRPr="00DD47A2">
              <w:rPr>
                <w:noProof/>
                <w:webHidden/>
              </w:rPr>
            </w:r>
            <w:r w:rsidR="00190068" w:rsidRPr="00DD47A2">
              <w:rPr>
                <w:noProof/>
                <w:webHidden/>
              </w:rPr>
              <w:fldChar w:fldCharType="separate"/>
            </w:r>
            <w:r w:rsidR="00534D71">
              <w:rPr>
                <w:noProof/>
                <w:webHidden/>
              </w:rPr>
              <w:t>13</w:t>
            </w:r>
            <w:r w:rsidR="00190068" w:rsidRPr="00DD47A2">
              <w:rPr>
                <w:noProof/>
                <w:webHidden/>
              </w:rPr>
              <w:fldChar w:fldCharType="end"/>
            </w:r>
          </w:hyperlink>
        </w:p>
        <w:p w:rsidR="008A6BB2" w:rsidRPr="00DD47A2" w:rsidRDefault="008A6BB2">
          <w:pPr>
            <w:pStyle w:val="TOC1"/>
            <w:tabs>
              <w:tab w:val="right" w:leader="dot" w:pos="9769"/>
            </w:tabs>
            <w:rPr>
              <w:rStyle w:val="Hyperlink"/>
              <w:noProof/>
            </w:rPr>
          </w:pPr>
        </w:p>
        <w:p w:rsidR="00190068" w:rsidRPr="00DD47A2" w:rsidRDefault="00067A9F">
          <w:pPr>
            <w:pStyle w:val="TOC1"/>
            <w:tabs>
              <w:tab w:val="right" w:leader="dot" w:pos="9769"/>
            </w:tabs>
            <w:rPr>
              <w:noProof/>
              <w:lang w:eastAsia="en-AU"/>
            </w:rPr>
          </w:pPr>
          <w:hyperlink w:anchor="_Toc468972256" w:history="1">
            <w:r w:rsidR="00190068" w:rsidRPr="00DD47A2">
              <w:rPr>
                <w:rStyle w:val="Hyperlink"/>
                <w:noProof/>
              </w:rPr>
              <w:t>DEVELOPMENT ACTIVITY</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_Toc468972256 \h </w:instrText>
            </w:r>
            <w:r w:rsidR="00190068" w:rsidRPr="00DD47A2">
              <w:rPr>
                <w:noProof/>
                <w:webHidden/>
              </w:rPr>
            </w:r>
            <w:r w:rsidR="00190068" w:rsidRPr="00DD47A2">
              <w:rPr>
                <w:noProof/>
                <w:webHidden/>
              </w:rPr>
              <w:fldChar w:fldCharType="separate"/>
            </w:r>
            <w:r w:rsidR="00534D71">
              <w:rPr>
                <w:noProof/>
                <w:webHidden/>
              </w:rPr>
              <w:t>14</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57" w:history="1">
            <w:r w:rsidR="00190068" w:rsidRPr="00DD47A2">
              <w:rPr>
                <w:rStyle w:val="Hyperlink"/>
                <w:noProof/>
              </w:rPr>
              <w:t>5.</w:t>
            </w:r>
            <w:r w:rsidR="00190068" w:rsidRPr="00DD47A2">
              <w:rPr>
                <w:noProof/>
                <w:lang w:eastAsia="en-AU"/>
              </w:rPr>
              <w:tab/>
            </w:r>
            <w:r w:rsidR="00190068" w:rsidRPr="00DD47A2">
              <w:rPr>
                <w:rStyle w:val="Hyperlink"/>
                <w:noProof/>
              </w:rPr>
              <w:t>Building Approvals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_Toc468972257 \h </w:instrText>
            </w:r>
            <w:r w:rsidR="00190068" w:rsidRPr="00DD47A2">
              <w:rPr>
                <w:noProof/>
                <w:webHidden/>
              </w:rPr>
            </w:r>
            <w:r w:rsidR="00190068" w:rsidRPr="00DD47A2">
              <w:rPr>
                <w:noProof/>
                <w:webHidden/>
              </w:rPr>
              <w:fldChar w:fldCharType="separate"/>
            </w:r>
            <w:r w:rsidR="00534D71">
              <w:rPr>
                <w:noProof/>
                <w:webHidden/>
              </w:rPr>
              <w:t>15</w:t>
            </w:r>
            <w:r w:rsidR="00190068" w:rsidRPr="00DD47A2">
              <w:rPr>
                <w:noProof/>
                <w:webHidden/>
              </w:rPr>
              <w:fldChar w:fldCharType="end"/>
            </w:r>
          </w:hyperlink>
        </w:p>
        <w:p w:rsidR="00190068" w:rsidRPr="00DD47A2" w:rsidRDefault="00067A9F">
          <w:pPr>
            <w:pStyle w:val="TOC2"/>
            <w:tabs>
              <w:tab w:val="left" w:pos="660"/>
              <w:tab w:val="right" w:leader="dot" w:pos="9769"/>
            </w:tabs>
            <w:rPr>
              <w:noProof/>
              <w:lang w:eastAsia="en-AU"/>
            </w:rPr>
          </w:pPr>
          <w:hyperlink w:anchor="_Toc468972258" w:history="1">
            <w:r w:rsidR="00190068" w:rsidRPr="00DD47A2">
              <w:rPr>
                <w:rStyle w:val="Hyperlink"/>
                <w:noProof/>
              </w:rPr>
              <w:t>a)</w:t>
            </w:r>
            <w:r w:rsidR="00190068" w:rsidRPr="00DD47A2">
              <w:rPr>
                <w:noProof/>
                <w:lang w:eastAsia="en-AU"/>
              </w:rPr>
              <w:tab/>
            </w:r>
            <w:r w:rsidR="00190068" w:rsidRPr="00DD47A2">
              <w:rPr>
                <w:rStyle w:val="Hyperlink"/>
                <w:noProof/>
              </w:rPr>
              <w:t>Residential Dwelling Approvals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_Toc468972258 \h </w:instrText>
            </w:r>
            <w:r w:rsidR="00190068" w:rsidRPr="00DD47A2">
              <w:rPr>
                <w:noProof/>
                <w:webHidden/>
              </w:rPr>
            </w:r>
            <w:r w:rsidR="00190068" w:rsidRPr="00DD47A2">
              <w:rPr>
                <w:noProof/>
                <w:webHidden/>
              </w:rPr>
              <w:fldChar w:fldCharType="separate"/>
            </w:r>
            <w:r w:rsidR="00534D71">
              <w:rPr>
                <w:noProof/>
                <w:webHidden/>
              </w:rPr>
              <w:t>16</w:t>
            </w:r>
            <w:r w:rsidR="00190068" w:rsidRPr="00DD47A2">
              <w:rPr>
                <w:noProof/>
                <w:webHidden/>
              </w:rPr>
              <w:fldChar w:fldCharType="end"/>
            </w:r>
          </w:hyperlink>
        </w:p>
        <w:p w:rsidR="00190068" w:rsidRPr="00DD47A2" w:rsidRDefault="00067A9F">
          <w:pPr>
            <w:pStyle w:val="TOC2"/>
            <w:tabs>
              <w:tab w:val="left" w:pos="660"/>
              <w:tab w:val="right" w:leader="dot" w:pos="9769"/>
            </w:tabs>
            <w:rPr>
              <w:noProof/>
              <w:lang w:eastAsia="en-AU"/>
            </w:rPr>
          </w:pPr>
          <w:hyperlink w:anchor="_Toc468972259" w:history="1">
            <w:r w:rsidR="00190068" w:rsidRPr="00DD47A2">
              <w:rPr>
                <w:rStyle w:val="Hyperlink"/>
                <w:noProof/>
              </w:rPr>
              <w:t>b)</w:t>
            </w:r>
            <w:r w:rsidR="00190068" w:rsidRPr="00DD47A2">
              <w:rPr>
                <w:noProof/>
                <w:lang w:eastAsia="en-AU"/>
              </w:rPr>
              <w:tab/>
            </w:r>
            <w:r w:rsidR="00190068" w:rsidRPr="00DD47A2">
              <w:rPr>
                <w:rStyle w:val="Hyperlink"/>
                <w:noProof/>
              </w:rPr>
              <w:t>Value of Approvals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_Toc468972259 \h </w:instrText>
            </w:r>
            <w:r w:rsidR="00190068" w:rsidRPr="00DD47A2">
              <w:rPr>
                <w:noProof/>
                <w:webHidden/>
              </w:rPr>
            </w:r>
            <w:r w:rsidR="00190068" w:rsidRPr="00DD47A2">
              <w:rPr>
                <w:noProof/>
                <w:webHidden/>
              </w:rPr>
              <w:fldChar w:fldCharType="separate"/>
            </w:r>
            <w:r w:rsidR="00534D71">
              <w:rPr>
                <w:noProof/>
                <w:webHidden/>
              </w:rPr>
              <w:t>19</w:t>
            </w:r>
            <w:r w:rsidR="00190068" w:rsidRPr="00DD47A2">
              <w:rPr>
                <w:noProof/>
                <w:webHidden/>
              </w:rPr>
              <w:fldChar w:fldCharType="end"/>
            </w:r>
          </w:hyperlink>
        </w:p>
        <w:p w:rsidR="00190068" w:rsidRPr="00DD47A2" w:rsidRDefault="00067A9F">
          <w:pPr>
            <w:pStyle w:val="TOC3"/>
            <w:tabs>
              <w:tab w:val="left" w:pos="880"/>
              <w:tab w:val="right" w:leader="dot" w:pos="9769"/>
            </w:tabs>
            <w:rPr>
              <w:noProof/>
              <w:lang w:eastAsia="en-AU"/>
            </w:rPr>
          </w:pPr>
          <w:hyperlink w:anchor="_Toc468972260" w:history="1">
            <w:r w:rsidR="00190068" w:rsidRPr="00DD47A2">
              <w:rPr>
                <w:rStyle w:val="Hyperlink"/>
                <w:noProof/>
              </w:rPr>
              <w:t>i.</w:t>
            </w:r>
            <w:r w:rsidR="00190068" w:rsidRPr="00DD47A2">
              <w:rPr>
                <w:noProof/>
                <w:lang w:eastAsia="en-AU"/>
              </w:rPr>
              <w:tab/>
            </w:r>
            <w:r w:rsidR="00190068" w:rsidRPr="00DD47A2">
              <w:rPr>
                <w:rStyle w:val="Hyperlink"/>
                <w:noProof/>
              </w:rPr>
              <w:t>Commercial Buildings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_Toc468972260 \h </w:instrText>
            </w:r>
            <w:r w:rsidR="00190068" w:rsidRPr="00DD47A2">
              <w:rPr>
                <w:noProof/>
                <w:webHidden/>
              </w:rPr>
            </w:r>
            <w:r w:rsidR="00190068" w:rsidRPr="00DD47A2">
              <w:rPr>
                <w:noProof/>
                <w:webHidden/>
              </w:rPr>
              <w:fldChar w:fldCharType="separate"/>
            </w:r>
            <w:r w:rsidR="00534D71">
              <w:rPr>
                <w:noProof/>
                <w:webHidden/>
              </w:rPr>
              <w:t>21</w:t>
            </w:r>
            <w:r w:rsidR="00190068" w:rsidRPr="00DD47A2">
              <w:rPr>
                <w:noProof/>
                <w:webHidden/>
              </w:rPr>
              <w:fldChar w:fldCharType="end"/>
            </w:r>
          </w:hyperlink>
        </w:p>
        <w:p w:rsidR="00190068" w:rsidRPr="00DD47A2" w:rsidRDefault="00067A9F">
          <w:pPr>
            <w:pStyle w:val="TOC3"/>
            <w:tabs>
              <w:tab w:val="left" w:pos="880"/>
              <w:tab w:val="right" w:leader="dot" w:pos="9769"/>
            </w:tabs>
            <w:rPr>
              <w:noProof/>
              <w:lang w:eastAsia="en-AU"/>
            </w:rPr>
          </w:pPr>
          <w:hyperlink w:anchor="_Toc468972261" w:history="1">
            <w:r w:rsidR="00190068" w:rsidRPr="00DD47A2">
              <w:rPr>
                <w:rStyle w:val="Hyperlink"/>
                <w:noProof/>
              </w:rPr>
              <w:t>ii.</w:t>
            </w:r>
            <w:r w:rsidR="00190068" w:rsidRPr="00DD47A2">
              <w:rPr>
                <w:noProof/>
                <w:lang w:eastAsia="en-AU"/>
              </w:rPr>
              <w:tab/>
            </w:r>
            <w:r w:rsidR="00190068" w:rsidRPr="00DD47A2">
              <w:rPr>
                <w:rStyle w:val="Hyperlink"/>
                <w:noProof/>
              </w:rPr>
              <w:t>Industrial buildings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_Toc468972261 \h </w:instrText>
            </w:r>
            <w:r w:rsidR="00190068" w:rsidRPr="00DD47A2">
              <w:rPr>
                <w:noProof/>
                <w:webHidden/>
              </w:rPr>
            </w:r>
            <w:r w:rsidR="00190068" w:rsidRPr="00DD47A2">
              <w:rPr>
                <w:noProof/>
                <w:webHidden/>
              </w:rPr>
              <w:fldChar w:fldCharType="separate"/>
            </w:r>
            <w:r w:rsidR="00534D71">
              <w:rPr>
                <w:noProof/>
                <w:webHidden/>
              </w:rPr>
              <w:t>23</w:t>
            </w:r>
            <w:r w:rsidR="00190068" w:rsidRPr="00DD47A2">
              <w:rPr>
                <w:noProof/>
                <w:webHidden/>
              </w:rPr>
              <w:fldChar w:fldCharType="end"/>
            </w:r>
          </w:hyperlink>
        </w:p>
        <w:p w:rsidR="00190068" w:rsidRPr="00DD47A2" w:rsidRDefault="00067A9F">
          <w:pPr>
            <w:pStyle w:val="TOC3"/>
            <w:tabs>
              <w:tab w:val="left" w:pos="880"/>
              <w:tab w:val="right" w:leader="dot" w:pos="9769"/>
            </w:tabs>
            <w:rPr>
              <w:noProof/>
              <w:lang w:eastAsia="en-AU"/>
            </w:rPr>
          </w:pPr>
          <w:hyperlink w:anchor="_Toc468972262" w:history="1">
            <w:r w:rsidR="00190068" w:rsidRPr="00DD47A2">
              <w:rPr>
                <w:rStyle w:val="Hyperlink"/>
                <w:noProof/>
              </w:rPr>
              <w:t>iii.</w:t>
            </w:r>
            <w:r w:rsidR="00190068" w:rsidRPr="00DD47A2">
              <w:rPr>
                <w:noProof/>
                <w:lang w:eastAsia="en-AU"/>
              </w:rPr>
              <w:tab/>
            </w:r>
            <w:r w:rsidR="00190068" w:rsidRPr="00DD47A2">
              <w:rPr>
                <w:rStyle w:val="Hyperlink"/>
                <w:noProof/>
              </w:rPr>
              <w:t>Other Non-Residential Buildings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_Toc468972262 \h </w:instrText>
            </w:r>
            <w:r w:rsidR="00190068" w:rsidRPr="00DD47A2">
              <w:rPr>
                <w:noProof/>
                <w:webHidden/>
              </w:rPr>
            </w:r>
            <w:r w:rsidR="00190068" w:rsidRPr="00DD47A2">
              <w:rPr>
                <w:noProof/>
                <w:webHidden/>
              </w:rPr>
              <w:fldChar w:fldCharType="separate"/>
            </w:r>
            <w:r w:rsidR="00534D71">
              <w:rPr>
                <w:noProof/>
                <w:webHidden/>
              </w:rPr>
              <w:t>25</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63" w:history="1">
            <w:r w:rsidR="00190068" w:rsidRPr="00DD47A2">
              <w:rPr>
                <w:rStyle w:val="Hyperlink"/>
                <w:noProof/>
              </w:rPr>
              <w:t>6.</w:t>
            </w:r>
            <w:r w:rsidR="00190068" w:rsidRPr="00DD47A2">
              <w:rPr>
                <w:noProof/>
                <w:lang w:eastAsia="en-AU"/>
              </w:rPr>
              <w:tab/>
            </w:r>
            <w:r w:rsidR="00190068" w:rsidRPr="00DD47A2">
              <w:rPr>
                <w:rStyle w:val="Hyperlink"/>
                <w:noProof/>
              </w:rPr>
              <w:t>Crane Counts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_Toc468972263 \h </w:instrText>
            </w:r>
            <w:r w:rsidR="00190068" w:rsidRPr="00DD47A2">
              <w:rPr>
                <w:noProof/>
                <w:webHidden/>
              </w:rPr>
            </w:r>
            <w:r w:rsidR="00190068" w:rsidRPr="00DD47A2">
              <w:rPr>
                <w:noProof/>
                <w:webHidden/>
              </w:rPr>
              <w:fldChar w:fldCharType="separate"/>
            </w:r>
            <w:r w:rsidR="00534D71">
              <w:rPr>
                <w:noProof/>
                <w:webHidden/>
              </w:rPr>
              <w:t>27</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64" w:history="1">
            <w:r w:rsidR="00190068" w:rsidRPr="00DD47A2">
              <w:rPr>
                <w:rStyle w:val="Hyperlink"/>
                <w:noProof/>
              </w:rPr>
              <w:t>7.</w:t>
            </w:r>
            <w:r w:rsidR="00190068" w:rsidRPr="00DD47A2">
              <w:rPr>
                <w:noProof/>
                <w:lang w:eastAsia="en-AU"/>
              </w:rPr>
              <w:tab/>
            </w:r>
            <w:r w:rsidR="00190068" w:rsidRPr="00DD47A2">
              <w:rPr>
                <w:rStyle w:val="Hyperlink"/>
                <w:noProof/>
              </w:rPr>
              <w:t>Construction Pipeline</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_Toc468972264 \h </w:instrText>
            </w:r>
            <w:r w:rsidR="00190068" w:rsidRPr="00DD47A2">
              <w:rPr>
                <w:noProof/>
                <w:webHidden/>
              </w:rPr>
            </w:r>
            <w:r w:rsidR="00190068" w:rsidRPr="00DD47A2">
              <w:rPr>
                <w:noProof/>
                <w:webHidden/>
              </w:rPr>
              <w:fldChar w:fldCharType="separate"/>
            </w:r>
            <w:r w:rsidR="00534D71">
              <w:rPr>
                <w:noProof/>
                <w:webHidden/>
              </w:rPr>
              <w:t>28</w:t>
            </w:r>
            <w:r w:rsidR="00190068" w:rsidRPr="00DD47A2">
              <w:rPr>
                <w:noProof/>
                <w:webHidden/>
              </w:rPr>
              <w:fldChar w:fldCharType="end"/>
            </w:r>
          </w:hyperlink>
        </w:p>
        <w:p w:rsidR="00D55AAF" w:rsidRPr="00DD47A2" w:rsidRDefault="00D55AAF">
          <w:pPr>
            <w:pStyle w:val="TOC1"/>
            <w:tabs>
              <w:tab w:val="right" w:leader="dot" w:pos="9769"/>
            </w:tabs>
            <w:rPr>
              <w:noProof/>
            </w:rPr>
          </w:pPr>
        </w:p>
        <w:p w:rsidR="00190068" w:rsidRPr="00DD47A2" w:rsidRDefault="00067A9F">
          <w:pPr>
            <w:pStyle w:val="TOC1"/>
            <w:tabs>
              <w:tab w:val="right" w:leader="dot" w:pos="9769"/>
            </w:tabs>
            <w:rPr>
              <w:noProof/>
              <w:lang w:eastAsia="en-AU"/>
            </w:rPr>
          </w:pPr>
          <w:hyperlink w:anchor="_Toc468972265" w:history="1">
            <w:r w:rsidR="00190068" w:rsidRPr="00DD47A2">
              <w:rPr>
                <w:rStyle w:val="Hyperlink"/>
                <w:noProof/>
              </w:rPr>
              <w:t>HOUSING – PRICES AND SUPPLY</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_Toc468972265 \h </w:instrText>
            </w:r>
            <w:r w:rsidR="00190068" w:rsidRPr="00DD47A2">
              <w:rPr>
                <w:noProof/>
                <w:webHidden/>
              </w:rPr>
            </w:r>
            <w:r w:rsidR="00190068" w:rsidRPr="00DD47A2">
              <w:rPr>
                <w:noProof/>
                <w:webHidden/>
              </w:rPr>
              <w:fldChar w:fldCharType="separate"/>
            </w:r>
            <w:r w:rsidR="00534D71">
              <w:rPr>
                <w:noProof/>
                <w:webHidden/>
              </w:rPr>
              <w:t>28</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66" w:history="1">
            <w:r w:rsidR="00190068" w:rsidRPr="00DD47A2">
              <w:rPr>
                <w:rStyle w:val="Hyperlink"/>
                <w:noProof/>
              </w:rPr>
              <w:t>8.</w:t>
            </w:r>
            <w:r w:rsidR="00190068" w:rsidRPr="00DD47A2">
              <w:rPr>
                <w:noProof/>
                <w:lang w:eastAsia="en-AU"/>
              </w:rPr>
              <w:tab/>
            </w:r>
            <w:r w:rsidR="00190068" w:rsidRPr="00DD47A2">
              <w:rPr>
                <w:rStyle w:val="Hyperlink"/>
                <w:noProof/>
              </w:rPr>
              <w:t>Greenfields Developments in Melbourne’s Outer Growth Areas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_Toc468972266 \h </w:instrText>
            </w:r>
            <w:r w:rsidR="00190068" w:rsidRPr="00DD47A2">
              <w:rPr>
                <w:noProof/>
                <w:webHidden/>
              </w:rPr>
            </w:r>
            <w:r w:rsidR="00190068" w:rsidRPr="00DD47A2">
              <w:rPr>
                <w:noProof/>
                <w:webHidden/>
              </w:rPr>
              <w:fldChar w:fldCharType="separate"/>
            </w:r>
            <w:r w:rsidR="00534D71">
              <w:rPr>
                <w:noProof/>
                <w:webHidden/>
              </w:rPr>
              <w:t>29</w:t>
            </w:r>
            <w:r w:rsidR="00190068" w:rsidRPr="00DD47A2">
              <w:rPr>
                <w:noProof/>
                <w:webHidden/>
              </w:rPr>
              <w:fldChar w:fldCharType="end"/>
            </w:r>
          </w:hyperlink>
        </w:p>
        <w:p w:rsidR="00190068" w:rsidRPr="00DD47A2" w:rsidRDefault="00067A9F">
          <w:pPr>
            <w:pStyle w:val="TOC2"/>
            <w:tabs>
              <w:tab w:val="left" w:pos="660"/>
              <w:tab w:val="right" w:leader="dot" w:pos="9769"/>
            </w:tabs>
            <w:rPr>
              <w:noProof/>
              <w:lang w:eastAsia="en-AU"/>
            </w:rPr>
          </w:pPr>
          <w:hyperlink w:anchor="_Toc468972267" w:history="1">
            <w:r w:rsidR="00190068" w:rsidRPr="00DD47A2">
              <w:rPr>
                <w:rStyle w:val="Hyperlink"/>
                <w:noProof/>
              </w:rPr>
              <w:t>a)</w:t>
            </w:r>
            <w:r w:rsidR="00190068" w:rsidRPr="00DD47A2">
              <w:rPr>
                <w:noProof/>
                <w:lang w:eastAsia="en-AU"/>
              </w:rPr>
              <w:tab/>
            </w:r>
            <w:r w:rsidR="00190068" w:rsidRPr="00DD47A2">
              <w:rPr>
                <w:rStyle w:val="Hyperlink"/>
                <w:noProof/>
              </w:rPr>
              <w:t>Sales Rates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_Toc468972267 \h </w:instrText>
            </w:r>
            <w:r w:rsidR="00190068" w:rsidRPr="00DD47A2">
              <w:rPr>
                <w:noProof/>
                <w:webHidden/>
              </w:rPr>
            </w:r>
            <w:r w:rsidR="00190068" w:rsidRPr="00DD47A2">
              <w:rPr>
                <w:noProof/>
                <w:webHidden/>
              </w:rPr>
              <w:fldChar w:fldCharType="separate"/>
            </w:r>
            <w:r w:rsidR="00534D71">
              <w:rPr>
                <w:noProof/>
                <w:webHidden/>
              </w:rPr>
              <w:t>29</w:t>
            </w:r>
            <w:r w:rsidR="00190068" w:rsidRPr="00DD47A2">
              <w:rPr>
                <w:noProof/>
                <w:webHidden/>
              </w:rPr>
              <w:fldChar w:fldCharType="end"/>
            </w:r>
          </w:hyperlink>
        </w:p>
        <w:p w:rsidR="00190068" w:rsidRPr="00DD47A2" w:rsidRDefault="00067A9F">
          <w:pPr>
            <w:pStyle w:val="TOC2"/>
            <w:tabs>
              <w:tab w:val="left" w:pos="660"/>
              <w:tab w:val="right" w:leader="dot" w:pos="9769"/>
            </w:tabs>
            <w:rPr>
              <w:noProof/>
              <w:lang w:eastAsia="en-AU"/>
            </w:rPr>
          </w:pPr>
          <w:hyperlink w:anchor="_Toc468972268" w:history="1">
            <w:r w:rsidR="00190068" w:rsidRPr="00DD47A2">
              <w:rPr>
                <w:rStyle w:val="Hyperlink"/>
                <w:noProof/>
              </w:rPr>
              <w:t>b)</w:t>
            </w:r>
            <w:r w:rsidR="00190068" w:rsidRPr="00DD47A2">
              <w:rPr>
                <w:noProof/>
                <w:lang w:eastAsia="en-AU"/>
              </w:rPr>
              <w:tab/>
            </w:r>
            <w:r w:rsidR="00190068" w:rsidRPr="00DD47A2">
              <w:rPr>
                <w:rStyle w:val="Hyperlink"/>
                <w:noProof/>
              </w:rPr>
              <w:t>Supply and Stock</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_Toc468972268 \h </w:instrText>
            </w:r>
            <w:r w:rsidR="00190068" w:rsidRPr="00DD47A2">
              <w:rPr>
                <w:noProof/>
                <w:webHidden/>
              </w:rPr>
            </w:r>
            <w:r w:rsidR="00190068" w:rsidRPr="00DD47A2">
              <w:rPr>
                <w:noProof/>
                <w:webHidden/>
              </w:rPr>
              <w:fldChar w:fldCharType="separate"/>
            </w:r>
            <w:r w:rsidR="00534D71">
              <w:rPr>
                <w:noProof/>
                <w:webHidden/>
              </w:rPr>
              <w:t>30</w:t>
            </w:r>
            <w:r w:rsidR="00190068" w:rsidRPr="00DD47A2">
              <w:rPr>
                <w:noProof/>
                <w:webHidden/>
              </w:rPr>
              <w:fldChar w:fldCharType="end"/>
            </w:r>
          </w:hyperlink>
        </w:p>
        <w:p w:rsidR="00190068" w:rsidRPr="00DD47A2" w:rsidRDefault="00067A9F">
          <w:pPr>
            <w:pStyle w:val="TOC2"/>
            <w:tabs>
              <w:tab w:val="left" w:pos="660"/>
              <w:tab w:val="right" w:leader="dot" w:pos="9769"/>
            </w:tabs>
            <w:rPr>
              <w:noProof/>
              <w:lang w:eastAsia="en-AU"/>
            </w:rPr>
          </w:pPr>
          <w:hyperlink w:anchor="_Toc468972269" w:history="1">
            <w:r w:rsidR="00190068" w:rsidRPr="00DD47A2">
              <w:rPr>
                <w:rStyle w:val="Hyperlink"/>
                <w:noProof/>
              </w:rPr>
              <w:t>c)</w:t>
            </w:r>
            <w:r w:rsidR="00190068" w:rsidRPr="00DD47A2">
              <w:rPr>
                <w:noProof/>
                <w:lang w:eastAsia="en-AU"/>
              </w:rPr>
              <w:tab/>
            </w:r>
            <w:r w:rsidR="00190068" w:rsidRPr="00DD47A2">
              <w:rPr>
                <w:rStyle w:val="Hyperlink"/>
                <w:noProof/>
              </w:rPr>
              <w:t>Price of Greenfield Lots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_Toc468972269 \h </w:instrText>
            </w:r>
            <w:r w:rsidR="00190068" w:rsidRPr="00DD47A2">
              <w:rPr>
                <w:noProof/>
                <w:webHidden/>
              </w:rPr>
            </w:r>
            <w:r w:rsidR="00190068" w:rsidRPr="00DD47A2">
              <w:rPr>
                <w:noProof/>
                <w:webHidden/>
              </w:rPr>
              <w:fldChar w:fldCharType="separate"/>
            </w:r>
            <w:r w:rsidR="00534D71">
              <w:rPr>
                <w:noProof/>
                <w:webHidden/>
              </w:rPr>
              <w:t>31</w:t>
            </w:r>
            <w:r w:rsidR="00190068" w:rsidRPr="00DD47A2">
              <w:rPr>
                <w:noProof/>
                <w:webHidden/>
              </w:rPr>
              <w:fldChar w:fldCharType="end"/>
            </w:r>
          </w:hyperlink>
        </w:p>
        <w:p w:rsidR="00190068" w:rsidRPr="00DD47A2" w:rsidRDefault="00067A9F">
          <w:pPr>
            <w:pStyle w:val="TOC2"/>
            <w:tabs>
              <w:tab w:val="left" w:pos="660"/>
              <w:tab w:val="right" w:leader="dot" w:pos="9769"/>
            </w:tabs>
            <w:rPr>
              <w:noProof/>
              <w:lang w:eastAsia="en-AU"/>
            </w:rPr>
          </w:pPr>
          <w:hyperlink w:anchor="_Toc468972270" w:history="1">
            <w:r w:rsidR="00190068" w:rsidRPr="00DD47A2">
              <w:rPr>
                <w:rStyle w:val="Hyperlink"/>
                <w:noProof/>
              </w:rPr>
              <w:t>d)</w:t>
            </w:r>
            <w:r w:rsidR="00190068" w:rsidRPr="00DD47A2">
              <w:rPr>
                <w:noProof/>
                <w:lang w:eastAsia="en-AU"/>
              </w:rPr>
              <w:tab/>
            </w:r>
            <w:r w:rsidR="00190068" w:rsidRPr="00DD47A2">
              <w:rPr>
                <w:rStyle w:val="Hyperlink"/>
                <w:noProof/>
              </w:rPr>
              <w:t>Supply of PSP land</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_Toc468972270 \h </w:instrText>
            </w:r>
            <w:r w:rsidR="00190068" w:rsidRPr="00DD47A2">
              <w:rPr>
                <w:noProof/>
                <w:webHidden/>
              </w:rPr>
            </w:r>
            <w:r w:rsidR="00190068" w:rsidRPr="00DD47A2">
              <w:rPr>
                <w:noProof/>
                <w:webHidden/>
              </w:rPr>
              <w:fldChar w:fldCharType="separate"/>
            </w:r>
            <w:r w:rsidR="00534D71">
              <w:rPr>
                <w:noProof/>
                <w:webHidden/>
              </w:rPr>
              <w:t>32</w:t>
            </w:r>
            <w:r w:rsidR="00190068" w:rsidRPr="00DD47A2">
              <w:rPr>
                <w:noProof/>
                <w:webHidden/>
              </w:rPr>
              <w:fldChar w:fldCharType="end"/>
            </w:r>
          </w:hyperlink>
        </w:p>
        <w:p w:rsidR="00190068" w:rsidRPr="00DD47A2" w:rsidRDefault="00067A9F">
          <w:pPr>
            <w:pStyle w:val="TOC1"/>
            <w:tabs>
              <w:tab w:val="left" w:pos="440"/>
              <w:tab w:val="right" w:leader="dot" w:pos="9769"/>
            </w:tabs>
            <w:rPr>
              <w:noProof/>
              <w:lang w:eastAsia="en-AU"/>
            </w:rPr>
          </w:pPr>
          <w:hyperlink w:anchor="_Toc468972271" w:history="1">
            <w:r w:rsidR="00190068" w:rsidRPr="00DD47A2">
              <w:rPr>
                <w:rStyle w:val="Hyperlink"/>
                <w:noProof/>
              </w:rPr>
              <w:t>9.</w:t>
            </w:r>
            <w:r w:rsidR="00190068" w:rsidRPr="00DD47A2">
              <w:rPr>
                <w:noProof/>
                <w:lang w:eastAsia="en-AU"/>
              </w:rPr>
              <w:tab/>
            </w:r>
            <w:r w:rsidR="00190068" w:rsidRPr="00DD47A2">
              <w:rPr>
                <w:rStyle w:val="Hyperlink"/>
                <w:noProof/>
              </w:rPr>
              <w:t>Property Sales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_Toc468972271 \h </w:instrText>
            </w:r>
            <w:r w:rsidR="00190068" w:rsidRPr="00DD47A2">
              <w:rPr>
                <w:noProof/>
                <w:webHidden/>
              </w:rPr>
            </w:r>
            <w:r w:rsidR="00190068" w:rsidRPr="00DD47A2">
              <w:rPr>
                <w:noProof/>
                <w:webHidden/>
              </w:rPr>
              <w:fldChar w:fldCharType="separate"/>
            </w:r>
            <w:r w:rsidR="00534D71">
              <w:rPr>
                <w:noProof/>
                <w:webHidden/>
              </w:rPr>
              <w:t>33</w:t>
            </w:r>
            <w:r w:rsidR="00190068" w:rsidRPr="00DD47A2">
              <w:rPr>
                <w:noProof/>
                <w:webHidden/>
              </w:rPr>
              <w:fldChar w:fldCharType="end"/>
            </w:r>
          </w:hyperlink>
        </w:p>
        <w:p w:rsidR="00190068" w:rsidRPr="00DD47A2" w:rsidRDefault="00067A9F">
          <w:pPr>
            <w:pStyle w:val="TOC1"/>
            <w:tabs>
              <w:tab w:val="left" w:pos="660"/>
              <w:tab w:val="right" w:leader="dot" w:pos="9769"/>
            </w:tabs>
            <w:rPr>
              <w:noProof/>
              <w:lang w:eastAsia="en-AU"/>
            </w:rPr>
          </w:pPr>
          <w:hyperlink w:anchor="_Toc468972272" w:history="1">
            <w:r w:rsidR="00190068" w:rsidRPr="00DD47A2">
              <w:rPr>
                <w:rStyle w:val="Hyperlink"/>
                <w:noProof/>
              </w:rPr>
              <w:t>10.</w:t>
            </w:r>
            <w:r w:rsidR="00190068" w:rsidRPr="00DD47A2">
              <w:rPr>
                <w:noProof/>
                <w:lang w:eastAsia="en-AU"/>
              </w:rPr>
              <w:tab/>
            </w:r>
            <w:r w:rsidR="00190068" w:rsidRPr="00DD47A2">
              <w:rPr>
                <w:rStyle w:val="Hyperlink"/>
                <w:noProof/>
              </w:rPr>
              <w:t>Rents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_Toc468972272 \h </w:instrText>
            </w:r>
            <w:r w:rsidR="00190068" w:rsidRPr="00DD47A2">
              <w:rPr>
                <w:noProof/>
                <w:webHidden/>
              </w:rPr>
            </w:r>
            <w:r w:rsidR="00190068" w:rsidRPr="00DD47A2">
              <w:rPr>
                <w:noProof/>
                <w:webHidden/>
              </w:rPr>
              <w:fldChar w:fldCharType="separate"/>
            </w:r>
            <w:r w:rsidR="00534D71">
              <w:rPr>
                <w:noProof/>
                <w:webHidden/>
              </w:rPr>
              <w:t>41</w:t>
            </w:r>
            <w:r w:rsidR="00190068" w:rsidRPr="00DD47A2">
              <w:rPr>
                <w:noProof/>
                <w:webHidden/>
              </w:rPr>
              <w:fldChar w:fldCharType="end"/>
            </w:r>
          </w:hyperlink>
        </w:p>
        <w:p w:rsidR="00190068" w:rsidRPr="00DD47A2" w:rsidRDefault="00067A9F">
          <w:pPr>
            <w:pStyle w:val="TOC1"/>
            <w:tabs>
              <w:tab w:val="left" w:pos="660"/>
              <w:tab w:val="right" w:leader="dot" w:pos="9769"/>
            </w:tabs>
            <w:rPr>
              <w:noProof/>
              <w:lang w:eastAsia="en-AU"/>
            </w:rPr>
          </w:pPr>
          <w:hyperlink w:anchor="_Toc468972273" w:history="1">
            <w:r w:rsidR="00190068" w:rsidRPr="00DD47A2">
              <w:rPr>
                <w:rStyle w:val="Hyperlink"/>
                <w:noProof/>
              </w:rPr>
              <w:t>11.</w:t>
            </w:r>
            <w:r w:rsidR="00190068" w:rsidRPr="00DD47A2">
              <w:rPr>
                <w:noProof/>
                <w:lang w:eastAsia="en-AU"/>
              </w:rPr>
              <w:tab/>
            </w:r>
            <w:r w:rsidR="00190068" w:rsidRPr="00DD47A2">
              <w:rPr>
                <w:rStyle w:val="Hyperlink"/>
                <w:noProof/>
              </w:rPr>
              <w:t>Residential Rental Bonds</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_Toc468972273 \h </w:instrText>
            </w:r>
            <w:r w:rsidR="00190068" w:rsidRPr="00DD47A2">
              <w:rPr>
                <w:noProof/>
                <w:webHidden/>
              </w:rPr>
            </w:r>
            <w:r w:rsidR="00190068" w:rsidRPr="00DD47A2">
              <w:rPr>
                <w:noProof/>
                <w:webHidden/>
              </w:rPr>
              <w:fldChar w:fldCharType="separate"/>
            </w:r>
            <w:r w:rsidR="00534D71">
              <w:rPr>
                <w:noProof/>
                <w:webHidden/>
              </w:rPr>
              <w:t>47</w:t>
            </w:r>
            <w:r w:rsidR="00190068" w:rsidRPr="00DD47A2">
              <w:rPr>
                <w:noProof/>
                <w:webHidden/>
              </w:rPr>
              <w:fldChar w:fldCharType="end"/>
            </w:r>
          </w:hyperlink>
        </w:p>
        <w:p w:rsidR="008A6BB2" w:rsidRPr="00DD47A2" w:rsidRDefault="008A6BB2">
          <w:pPr>
            <w:pStyle w:val="TOC1"/>
            <w:tabs>
              <w:tab w:val="right" w:leader="dot" w:pos="9769"/>
            </w:tabs>
            <w:rPr>
              <w:rStyle w:val="Hyperlink"/>
              <w:noProof/>
            </w:rPr>
          </w:pPr>
        </w:p>
        <w:p w:rsidR="00190068" w:rsidRPr="00DD47A2" w:rsidRDefault="00067A9F">
          <w:pPr>
            <w:pStyle w:val="TOC1"/>
            <w:tabs>
              <w:tab w:val="right" w:leader="dot" w:pos="9769"/>
            </w:tabs>
            <w:rPr>
              <w:noProof/>
              <w:lang w:eastAsia="en-AU"/>
            </w:rPr>
          </w:pPr>
          <w:hyperlink w:anchor="_Toc468972274" w:history="1">
            <w:r w:rsidR="00190068" w:rsidRPr="00DD47A2">
              <w:rPr>
                <w:rStyle w:val="Hyperlink"/>
                <w:noProof/>
              </w:rPr>
              <w:t>ECONOMIC – EMPLOYMENT</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_Toc468972274 \h </w:instrText>
            </w:r>
            <w:r w:rsidR="00190068" w:rsidRPr="00DD47A2">
              <w:rPr>
                <w:noProof/>
                <w:webHidden/>
              </w:rPr>
            </w:r>
            <w:r w:rsidR="00190068" w:rsidRPr="00DD47A2">
              <w:rPr>
                <w:noProof/>
                <w:webHidden/>
              </w:rPr>
              <w:fldChar w:fldCharType="separate"/>
            </w:r>
            <w:r w:rsidR="00534D71">
              <w:rPr>
                <w:noProof/>
                <w:webHidden/>
              </w:rPr>
              <w:t>50</w:t>
            </w:r>
            <w:r w:rsidR="00190068" w:rsidRPr="00DD47A2">
              <w:rPr>
                <w:noProof/>
                <w:webHidden/>
              </w:rPr>
              <w:fldChar w:fldCharType="end"/>
            </w:r>
          </w:hyperlink>
        </w:p>
        <w:p w:rsidR="00190068" w:rsidRPr="00DD47A2" w:rsidRDefault="00067A9F">
          <w:pPr>
            <w:pStyle w:val="TOC1"/>
            <w:tabs>
              <w:tab w:val="left" w:pos="660"/>
              <w:tab w:val="right" w:leader="dot" w:pos="9769"/>
            </w:tabs>
            <w:rPr>
              <w:noProof/>
              <w:lang w:eastAsia="en-AU"/>
            </w:rPr>
          </w:pPr>
          <w:hyperlink w:anchor="_Toc468972275" w:history="1">
            <w:r w:rsidR="00190068" w:rsidRPr="00DD47A2">
              <w:rPr>
                <w:rStyle w:val="Hyperlink"/>
                <w:noProof/>
              </w:rPr>
              <w:t>12.</w:t>
            </w:r>
            <w:r w:rsidR="00190068" w:rsidRPr="00DD47A2">
              <w:rPr>
                <w:noProof/>
                <w:lang w:eastAsia="en-AU"/>
              </w:rPr>
              <w:tab/>
            </w:r>
            <w:r w:rsidR="00190068" w:rsidRPr="00DD47A2">
              <w:rPr>
                <w:rStyle w:val="Hyperlink"/>
                <w:noProof/>
              </w:rPr>
              <w:t>Unemployment</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_Toc468972275 \h </w:instrText>
            </w:r>
            <w:r w:rsidR="00190068" w:rsidRPr="00DD47A2">
              <w:rPr>
                <w:noProof/>
                <w:webHidden/>
              </w:rPr>
            </w:r>
            <w:r w:rsidR="00190068" w:rsidRPr="00DD47A2">
              <w:rPr>
                <w:noProof/>
                <w:webHidden/>
              </w:rPr>
              <w:fldChar w:fldCharType="separate"/>
            </w:r>
            <w:r w:rsidR="00534D71">
              <w:rPr>
                <w:noProof/>
                <w:webHidden/>
              </w:rPr>
              <w:t>52</w:t>
            </w:r>
            <w:r w:rsidR="00190068" w:rsidRPr="00DD47A2">
              <w:rPr>
                <w:noProof/>
                <w:webHidden/>
              </w:rPr>
              <w:fldChar w:fldCharType="end"/>
            </w:r>
          </w:hyperlink>
        </w:p>
        <w:p w:rsidR="00190068" w:rsidRPr="00DD47A2" w:rsidRDefault="00067A9F">
          <w:pPr>
            <w:pStyle w:val="TOC1"/>
            <w:tabs>
              <w:tab w:val="left" w:pos="660"/>
              <w:tab w:val="right" w:leader="dot" w:pos="9769"/>
            </w:tabs>
            <w:rPr>
              <w:noProof/>
              <w:lang w:eastAsia="en-AU"/>
            </w:rPr>
          </w:pPr>
          <w:hyperlink w:anchor="_Toc468972276" w:history="1">
            <w:r w:rsidR="00190068" w:rsidRPr="00DD47A2">
              <w:rPr>
                <w:rStyle w:val="Hyperlink"/>
                <w:noProof/>
              </w:rPr>
              <w:t>13.</w:t>
            </w:r>
            <w:r w:rsidR="00190068" w:rsidRPr="00DD47A2">
              <w:rPr>
                <w:noProof/>
                <w:lang w:eastAsia="en-AU"/>
              </w:rPr>
              <w:tab/>
            </w:r>
            <w:r w:rsidR="00190068" w:rsidRPr="00DD47A2">
              <w:rPr>
                <w:rStyle w:val="Hyperlink"/>
                <w:noProof/>
              </w:rPr>
              <w:t>Employment Mix of Victoria</w:t>
            </w:r>
            <w:r w:rsidR="00190068" w:rsidRPr="00DD47A2">
              <w:rPr>
                <w:noProof/>
                <w:webHidden/>
              </w:rPr>
              <w:tab/>
            </w:r>
            <w:r w:rsidR="00190068" w:rsidRPr="00DD47A2">
              <w:rPr>
                <w:noProof/>
                <w:webHidden/>
              </w:rPr>
              <w:fldChar w:fldCharType="begin"/>
            </w:r>
            <w:r w:rsidR="00190068" w:rsidRPr="00DD47A2">
              <w:rPr>
                <w:noProof/>
                <w:webHidden/>
              </w:rPr>
              <w:instrText xml:space="preserve"> PAGEREF _Toc468972276 \h </w:instrText>
            </w:r>
            <w:r w:rsidR="00190068" w:rsidRPr="00DD47A2">
              <w:rPr>
                <w:noProof/>
                <w:webHidden/>
              </w:rPr>
            </w:r>
            <w:r w:rsidR="00190068" w:rsidRPr="00DD47A2">
              <w:rPr>
                <w:noProof/>
                <w:webHidden/>
              </w:rPr>
              <w:fldChar w:fldCharType="separate"/>
            </w:r>
            <w:r w:rsidR="00534D71">
              <w:rPr>
                <w:noProof/>
                <w:webHidden/>
              </w:rPr>
              <w:t>59</w:t>
            </w:r>
            <w:r w:rsidR="00190068" w:rsidRPr="00DD47A2">
              <w:rPr>
                <w:noProof/>
                <w:webHidden/>
              </w:rPr>
              <w:fldChar w:fldCharType="end"/>
            </w:r>
          </w:hyperlink>
        </w:p>
        <w:p w:rsidR="00626AB9" w:rsidRPr="00911E1B" w:rsidRDefault="00626AB9">
          <w:pPr>
            <w:rPr>
              <w:highlight w:val="yellow"/>
            </w:rPr>
          </w:pPr>
          <w:r w:rsidRPr="00DD47A2">
            <w:rPr>
              <w:b/>
              <w:bCs/>
              <w:noProof/>
              <w:sz w:val="20"/>
            </w:rPr>
            <w:fldChar w:fldCharType="end"/>
          </w:r>
        </w:p>
      </w:sdtContent>
    </w:sdt>
    <w:p w:rsidR="00626AB9" w:rsidRPr="00911E1B" w:rsidRDefault="00626AB9">
      <w:pPr>
        <w:rPr>
          <w:highlight w:val="yellow"/>
        </w:rPr>
      </w:pPr>
    </w:p>
    <w:p w:rsidR="001A12FA" w:rsidRPr="00BA3FDE" w:rsidRDefault="001A12FA">
      <w:pPr>
        <w:rPr>
          <w:rFonts w:asciiTheme="majorHAnsi" w:eastAsiaTheme="majorEastAsia" w:hAnsiTheme="majorHAnsi" w:cstheme="majorBidi"/>
          <w:b/>
          <w:caps/>
          <w:sz w:val="24"/>
          <w:szCs w:val="36"/>
        </w:rPr>
      </w:pPr>
      <w:bookmarkStart w:id="0" w:name="_Toc437436622"/>
      <w:r w:rsidRPr="00911E1B">
        <w:rPr>
          <w:b/>
          <w:sz w:val="24"/>
          <w:highlight w:val="yellow"/>
        </w:rPr>
        <w:br w:type="page"/>
      </w:r>
    </w:p>
    <w:p w:rsidR="00F258E5" w:rsidRPr="00296B56" w:rsidRDefault="00F258E5" w:rsidP="0072166A">
      <w:pPr>
        <w:pStyle w:val="Heading1"/>
        <w:rPr>
          <w:color w:val="002060"/>
        </w:rPr>
      </w:pPr>
      <w:bookmarkStart w:id="1" w:name="_Toc468972250"/>
      <w:r w:rsidRPr="00296B56">
        <w:rPr>
          <w:color w:val="002060"/>
        </w:rPr>
        <w:lastRenderedPageBreak/>
        <w:t>Executive Summary</w:t>
      </w:r>
      <w:bookmarkEnd w:id="1"/>
    </w:p>
    <w:p w:rsidR="001C35C3" w:rsidRPr="00296B56" w:rsidRDefault="001C35C3" w:rsidP="001C35C3">
      <w:pPr>
        <w:pStyle w:val="Appendicesnumbered"/>
        <w:jc w:val="both"/>
        <w:rPr>
          <w:sz w:val="2"/>
        </w:rPr>
      </w:pPr>
    </w:p>
    <w:p w:rsidR="001C35C3" w:rsidRPr="00296B56" w:rsidRDefault="001C35C3" w:rsidP="001C35C3">
      <w:pPr>
        <w:pStyle w:val="Appendicesnumbered"/>
        <w:jc w:val="both"/>
      </w:pPr>
      <w:r w:rsidRPr="00296B56">
        <w:t>POPULATION</w:t>
      </w:r>
    </w:p>
    <w:p w:rsidR="000D377F" w:rsidRPr="00296B56" w:rsidRDefault="000D377F" w:rsidP="002607D4">
      <w:pPr>
        <w:pStyle w:val="ListParagraph"/>
        <w:numPr>
          <w:ilvl w:val="0"/>
          <w:numId w:val="5"/>
        </w:numPr>
        <w:tabs>
          <w:tab w:val="left" w:pos="426"/>
        </w:tabs>
        <w:spacing w:before="240" w:after="120"/>
        <w:ind w:left="425" w:hanging="425"/>
        <w:jc w:val="both"/>
        <w:rPr>
          <w:sz w:val="20"/>
        </w:rPr>
      </w:pPr>
      <w:r w:rsidRPr="00296B56">
        <w:rPr>
          <w:sz w:val="20"/>
        </w:rPr>
        <w:t>As of the</w:t>
      </w:r>
      <w:r w:rsidR="00296B56" w:rsidRPr="00296B56">
        <w:rPr>
          <w:sz w:val="20"/>
        </w:rPr>
        <w:t xml:space="preserve"> end of</w:t>
      </w:r>
      <w:r w:rsidRPr="00296B56">
        <w:rPr>
          <w:sz w:val="20"/>
        </w:rPr>
        <w:t xml:space="preserve"> </w:t>
      </w:r>
      <w:r w:rsidR="00296B56" w:rsidRPr="00296B56">
        <w:rPr>
          <w:sz w:val="20"/>
        </w:rPr>
        <w:t>September</w:t>
      </w:r>
      <w:r w:rsidRPr="00296B56">
        <w:rPr>
          <w:sz w:val="20"/>
        </w:rPr>
        <w:t xml:space="preserve"> 2016</w:t>
      </w:r>
      <w:r w:rsidR="002F348B" w:rsidRPr="00296B56">
        <w:rPr>
          <w:sz w:val="20"/>
        </w:rPr>
        <w:t>, Victoria had a population of</w:t>
      </w:r>
      <w:r w:rsidR="00296B56" w:rsidRPr="00296B56">
        <w:rPr>
          <w:sz w:val="20"/>
        </w:rPr>
        <w:t xml:space="preserve"> just over</w:t>
      </w:r>
      <w:r w:rsidR="0039023D" w:rsidRPr="00296B56">
        <w:rPr>
          <w:sz w:val="20"/>
        </w:rPr>
        <w:t xml:space="preserve"> 6</w:t>
      </w:r>
      <w:r w:rsidRPr="00296B56">
        <w:rPr>
          <w:sz w:val="20"/>
        </w:rPr>
        <w:t>.</w:t>
      </w:r>
      <w:r w:rsidR="00296B56" w:rsidRPr="00296B56">
        <w:rPr>
          <w:sz w:val="20"/>
        </w:rPr>
        <w:t>1</w:t>
      </w:r>
      <w:r w:rsidR="0039023D" w:rsidRPr="00296B56">
        <w:rPr>
          <w:sz w:val="20"/>
        </w:rPr>
        <w:t xml:space="preserve"> million</w:t>
      </w:r>
      <w:r w:rsidR="00D9799B" w:rsidRPr="00296B56">
        <w:rPr>
          <w:sz w:val="20"/>
        </w:rPr>
        <w:t xml:space="preserve"> </w:t>
      </w:r>
      <w:r w:rsidR="002F348B" w:rsidRPr="00296B56">
        <w:rPr>
          <w:sz w:val="20"/>
        </w:rPr>
        <w:t>and</w:t>
      </w:r>
      <w:r w:rsidR="00D9799B" w:rsidRPr="00296B56">
        <w:rPr>
          <w:sz w:val="20"/>
        </w:rPr>
        <w:t xml:space="preserve"> </w:t>
      </w:r>
      <w:r w:rsidRPr="00296B56">
        <w:rPr>
          <w:sz w:val="20"/>
        </w:rPr>
        <w:t>had</w:t>
      </w:r>
      <w:r w:rsidR="00311577" w:rsidRPr="00296B56">
        <w:rPr>
          <w:sz w:val="20"/>
        </w:rPr>
        <w:t xml:space="preserve"> a</w:t>
      </w:r>
      <w:r w:rsidRPr="00296B56">
        <w:rPr>
          <w:sz w:val="20"/>
        </w:rPr>
        <w:t xml:space="preserve"> record growth for </w:t>
      </w:r>
      <w:r w:rsidR="00D9799B" w:rsidRPr="00296B56">
        <w:rPr>
          <w:sz w:val="20"/>
        </w:rPr>
        <w:t>a</w:t>
      </w:r>
      <w:r w:rsidR="00914B2E">
        <w:rPr>
          <w:sz w:val="20"/>
        </w:rPr>
        <w:t xml:space="preserve"> 12-</w:t>
      </w:r>
      <w:r w:rsidRPr="00296B56">
        <w:rPr>
          <w:sz w:val="20"/>
        </w:rPr>
        <w:t>month period of 12</w:t>
      </w:r>
      <w:r w:rsidR="00296B56" w:rsidRPr="00296B56">
        <w:rPr>
          <w:sz w:val="20"/>
        </w:rPr>
        <w:t>7</w:t>
      </w:r>
      <w:r w:rsidRPr="00296B56">
        <w:rPr>
          <w:sz w:val="20"/>
        </w:rPr>
        <w:t>,</w:t>
      </w:r>
      <w:r w:rsidR="00296B56" w:rsidRPr="00296B56">
        <w:rPr>
          <w:sz w:val="20"/>
        </w:rPr>
        <w:t>5</w:t>
      </w:r>
      <w:r w:rsidRPr="00296B56">
        <w:rPr>
          <w:sz w:val="20"/>
        </w:rPr>
        <w:t>00 people</w:t>
      </w:r>
      <w:r w:rsidR="002F348B" w:rsidRPr="00296B56">
        <w:rPr>
          <w:sz w:val="20"/>
        </w:rPr>
        <w:t xml:space="preserve">. This is the strongest population growth of any </w:t>
      </w:r>
      <w:r w:rsidR="00055988" w:rsidRPr="00296B56">
        <w:rPr>
          <w:sz w:val="20"/>
        </w:rPr>
        <w:t xml:space="preserve">Australian </w:t>
      </w:r>
      <w:r w:rsidR="002F348B" w:rsidRPr="00296B56">
        <w:rPr>
          <w:sz w:val="20"/>
        </w:rPr>
        <w:t>state or territory.</w:t>
      </w:r>
    </w:p>
    <w:p w:rsidR="00457D55" w:rsidRPr="00296B56" w:rsidRDefault="00457D55" w:rsidP="002607D4">
      <w:pPr>
        <w:pStyle w:val="ListParagraph"/>
        <w:numPr>
          <w:ilvl w:val="0"/>
          <w:numId w:val="5"/>
        </w:numPr>
        <w:tabs>
          <w:tab w:val="left" w:pos="426"/>
        </w:tabs>
        <w:spacing w:before="240" w:after="120"/>
        <w:ind w:left="425" w:hanging="425"/>
        <w:jc w:val="both"/>
        <w:rPr>
          <w:sz w:val="20"/>
        </w:rPr>
      </w:pPr>
      <w:r w:rsidRPr="00296B56">
        <w:rPr>
          <w:sz w:val="20"/>
        </w:rPr>
        <w:t xml:space="preserve">At present, approximately 75% of the </w:t>
      </w:r>
      <w:r w:rsidR="000819F4" w:rsidRPr="00296B56">
        <w:rPr>
          <w:sz w:val="20"/>
        </w:rPr>
        <w:t>s</w:t>
      </w:r>
      <w:r w:rsidRPr="00296B56">
        <w:rPr>
          <w:sz w:val="20"/>
        </w:rPr>
        <w:t xml:space="preserve">tate’s population live in metropolitan Melbourne and 25% </w:t>
      </w:r>
      <w:r w:rsidR="000819F4" w:rsidRPr="00296B56">
        <w:rPr>
          <w:sz w:val="20"/>
        </w:rPr>
        <w:t xml:space="preserve">live </w:t>
      </w:r>
      <w:r w:rsidRPr="00296B56">
        <w:rPr>
          <w:sz w:val="20"/>
        </w:rPr>
        <w:t xml:space="preserve">in </w:t>
      </w:r>
      <w:r w:rsidR="000819F4" w:rsidRPr="00296B56">
        <w:rPr>
          <w:sz w:val="20"/>
        </w:rPr>
        <w:t>r</w:t>
      </w:r>
      <w:r w:rsidRPr="00296B56">
        <w:rPr>
          <w:sz w:val="20"/>
        </w:rPr>
        <w:t>egional Victoria.</w:t>
      </w:r>
    </w:p>
    <w:p w:rsidR="002F348B" w:rsidRPr="00296B56" w:rsidRDefault="002F348B" w:rsidP="002607D4">
      <w:pPr>
        <w:pStyle w:val="ListParagraph"/>
        <w:numPr>
          <w:ilvl w:val="0"/>
          <w:numId w:val="5"/>
        </w:numPr>
        <w:tabs>
          <w:tab w:val="left" w:pos="426"/>
        </w:tabs>
        <w:spacing w:before="240" w:after="120"/>
        <w:ind w:left="425" w:hanging="425"/>
        <w:jc w:val="both"/>
        <w:rPr>
          <w:sz w:val="20"/>
        </w:rPr>
      </w:pPr>
      <w:r w:rsidRPr="00296B56">
        <w:rPr>
          <w:sz w:val="20"/>
        </w:rPr>
        <w:t>Victoria has had the highest interstate migrati</w:t>
      </w:r>
      <w:r w:rsidR="000D377F" w:rsidRPr="00296B56">
        <w:rPr>
          <w:sz w:val="20"/>
        </w:rPr>
        <w:t>on ever</w:t>
      </w:r>
      <w:r w:rsidR="000819F4" w:rsidRPr="00296B56">
        <w:rPr>
          <w:sz w:val="20"/>
        </w:rPr>
        <w:t>,</w:t>
      </w:r>
      <w:r w:rsidR="00DD2EB9" w:rsidRPr="00296B56">
        <w:rPr>
          <w:sz w:val="20"/>
        </w:rPr>
        <w:t xml:space="preserve"> with more than </w:t>
      </w:r>
      <w:r w:rsidR="00296B56" w:rsidRPr="00296B56">
        <w:rPr>
          <w:sz w:val="20"/>
        </w:rPr>
        <w:t>17,0</w:t>
      </w:r>
      <w:r w:rsidR="000D377F" w:rsidRPr="00296B56">
        <w:rPr>
          <w:sz w:val="20"/>
        </w:rPr>
        <w:t>00</w:t>
      </w:r>
      <w:r w:rsidRPr="00296B56">
        <w:rPr>
          <w:sz w:val="20"/>
        </w:rPr>
        <w:t xml:space="preserve"> people moving </w:t>
      </w:r>
      <w:r w:rsidR="00914B2E">
        <w:rPr>
          <w:sz w:val="20"/>
        </w:rPr>
        <w:t xml:space="preserve">to Victoria </w:t>
      </w:r>
      <w:r w:rsidRPr="00296B56">
        <w:rPr>
          <w:sz w:val="20"/>
        </w:rPr>
        <w:t>from interstate</w:t>
      </w:r>
      <w:r w:rsidR="00A570F0" w:rsidRPr="00296B56">
        <w:rPr>
          <w:sz w:val="20"/>
        </w:rPr>
        <w:t xml:space="preserve"> in the past year</w:t>
      </w:r>
      <w:r w:rsidRPr="00296B56">
        <w:rPr>
          <w:sz w:val="20"/>
        </w:rPr>
        <w:t>.</w:t>
      </w:r>
    </w:p>
    <w:p w:rsidR="002F348B" w:rsidRPr="00296B56" w:rsidRDefault="00A570F0" w:rsidP="002607D4">
      <w:pPr>
        <w:pStyle w:val="ListParagraph"/>
        <w:numPr>
          <w:ilvl w:val="0"/>
          <w:numId w:val="5"/>
        </w:numPr>
        <w:tabs>
          <w:tab w:val="left" w:pos="426"/>
        </w:tabs>
        <w:spacing w:before="240" w:after="120"/>
        <w:ind w:left="425" w:hanging="425"/>
        <w:jc w:val="both"/>
        <w:rPr>
          <w:sz w:val="20"/>
        </w:rPr>
      </w:pPr>
      <w:r w:rsidRPr="00296B56">
        <w:rPr>
          <w:sz w:val="20"/>
        </w:rPr>
        <w:t>Within Melbourne, t</w:t>
      </w:r>
      <w:r w:rsidR="002F348B" w:rsidRPr="00296B56">
        <w:rPr>
          <w:sz w:val="20"/>
        </w:rPr>
        <w:t xml:space="preserve">he </w:t>
      </w:r>
      <w:r w:rsidR="00133B2E" w:rsidRPr="00296B56">
        <w:rPr>
          <w:sz w:val="20"/>
        </w:rPr>
        <w:t>outer</w:t>
      </w:r>
      <w:r w:rsidR="002F348B" w:rsidRPr="00296B56">
        <w:rPr>
          <w:sz w:val="20"/>
        </w:rPr>
        <w:t xml:space="preserve"> </w:t>
      </w:r>
      <w:r w:rsidR="000002C4" w:rsidRPr="00296B56">
        <w:rPr>
          <w:sz w:val="20"/>
        </w:rPr>
        <w:t>l</w:t>
      </w:r>
      <w:r w:rsidR="002F348B" w:rsidRPr="00296B56">
        <w:rPr>
          <w:sz w:val="20"/>
        </w:rPr>
        <w:t xml:space="preserve">ocal government </w:t>
      </w:r>
      <w:r w:rsidR="00630725" w:rsidRPr="00296B56">
        <w:rPr>
          <w:sz w:val="20"/>
        </w:rPr>
        <w:t xml:space="preserve">growth </w:t>
      </w:r>
      <w:r w:rsidR="002F348B" w:rsidRPr="00296B56">
        <w:rPr>
          <w:sz w:val="20"/>
        </w:rPr>
        <w:t xml:space="preserve">areas and the </w:t>
      </w:r>
      <w:r w:rsidRPr="00296B56">
        <w:rPr>
          <w:sz w:val="20"/>
        </w:rPr>
        <w:t>C</w:t>
      </w:r>
      <w:r w:rsidR="002F348B" w:rsidRPr="00296B56">
        <w:rPr>
          <w:sz w:val="20"/>
        </w:rPr>
        <w:t>ity of Melbourne are t</w:t>
      </w:r>
      <w:r w:rsidRPr="00296B56">
        <w:rPr>
          <w:sz w:val="20"/>
        </w:rPr>
        <w:t xml:space="preserve">he fastest growing </w:t>
      </w:r>
      <w:r w:rsidR="00630725" w:rsidRPr="00296B56">
        <w:rPr>
          <w:sz w:val="20"/>
        </w:rPr>
        <w:t>locations</w:t>
      </w:r>
      <w:r w:rsidR="002F348B" w:rsidRPr="00296B56">
        <w:rPr>
          <w:sz w:val="20"/>
        </w:rPr>
        <w:t>.</w:t>
      </w:r>
    </w:p>
    <w:p w:rsidR="002F348B" w:rsidRPr="00296B56" w:rsidRDefault="002F348B" w:rsidP="002607D4">
      <w:pPr>
        <w:pStyle w:val="ListParagraph"/>
        <w:numPr>
          <w:ilvl w:val="0"/>
          <w:numId w:val="5"/>
        </w:numPr>
        <w:tabs>
          <w:tab w:val="left" w:pos="426"/>
        </w:tabs>
        <w:spacing w:before="240" w:after="120"/>
        <w:ind w:left="425" w:hanging="425"/>
        <w:jc w:val="both"/>
        <w:rPr>
          <w:sz w:val="20"/>
        </w:rPr>
      </w:pPr>
      <w:r w:rsidRPr="00296B56">
        <w:rPr>
          <w:sz w:val="20"/>
        </w:rPr>
        <w:t>In 201</w:t>
      </w:r>
      <w:r w:rsidR="00296B56" w:rsidRPr="00296B56">
        <w:rPr>
          <w:sz w:val="20"/>
        </w:rPr>
        <w:t>6</w:t>
      </w:r>
      <w:r w:rsidRPr="00296B56">
        <w:rPr>
          <w:sz w:val="20"/>
        </w:rPr>
        <w:t xml:space="preserve">, </w:t>
      </w:r>
      <w:r w:rsidR="00296B56" w:rsidRPr="00296B56">
        <w:rPr>
          <w:sz w:val="20"/>
        </w:rPr>
        <w:t>Victoria is on track for a record of over 80,000</w:t>
      </w:r>
      <w:r w:rsidR="0039023D" w:rsidRPr="00296B56">
        <w:rPr>
          <w:sz w:val="20"/>
        </w:rPr>
        <w:t xml:space="preserve"> </w:t>
      </w:r>
      <w:r w:rsidR="006E5E26" w:rsidRPr="00296B56">
        <w:rPr>
          <w:sz w:val="20"/>
        </w:rPr>
        <w:t>births. Since 2012, Victoria has been experiencing a baby boom</w:t>
      </w:r>
      <w:r w:rsidR="000819F4" w:rsidRPr="00296B56">
        <w:rPr>
          <w:sz w:val="20"/>
        </w:rPr>
        <w:t>,</w:t>
      </w:r>
      <w:r w:rsidR="006E5E26" w:rsidRPr="00296B56">
        <w:rPr>
          <w:sz w:val="20"/>
        </w:rPr>
        <w:t xml:space="preserve"> with 15,000 more births per year than were recorded in</w:t>
      </w:r>
      <w:r w:rsidR="00AC6980" w:rsidRPr="00296B56">
        <w:rPr>
          <w:sz w:val="20"/>
        </w:rPr>
        <w:t xml:space="preserve"> the</w:t>
      </w:r>
      <w:r w:rsidR="00932482" w:rsidRPr="00296B56">
        <w:rPr>
          <w:sz w:val="20"/>
        </w:rPr>
        <w:t xml:space="preserve"> early 2000</w:t>
      </w:r>
      <w:r w:rsidR="006E5E26" w:rsidRPr="00296B56">
        <w:rPr>
          <w:sz w:val="20"/>
        </w:rPr>
        <w:t>s.</w:t>
      </w:r>
      <w:r w:rsidR="0039023D" w:rsidRPr="00296B56">
        <w:rPr>
          <w:sz w:val="20"/>
        </w:rPr>
        <w:t xml:space="preserve"> This will result in </w:t>
      </w:r>
      <w:r w:rsidR="00311577" w:rsidRPr="00296B56">
        <w:rPr>
          <w:sz w:val="20"/>
        </w:rPr>
        <w:t xml:space="preserve">greater </w:t>
      </w:r>
      <w:r w:rsidR="0039023D" w:rsidRPr="00296B56">
        <w:rPr>
          <w:sz w:val="20"/>
        </w:rPr>
        <w:t>demand for childhood services.</w:t>
      </w:r>
      <w:r w:rsidR="006E5E26" w:rsidRPr="00296B56">
        <w:rPr>
          <w:sz w:val="20"/>
        </w:rPr>
        <w:t xml:space="preserve"> </w:t>
      </w:r>
    </w:p>
    <w:p w:rsidR="006E5E26" w:rsidRPr="00296B56" w:rsidRDefault="006E5E26" w:rsidP="002607D4">
      <w:pPr>
        <w:pStyle w:val="ListParagraph"/>
        <w:numPr>
          <w:ilvl w:val="0"/>
          <w:numId w:val="5"/>
        </w:numPr>
        <w:tabs>
          <w:tab w:val="left" w:pos="426"/>
        </w:tabs>
        <w:spacing w:before="240" w:after="120"/>
        <w:ind w:left="425" w:hanging="425"/>
        <w:jc w:val="both"/>
        <w:rPr>
          <w:sz w:val="20"/>
        </w:rPr>
      </w:pPr>
      <w:r w:rsidRPr="00296B56">
        <w:rPr>
          <w:sz w:val="20"/>
        </w:rPr>
        <w:t xml:space="preserve">Almost </w:t>
      </w:r>
      <w:r w:rsidR="0039023D" w:rsidRPr="00296B56">
        <w:rPr>
          <w:sz w:val="20"/>
        </w:rPr>
        <w:t>40</w:t>
      </w:r>
      <w:r w:rsidRPr="00296B56">
        <w:rPr>
          <w:sz w:val="20"/>
        </w:rPr>
        <w:t>,000</w:t>
      </w:r>
      <w:r w:rsidR="00296B56" w:rsidRPr="00296B56">
        <w:rPr>
          <w:sz w:val="20"/>
        </w:rPr>
        <w:t xml:space="preserve"> people died in Victoria in 2015</w:t>
      </w:r>
      <w:r w:rsidRPr="00296B56">
        <w:rPr>
          <w:sz w:val="20"/>
        </w:rPr>
        <w:t xml:space="preserve">. </w:t>
      </w:r>
      <w:r w:rsidR="0039023D" w:rsidRPr="00296B56">
        <w:rPr>
          <w:sz w:val="20"/>
        </w:rPr>
        <w:t>This has also been rising in recent years due to the ag</w:t>
      </w:r>
      <w:r w:rsidR="000819F4" w:rsidRPr="00296B56">
        <w:rPr>
          <w:sz w:val="20"/>
        </w:rPr>
        <w:t>e</w:t>
      </w:r>
      <w:r w:rsidR="0039023D" w:rsidRPr="00296B56">
        <w:rPr>
          <w:sz w:val="20"/>
        </w:rPr>
        <w:t>ing population.</w:t>
      </w:r>
    </w:p>
    <w:p w:rsidR="001C35C3" w:rsidRPr="00296B56" w:rsidRDefault="001C35C3" w:rsidP="002607D4">
      <w:pPr>
        <w:pStyle w:val="Appendicesnumbered"/>
        <w:jc w:val="both"/>
      </w:pPr>
      <w:r w:rsidRPr="00296B56">
        <w:t>DEVELOPMENT ACTIVITY</w:t>
      </w:r>
    </w:p>
    <w:p w:rsidR="00321043" w:rsidRPr="00296B56" w:rsidRDefault="00DD2EB9" w:rsidP="002607D4">
      <w:pPr>
        <w:pStyle w:val="ListParagraph"/>
        <w:numPr>
          <w:ilvl w:val="0"/>
          <w:numId w:val="5"/>
        </w:numPr>
        <w:tabs>
          <w:tab w:val="left" w:pos="426"/>
        </w:tabs>
        <w:spacing w:before="240" w:after="120"/>
        <w:ind w:left="425" w:hanging="425"/>
        <w:jc w:val="both"/>
        <w:rPr>
          <w:sz w:val="20"/>
        </w:rPr>
      </w:pPr>
      <w:r w:rsidRPr="00296B56">
        <w:rPr>
          <w:sz w:val="20"/>
        </w:rPr>
        <w:t>There</w:t>
      </w:r>
      <w:r w:rsidR="00030C92" w:rsidRPr="00296B56">
        <w:rPr>
          <w:sz w:val="20"/>
        </w:rPr>
        <w:t xml:space="preserve"> were </w:t>
      </w:r>
      <w:r w:rsidR="00C33B4C" w:rsidRPr="00296B56">
        <w:rPr>
          <w:sz w:val="20"/>
        </w:rPr>
        <w:t xml:space="preserve">almost </w:t>
      </w:r>
      <w:r w:rsidR="00030C92" w:rsidRPr="00296B56">
        <w:rPr>
          <w:sz w:val="20"/>
        </w:rPr>
        <w:t>$</w:t>
      </w:r>
      <w:r w:rsidR="00296B56" w:rsidRPr="00296B56">
        <w:rPr>
          <w:sz w:val="20"/>
        </w:rPr>
        <w:t>26</w:t>
      </w:r>
      <w:r w:rsidR="006E5E26" w:rsidRPr="00296B56">
        <w:rPr>
          <w:sz w:val="20"/>
        </w:rPr>
        <w:t xml:space="preserve"> billion worth of building approvals in </w:t>
      </w:r>
      <w:r w:rsidR="00172F48" w:rsidRPr="00296B56">
        <w:rPr>
          <w:sz w:val="20"/>
        </w:rPr>
        <w:t xml:space="preserve">the </w:t>
      </w:r>
      <w:r w:rsidR="00296B56" w:rsidRPr="00296B56">
        <w:rPr>
          <w:sz w:val="20"/>
        </w:rPr>
        <w:t xml:space="preserve">nine months to March 2017 </w:t>
      </w:r>
      <w:r w:rsidR="00A570F0" w:rsidRPr="00296B56">
        <w:rPr>
          <w:sz w:val="20"/>
        </w:rPr>
        <w:t>across Victoria</w:t>
      </w:r>
      <w:r w:rsidR="00630725" w:rsidRPr="00296B56">
        <w:rPr>
          <w:sz w:val="20"/>
        </w:rPr>
        <w:t xml:space="preserve">. </w:t>
      </w:r>
      <w:r w:rsidR="00750BD5" w:rsidRPr="00296B56">
        <w:rPr>
          <w:sz w:val="20"/>
        </w:rPr>
        <w:t>The</w:t>
      </w:r>
      <w:r w:rsidR="00296B56" w:rsidRPr="00296B56">
        <w:rPr>
          <w:sz w:val="20"/>
        </w:rPr>
        <w:t xml:space="preserve"> large majority (67</w:t>
      </w:r>
      <w:r w:rsidR="00630725" w:rsidRPr="00296B56">
        <w:rPr>
          <w:sz w:val="20"/>
        </w:rPr>
        <w:t>%)</w:t>
      </w:r>
      <w:r w:rsidR="00172F48" w:rsidRPr="00296B56">
        <w:rPr>
          <w:sz w:val="20"/>
        </w:rPr>
        <w:t xml:space="preserve"> of that value </w:t>
      </w:r>
      <w:r w:rsidR="000819F4" w:rsidRPr="00296B56">
        <w:rPr>
          <w:sz w:val="20"/>
        </w:rPr>
        <w:t>was</w:t>
      </w:r>
      <w:r w:rsidR="00630725" w:rsidRPr="00296B56">
        <w:rPr>
          <w:sz w:val="20"/>
        </w:rPr>
        <w:t xml:space="preserve"> for residential construction.</w:t>
      </w:r>
      <w:r w:rsidR="006E5E26" w:rsidRPr="00296B56">
        <w:rPr>
          <w:sz w:val="20"/>
        </w:rPr>
        <w:t xml:space="preserve"> This compares to </w:t>
      </w:r>
      <w:r w:rsidR="002D25B8" w:rsidRPr="00296B56">
        <w:rPr>
          <w:sz w:val="20"/>
        </w:rPr>
        <w:t xml:space="preserve">almost </w:t>
      </w:r>
      <w:r w:rsidR="00321043" w:rsidRPr="00296B56">
        <w:rPr>
          <w:sz w:val="20"/>
        </w:rPr>
        <w:t>$</w:t>
      </w:r>
      <w:r w:rsidR="002D25B8" w:rsidRPr="00296B56">
        <w:rPr>
          <w:sz w:val="20"/>
        </w:rPr>
        <w:t>31</w:t>
      </w:r>
      <w:r w:rsidR="00321043" w:rsidRPr="00296B56">
        <w:rPr>
          <w:sz w:val="20"/>
        </w:rPr>
        <w:t xml:space="preserve"> billion </w:t>
      </w:r>
      <w:r w:rsidR="00A570F0" w:rsidRPr="00296B56">
        <w:rPr>
          <w:sz w:val="20"/>
        </w:rPr>
        <w:t>for the full</w:t>
      </w:r>
      <w:r w:rsidR="00321043" w:rsidRPr="00296B56">
        <w:rPr>
          <w:sz w:val="20"/>
        </w:rPr>
        <w:t xml:space="preserve"> 201</w:t>
      </w:r>
      <w:r w:rsidR="002D25B8" w:rsidRPr="00296B56">
        <w:rPr>
          <w:sz w:val="20"/>
        </w:rPr>
        <w:t>5</w:t>
      </w:r>
      <w:r w:rsidR="00321043" w:rsidRPr="00296B56">
        <w:rPr>
          <w:sz w:val="20"/>
        </w:rPr>
        <w:t>/</w:t>
      </w:r>
      <w:r w:rsidR="002D25B8" w:rsidRPr="00296B56">
        <w:rPr>
          <w:sz w:val="20"/>
        </w:rPr>
        <w:t>16</w:t>
      </w:r>
      <w:r w:rsidR="00A570F0" w:rsidRPr="00296B56">
        <w:rPr>
          <w:sz w:val="20"/>
        </w:rPr>
        <w:t xml:space="preserve"> year</w:t>
      </w:r>
      <w:r w:rsidR="00321043" w:rsidRPr="00296B56">
        <w:rPr>
          <w:sz w:val="20"/>
        </w:rPr>
        <w:t>.</w:t>
      </w:r>
    </w:p>
    <w:p w:rsidR="002D25B8" w:rsidRPr="00190DC4" w:rsidRDefault="0092005C" w:rsidP="002607D4">
      <w:pPr>
        <w:pStyle w:val="ListParagraph"/>
        <w:numPr>
          <w:ilvl w:val="0"/>
          <w:numId w:val="5"/>
        </w:numPr>
        <w:tabs>
          <w:tab w:val="left" w:pos="426"/>
        </w:tabs>
        <w:spacing w:before="240" w:after="120"/>
        <w:ind w:left="425" w:hanging="425"/>
        <w:jc w:val="both"/>
        <w:rPr>
          <w:sz w:val="20"/>
        </w:rPr>
      </w:pPr>
      <w:r w:rsidRPr="00190DC4">
        <w:rPr>
          <w:sz w:val="20"/>
        </w:rPr>
        <w:t>Residential</w:t>
      </w:r>
      <w:r w:rsidR="00172F48" w:rsidRPr="00190DC4">
        <w:rPr>
          <w:sz w:val="20"/>
        </w:rPr>
        <w:t xml:space="preserve"> dwelling</w:t>
      </w:r>
      <w:r w:rsidRPr="00190DC4">
        <w:rPr>
          <w:sz w:val="20"/>
        </w:rPr>
        <w:t xml:space="preserve"> approvals remain</w:t>
      </w:r>
      <w:r w:rsidR="00172F48" w:rsidRPr="00190DC4">
        <w:rPr>
          <w:sz w:val="20"/>
        </w:rPr>
        <w:t>ed</w:t>
      </w:r>
      <w:r w:rsidRPr="00190DC4">
        <w:rPr>
          <w:sz w:val="20"/>
        </w:rPr>
        <w:t xml:space="preserve"> predominantly detached dwellings</w:t>
      </w:r>
      <w:r w:rsidR="000819F4" w:rsidRPr="00190DC4">
        <w:rPr>
          <w:sz w:val="20"/>
        </w:rPr>
        <w:t>,</w:t>
      </w:r>
      <w:r w:rsidRPr="00190DC4">
        <w:rPr>
          <w:sz w:val="20"/>
        </w:rPr>
        <w:t xml:space="preserve"> with </w:t>
      </w:r>
      <w:r w:rsidR="008703C3" w:rsidRPr="00190DC4">
        <w:rPr>
          <w:sz w:val="20"/>
        </w:rPr>
        <w:t xml:space="preserve">approval for </w:t>
      </w:r>
      <w:r w:rsidR="00190DC4" w:rsidRPr="00190DC4">
        <w:rPr>
          <w:sz w:val="20"/>
        </w:rPr>
        <w:t xml:space="preserve">26,725 </w:t>
      </w:r>
      <w:r w:rsidR="008703C3" w:rsidRPr="00190DC4">
        <w:rPr>
          <w:sz w:val="20"/>
        </w:rPr>
        <w:t xml:space="preserve">houses, </w:t>
      </w:r>
      <w:r w:rsidR="00190DC4" w:rsidRPr="00190DC4">
        <w:rPr>
          <w:sz w:val="20"/>
        </w:rPr>
        <w:t>8,331</w:t>
      </w:r>
      <w:r w:rsidR="002D25B8" w:rsidRPr="00190DC4">
        <w:rPr>
          <w:sz w:val="20"/>
        </w:rPr>
        <w:t xml:space="preserve"> semi-detached dwellings and </w:t>
      </w:r>
      <w:r w:rsidR="00190DC4" w:rsidRPr="00190DC4">
        <w:rPr>
          <w:sz w:val="20"/>
        </w:rPr>
        <w:t>15,235</w:t>
      </w:r>
      <w:r w:rsidR="002D25B8" w:rsidRPr="00190DC4">
        <w:rPr>
          <w:sz w:val="20"/>
        </w:rPr>
        <w:t xml:space="preserve"> apartments</w:t>
      </w:r>
      <w:r w:rsidR="00CB28DB">
        <w:rPr>
          <w:sz w:val="20"/>
        </w:rPr>
        <w:t xml:space="preserve"> in the p</w:t>
      </w:r>
      <w:r w:rsidR="00172F48" w:rsidRPr="00190DC4">
        <w:rPr>
          <w:sz w:val="20"/>
        </w:rPr>
        <w:t xml:space="preserve">ast </w:t>
      </w:r>
      <w:r w:rsidR="00296B56" w:rsidRPr="00190DC4">
        <w:rPr>
          <w:sz w:val="20"/>
        </w:rPr>
        <w:t xml:space="preserve">nine </w:t>
      </w:r>
      <w:r w:rsidR="00172F48" w:rsidRPr="00190DC4">
        <w:rPr>
          <w:sz w:val="20"/>
        </w:rPr>
        <w:t>months</w:t>
      </w:r>
      <w:r w:rsidR="002D25B8" w:rsidRPr="00190DC4">
        <w:rPr>
          <w:sz w:val="20"/>
        </w:rPr>
        <w:t>.</w:t>
      </w:r>
    </w:p>
    <w:p w:rsidR="00321043" w:rsidRPr="00190DC4" w:rsidRDefault="00321043" w:rsidP="002607D4">
      <w:pPr>
        <w:pStyle w:val="ListParagraph"/>
        <w:numPr>
          <w:ilvl w:val="0"/>
          <w:numId w:val="5"/>
        </w:numPr>
        <w:tabs>
          <w:tab w:val="left" w:pos="426"/>
        </w:tabs>
        <w:spacing w:before="240" w:after="120"/>
        <w:ind w:left="425" w:hanging="425"/>
        <w:jc w:val="both"/>
        <w:rPr>
          <w:sz w:val="20"/>
        </w:rPr>
      </w:pPr>
      <w:r w:rsidRPr="00190DC4">
        <w:rPr>
          <w:sz w:val="20"/>
        </w:rPr>
        <w:t xml:space="preserve">The number of new dwellings approved in </w:t>
      </w:r>
      <w:r w:rsidR="00C33B4C" w:rsidRPr="00190DC4">
        <w:rPr>
          <w:sz w:val="20"/>
        </w:rPr>
        <w:t>2015</w:t>
      </w:r>
      <w:r w:rsidR="006358DE" w:rsidRPr="00190DC4">
        <w:rPr>
          <w:sz w:val="20"/>
        </w:rPr>
        <w:t>/16</w:t>
      </w:r>
      <w:r w:rsidR="00C33B4C" w:rsidRPr="00190DC4">
        <w:rPr>
          <w:sz w:val="20"/>
        </w:rPr>
        <w:t xml:space="preserve"> w</w:t>
      </w:r>
      <w:r w:rsidR="00172F48" w:rsidRPr="00190DC4">
        <w:rPr>
          <w:sz w:val="20"/>
        </w:rPr>
        <w:t>ere</w:t>
      </w:r>
      <w:r w:rsidR="00C33B4C" w:rsidRPr="00190DC4">
        <w:rPr>
          <w:sz w:val="20"/>
        </w:rPr>
        <w:t xml:space="preserve"> 67</w:t>
      </w:r>
      <w:r w:rsidR="00185F40" w:rsidRPr="00190DC4">
        <w:rPr>
          <w:sz w:val="20"/>
        </w:rPr>
        <w:t>,</w:t>
      </w:r>
      <w:r w:rsidR="00C33B4C" w:rsidRPr="00190DC4">
        <w:rPr>
          <w:sz w:val="20"/>
        </w:rPr>
        <w:t>003</w:t>
      </w:r>
      <w:r w:rsidR="00A570F0" w:rsidRPr="00190DC4">
        <w:rPr>
          <w:sz w:val="20"/>
        </w:rPr>
        <w:t xml:space="preserve"> across Victoria</w:t>
      </w:r>
      <w:r w:rsidRPr="00190DC4">
        <w:rPr>
          <w:sz w:val="20"/>
        </w:rPr>
        <w:t xml:space="preserve">. This was made up of </w:t>
      </w:r>
      <w:r w:rsidR="00C33B4C" w:rsidRPr="00190DC4">
        <w:rPr>
          <w:sz w:val="20"/>
        </w:rPr>
        <w:t>35</w:t>
      </w:r>
      <w:r w:rsidR="00185F40" w:rsidRPr="00190DC4">
        <w:rPr>
          <w:sz w:val="20"/>
        </w:rPr>
        <w:t>,</w:t>
      </w:r>
      <w:r w:rsidR="00C33B4C" w:rsidRPr="00190DC4">
        <w:rPr>
          <w:sz w:val="20"/>
        </w:rPr>
        <w:t>864</w:t>
      </w:r>
      <w:r w:rsidR="00185F40" w:rsidRPr="00190DC4">
        <w:rPr>
          <w:sz w:val="20"/>
        </w:rPr>
        <w:t xml:space="preserve"> </w:t>
      </w:r>
      <w:r w:rsidRPr="00190DC4">
        <w:rPr>
          <w:sz w:val="20"/>
        </w:rPr>
        <w:t>detached houses</w:t>
      </w:r>
      <w:r w:rsidR="00A570F0" w:rsidRPr="00190DC4">
        <w:rPr>
          <w:sz w:val="20"/>
        </w:rPr>
        <w:t xml:space="preserve"> (</w:t>
      </w:r>
      <w:r w:rsidR="00185F40" w:rsidRPr="00190DC4">
        <w:rPr>
          <w:sz w:val="20"/>
        </w:rPr>
        <w:t>53</w:t>
      </w:r>
      <w:r w:rsidR="00133B2E" w:rsidRPr="00190DC4">
        <w:rPr>
          <w:sz w:val="20"/>
        </w:rPr>
        <w:t>%)</w:t>
      </w:r>
      <w:r w:rsidRPr="00190DC4">
        <w:rPr>
          <w:sz w:val="20"/>
        </w:rPr>
        <w:t xml:space="preserve">, </w:t>
      </w:r>
      <w:r w:rsidR="00C33B4C" w:rsidRPr="00190DC4">
        <w:rPr>
          <w:sz w:val="20"/>
        </w:rPr>
        <w:t xml:space="preserve">10,571 </w:t>
      </w:r>
      <w:r w:rsidRPr="00190DC4">
        <w:rPr>
          <w:sz w:val="20"/>
        </w:rPr>
        <w:t>semi-detache</w:t>
      </w:r>
      <w:r w:rsidR="00AC6980" w:rsidRPr="00190DC4">
        <w:rPr>
          <w:sz w:val="20"/>
        </w:rPr>
        <w:t>d dwellings</w:t>
      </w:r>
      <w:r w:rsidR="00C33B4C" w:rsidRPr="00190DC4">
        <w:rPr>
          <w:sz w:val="20"/>
        </w:rPr>
        <w:t xml:space="preserve"> (16</w:t>
      </w:r>
      <w:r w:rsidR="00133B2E" w:rsidRPr="00190DC4">
        <w:rPr>
          <w:sz w:val="20"/>
        </w:rPr>
        <w:t>%)</w:t>
      </w:r>
      <w:r w:rsidR="00AC6980" w:rsidRPr="00190DC4">
        <w:rPr>
          <w:sz w:val="20"/>
        </w:rPr>
        <w:t xml:space="preserve"> and </w:t>
      </w:r>
      <w:r w:rsidR="00C33B4C" w:rsidRPr="00190DC4">
        <w:rPr>
          <w:sz w:val="20"/>
        </w:rPr>
        <w:t>20</w:t>
      </w:r>
      <w:r w:rsidR="00185F40" w:rsidRPr="00190DC4">
        <w:rPr>
          <w:sz w:val="20"/>
        </w:rPr>
        <w:t>,5</w:t>
      </w:r>
      <w:r w:rsidR="00C33B4C" w:rsidRPr="00190DC4">
        <w:rPr>
          <w:sz w:val="20"/>
        </w:rPr>
        <w:t>68</w:t>
      </w:r>
      <w:r w:rsidR="00AC6980" w:rsidRPr="00190DC4">
        <w:rPr>
          <w:sz w:val="20"/>
        </w:rPr>
        <w:t xml:space="preserve"> units or a</w:t>
      </w:r>
      <w:r w:rsidRPr="00190DC4">
        <w:rPr>
          <w:sz w:val="20"/>
        </w:rPr>
        <w:t>partments</w:t>
      </w:r>
      <w:r w:rsidR="00C33B4C" w:rsidRPr="00190DC4">
        <w:rPr>
          <w:sz w:val="20"/>
        </w:rPr>
        <w:t xml:space="preserve"> (31</w:t>
      </w:r>
      <w:r w:rsidR="00133B2E" w:rsidRPr="00190DC4">
        <w:rPr>
          <w:sz w:val="20"/>
        </w:rPr>
        <w:t>%)</w:t>
      </w:r>
      <w:r w:rsidRPr="00190DC4">
        <w:rPr>
          <w:sz w:val="20"/>
        </w:rPr>
        <w:t xml:space="preserve">. </w:t>
      </w:r>
    </w:p>
    <w:p w:rsidR="00321043" w:rsidRPr="00190DC4" w:rsidRDefault="0092005C" w:rsidP="002607D4">
      <w:pPr>
        <w:pStyle w:val="ListParagraph"/>
        <w:numPr>
          <w:ilvl w:val="0"/>
          <w:numId w:val="5"/>
        </w:numPr>
        <w:tabs>
          <w:tab w:val="left" w:pos="426"/>
        </w:tabs>
        <w:spacing w:before="240" w:after="120"/>
        <w:ind w:left="425" w:hanging="425"/>
        <w:jc w:val="both"/>
        <w:rPr>
          <w:sz w:val="20"/>
        </w:rPr>
      </w:pPr>
      <w:r w:rsidRPr="00190DC4">
        <w:rPr>
          <w:sz w:val="20"/>
        </w:rPr>
        <w:t>In a</w:t>
      </w:r>
      <w:r w:rsidR="00321043" w:rsidRPr="00190DC4">
        <w:rPr>
          <w:sz w:val="20"/>
        </w:rPr>
        <w:t>ddition</w:t>
      </w:r>
      <w:r w:rsidRPr="00190DC4">
        <w:rPr>
          <w:sz w:val="20"/>
        </w:rPr>
        <w:t xml:space="preserve">, </w:t>
      </w:r>
      <w:r w:rsidR="00321043" w:rsidRPr="00190DC4">
        <w:rPr>
          <w:sz w:val="20"/>
        </w:rPr>
        <w:t xml:space="preserve">there </w:t>
      </w:r>
      <w:r w:rsidR="00AC6980" w:rsidRPr="00190DC4">
        <w:rPr>
          <w:sz w:val="20"/>
        </w:rPr>
        <w:t xml:space="preserve">were </w:t>
      </w:r>
      <w:r w:rsidR="00C33B4C" w:rsidRPr="00190DC4">
        <w:rPr>
          <w:sz w:val="20"/>
        </w:rPr>
        <w:t>approvals for $</w:t>
      </w:r>
      <w:r w:rsidR="00190DC4" w:rsidRPr="00190DC4">
        <w:rPr>
          <w:sz w:val="20"/>
        </w:rPr>
        <w:t>4</w:t>
      </w:r>
      <w:r w:rsidR="00185F40" w:rsidRPr="00190DC4">
        <w:rPr>
          <w:sz w:val="20"/>
        </w:rPr>
        <w:t>.</w:t>
      </w:r>
      <w:r w:rsidR="008703C3" w:rsidRPr="00190DC4">
        <w:rPr>
          <w:sz w:val="20"/>
        </w:rPr>
        <w:t>2</w:t>
      </w:r>
      <w:r w:rsidR="00190DC4" w:rsidRPr="00190DC4">
        <w:rPr>
          <w:sz w:val="20"/>
        </w:rPr>
        <w:t>6</w:t>
      </w:r>
      <w:r w:rsidR="00321043" w:rsidRPr="00190DC4">
        <w:rPr>
          <w:sz w:val="20"/>
        </w:rPr>
        <w:t xml:space="preserve"> </w:t>
      </w:r>
      <w:r w:rsidR="00185F40" w:rsidRPr="00190DC4">
        <w:rPr>
          <w:sz w:val="20"/>
        </w:rPr>
        <w:t>b</w:t>
      </w:r>
      <w:r w:rsidR="00321043" w:rsidRPr="00190DC4">
        <w:rPr>
          <w:sz w:val="20"/>
        </w:rPr>
        <w:t>illion wor</w:t>
      </w:r>
      <w:r w:rsidR="00185F40" w:rsidRPr="00190DC4">
        <w:rPr>
          <w:sz w:val="20"/>
        </w:rPr>
        <w:t xml:space="preserve">th of </w:t>
      </w:r>
      <w:r w:rsidR="009928AA" w:rsidRPr="00190DC4">
        <w:rPr>
          <w:sz w:val="20"/>
        </w:rPr>
        <w:t>c</w:t>
      </w:r>
      <w:r w:rsidR="00185F40" w:rsidRPr="00190DC4">
        <w:rPr>
          <w:sz w:val="20"/>
        </w:rPr>
        <w:t>ommercial buildings, $</w:t>
      </w:r>
      <w:r w:rsidR="00190DC4" w:rsidRPr="00190DC4">
        <w:rPr>
          <w:sz w:val="20"/>
        </w:rPr>
        <w:t>1</w:t>
      </w:r>
      <w:r w:rsidR="00C33B4C" w:rsidRPr="00190DC4">
        <w:rPr>
          <w:sz w:val="20"/>
        </w:rPr>
        <w:t>.</w:t>
      </w:r>
      <w:r w:rsidR="00190DC4" w:rsidRPr="00190DC4">
        <w:rPr>
          <w:sz w:val="20"/>
        </w:rPr>
        <w:t>2</w:t>
      </w:r>
      <w:r w:rsidR="00321043" w:rsidRPr="00190DC4">
        <w:rPr>
          <w:sz w:val="20"/>
        </w:rPr>
        <w:t xml:space="preserve"> </w:t>
      </w:r>
      <w:r w:rsidR="00C33B4C" w:rsidRPr="00190DC4">
        <w:rPr>
          <w:sz w:val="20"/>
        </w:rPr>
        <w:t>b</w:t>
      </w:r>
      <w:r w:rsidR="00321043" w:rsidRPr="00190DC4">
        <w:rPr>
          <w:sz w:val="20"/>
        </w:rPr>
        <w:t>illion</w:t>
      </w:r>
      <w:r w:rsidR="00C33B4C" w:rsidRPr="00190DC4">
        <w:rPr>
          <w:sz w:val="20"/>
        </w:rPr>
        <w:t xml:space="preserve"> of </w:t>
      </w:r>
      <w:r w:rsidR="009928AA" w:rsidRPr="00190DC4">
        <w:rPr>
          <w:sz w:val="20"/>
        </w:rPr>
        <w:t>i</w:t>
      </w:r>
      <w:r w:rsidR="00C33B4C" w:rsidRPr="00190DC4">
        <w:rPr>
          <w:sz w:val="20"/>
        </w:rPr>
        <w:t>ndustrial building</w:t>
      </w:r>
      <w:r w:rsidR="00BA4E8B">
        <w:rPr>
          <w:sz w:val="20"/>
        </w:rPr>
        <w:t>s</w:t>
      </w:r>
      <w:r w:rsidR="00C33B4C" w:rsidRPr="00190DC4">
        <w:rPr>
          <w:sz w:val="20"/>
        </w:rPr>
        <w:t xml:space="preserve"> and $</w:t>
      </w:r>
      <w:r w:rsidR="00190DC4" w:rsidRPr="00190DC4">
        <w:rPr>
          <w:sz w:val="20"/>
        </w:rPr>
        <w:t>3</w:t>
      </w:r>
      <w:r w:rsidR="00185F40" w:rsidRPr="00190DC4">
        <w:rPr>
          <w:sz w:val="20"/>
        </w:rPr>
        <w:t>.</w:t>
      </w:r>
      <w:r w:rsidR="00190DC4" w:rsidRPr="00190DC4">
        <w:rPr>
          <w:sz w:val="20"/>
        </w:rPr>
        <w:t>18</w:t>
      </w:r>
      <w:r w:rsidR="00185F40" w:rsidRPr="00190DC4">
        <w:rPr>
          <w:sz w:val="20"/>
        </w:rPr>
        <w:t xml:space="preserve"> b</w:t>
      </w:r>
      <w:r w:rsidR="00321043" w:rsidRPr="00190DC4">
        <w:rPr>
          <w:sz w:val="20"/>
        </w:rPr>
        <w:t>illion worth of other non-residential buildings</w:t>
      </w:r>
      <w:r w:rsidRPr="00190DC4">
        <w:rPr>
          <w:sz w:val="20"/>
        </w:rPr>
        <w:t xml:space="preserve"> (</w:t>
      </w:r>
      <w:r w:rsidR="00CB28DB">
        <w:rPr>
          <w:sz w:val="20"/>
        </w:rPr>
        <w:t>n</w:t>
      </w:r>
      <w:r w:rsidR="00190DC4" w:rsidRPr="00190DC4">
        <w:rPr>
          <w:sz w:val="20"/>
        </w:rPr>
        <w:t>ine months to March 2017</w:t>
      </w:r>
      <w:r w:rsidRPr="00190DC4">
        <w:rPr>
          <w:sz w:val="20"/>
        </w:rPr>
        <w:t>).</w:t>
      </w:r>
    </w:p>
    <w:p w:rsidR="001C35C3" w:rsidRPr="00190DC4" w:rsidRDefault="001C35C3" w:rsidP="002607D4">
      <w:pPr>
        <w:pStyle w:val="Appendicesnumbered"/>
        <w:jc w:val="both"/>
      </w:pPr>
      <w:r w:rsidRPr="00190DC4">
        <w:t>HOUSING – SUPPLY AND PRICES</w:t>
      </w:r>
    </w:p>
    <w:p w:rsidR="00F07DB1" w:rsidRPr="00190DC4" w:rsidRDefault="00321043" w:rsidP="002607D4">
      <w:pPr>
        <w:pStyle w:val="ListParagraph"/>
        <w:numPr>
          <w:ilvl w:val="0"/>
          <w:numId w:val="5"/>
        </w:numPr>
        <w:tabs>
          <w:tab w:val="left" w:pos="426"/>
        </w:tabs>
        <w:spacing w:before="240" w:after="120"/>
        <w:ind w:left="425" w:hanging="425"/>
        <w:jc w:val="both"/>
        <w:rPr>
          <w:sz w:val="20"/>
        </w:rPr>
      </w:pPr>
      <w:r w:rsidRPr="00190DC4">
        <w:rPr>
          <w:sz w:val="20"/>
        </w:rPr>
        <w:t>The median sales price of a detached home</w:t>
      </w:r>
      <w:r w:rsidR="007A2194" w:rsidRPr="00190DC4">
        <w:rPr>
          <w:sz w:val="20"/>
        </w:rPr>
        <w:t xml:space="preserve"> exceeded </w:t>
      </w:r>
      <w:r w:rsidR="00C83306" w:rsidRPr="00190DC4">
        <w:rPr>
          <w:sz w:val="20"/>
        </w:rPr>
        <w:t>one</w:t>
      </w:r>
      <w:r w:rsidR="007A2194" w:rsidRPr="00190DC4">
        <w:rPr>
          <w:sz w:val="20"/>
        </w:rPr>
        <w:t xml:space="preserve"> million dollars across </w:t>
      </w:r>
      <w:r w:rsidR="00B33F58">
        <w:rPr>
          <w:sz w:val="20"/>
        </w:rPr>
        <w:t>10</w:t>
      </w:r>
      <w:r w:rsidR="00296B56" w:rsidRPr="00190DC4">
        <w:rPr>
          <w:sz w:val="20"/>
        </w:rPr>
        <w:t xml:space="preserve"> </w:t>
      </w:r>
      <w:r w:rsidRPr="00190DC4">
        <w:rPr>
          <w:sz w:val="20"/>
        </w:rPr>
        <w:t xml:space="preserve">local government areas in Melbourne </w:t>
      </w:r>
      <w:r w:rsidR="007A2194" w:rsidRPr="00190DC4">
        <w:rPr>
          <w:sz w:val="20"/>
        </w:rPr>
        <w:t>i</w:t>
      </w:r>
      <w:r w:rsidR="00185F40" w:rsidRPr="00190DC4">
        <w:rPr>
          <w:sz w:val="20"/>
        </w:rPr>
        <w:t>n 201</w:t>
      </w:r>
      <w:r w:rsidR="00C33B4C" w:rsidRPr="00190DC4">
        <w:rPr>
          <w:sz w:val="20"/>
        </w:rPr>
        <w:t>6</w:t>
      </w:r>
      <w:r w:rsidR="000002C4" w:rsidRPr="00190DC4">
        <w:rPr>
          <w:sz w:val="20"/>
        </w:rPr>
        <w:t>.</w:t>
      </w:r>
    </w:p>
    <w:p w:rsidR="00F07DB1" w:rsidRPr="00190DC4" w:rsidRDefault="00F07DB1" w:rsidP="002607D4">
      <w:pPr>
        <w:pStyle w:val="ListParagraph"/>
        <w:numPr>
          <w:ilvl w:val="0"/>
          <w:numId w:val="5"/>
        </w:numPr>
        <w:tabs>
          <w:tab w:val="left" w:pos="426"/>
        </w:tabs>
        <w:spacing w:before="240" w:after="120"/>
        <w:ind w:left="425" w:hanging="425"/>
        <w:jc w:val="both"/>
        <w:rPr>
          <w:sz w:val="20"/>
        </w:rPr>
      </w:pPr>
      <w:r w:rsidRPr="00190DC4">
        <w:rPr>
          <w:sz w:val="20"/>
        </w:rPr>
        <w:t>Prices were more affordable for semi-detached dwellings and units. Also</w:t>
      </w:r>
      <w:r w:rsidR="00591DB5" w:rsidRPr="00190DC4">
        <w:rPr>
          <w:sz w:val="20"/>
        </w:rPr>
        <w:t>,</w:t>
      </w:r>
      <w:r w:rsidRPr="00190DC4">
        <w:rPr>
          <w:sz w:val="20"/>
        </w:rPr>
        <w:t xml:space="preserve"> in </w:t>
      </w:r>
      <w:r w:rsidR="00133B2E" w:rsidRPr="00190DC4">
        <w:rPr>
          <w:sz w:val="20"/>
        </w:rPr>
        <w:t>many</w:t>
      </w:r>
      <w:r w:rsidRPr="00190DC4">
        <w:rPr>
          <w:sz w:val="20"/>
        </w:rPr>
        <w:t xml:space="preserve"> rural areas prices remain more affordable than metropolitan areas.</w:t>
      </w:r>
    </w:p>
    <w:p w:rsidR="00CF5153" w:rsidRPr="00190DC4" w:rsidRDefault="00690B60" w:rsidP="002607D4">
      <w:pPr>
        <w:pStyle w:val="ListParagraph"/>
        <w:numPr>
          <w:ilvl w:val="0"/>
          <w:numId w:val="5"/>
        </w:numPr>
        <w:tabs>
          <w:tab w:val="left" w:pos="426"/>
        </w:tabs>
        <w:spacing w:before="240" w:after="120"/>
        <w:ind w:left="425" w:hanging="425"/>
        <w:jc w:val="both"/>
        <w:rPr>
          <w:sz w:val="20"/>
        </w:rPr>
      </w:pPr>
      <w:r w:rsidRPr="00190DC4">
        <w:rPr>
          <w:sz w:val="20"/>
        </w:rPr>
        <w:t>Median r</w:t>
      </w:r>
      <w:r w:rsidR="00F30272" w:rsidRPr="00190DC4">
        <w:rPr>
          <w:sz w:val="20"/>
        </w:rPr>
        <w:t>ent prices for metropolitan</w:t>
      </w:r>
      <w:r w:rsidR="00F07DB1" w:rsidRPr="00190DC4">
        <w:rPr>
          <w:sz w:val="20"/>
        </w:rPr>
        <w:t xml:space="preserve"> Melbourne ra</w:t>
      </w:r>
      <w:r w:rsidR="008703C3" w:rsidRPr="00190DC4">
        <w:rPr>
          <w:sz w:val="20"/>
        </w:rPr>
        <w:t>nged from $34</w:t>
      </w:r>
      <w:r w:rsidR="00F238A7" w:rsidRPr="00190DC4">
        <w:rPr>
          <w:sz w:val="20"/>
        </w:rPr>
        <w:t>0 for a one</w:t>
      </w:r>
      <w:r w:rsidR="00591DB5" w:rsidRPr="00190DC4">
        <w:rPr>
          <w:sz w:val="20"/>
        </w:rPr>
        <w:t>-</w:t>
      </w:r>
      <w:r w:rsidR="00F238A7" w:rsidRPr="00190DC4">
        <w:rPr>
          <w:sz w:val="20"/>
        </w:rPr>
        <w:t>bedroom flat to $4</w:t>
      </w:r>
      <w:r w:rsidR="00190DC4" w:rsidRPr="00190DC4">
        <w:rPr>
          <w:sz w:val="20"/>
        </w:rPr>
        <w:t>40</w:t>
      </w:r>
      <w:r w:rsidR="002D25B8" w:rsidRPr="00190DC4">
        <w:rPr>
          <w:sz w:val="20"/>
        </w:rPr>
        <w:t xml:space="preserve"> </w:t>
      </w:r>
      <w:r w:rsidR="00F07DB1" w:rsidRPr="00190DC4">
        <w:rPr>
          <w:sz w:val="20"/>
        </w:rPr>
        <w:t>for</w:t>
      </w:r>
      <w:r w:rsidR="00932482" w:rsidRPr="00190DC4">
        <w:rPr>
          <w:sz w:val="20"/>
        </w:rPr>
        <w:t xml:space="preserve"> a</w:t>
      </w:r>
      <w:r w:rsidR="000348E1" w:rsidRPr="00190DC4">
        <w:rPr>
          <w:sz w:val="20"/>
        </w:rPr>
        <w:t xml:space="preserve"> </w:t>
      </w:r>
      <w:r w:rsidR="00190DC4" w:rsidRPr="00190DC4">
        <w:rPr>
          <w:sz w:val="20"/>
        </w:rPr>
        <w:t>three</w:t>
      </w:r>
      <w:r w:rsidR="000348E1" w:rsidRPr="00190DC4">
        <w:rPr>
          <w:sz w:val="20"/>
        </w:rPr>
        <w:t>-</w:t>
      </w:r>
      <w:r w:rsidR="00190DC4" w:rsidRPr="00190DC4">
        <w:rPr>
          <w:sz w:val="20"/>
        </w:rPr>
        <w:t>bedroom flat</w:t>
      </w:r>
      <w:r w:rsidR="00F07DB1" w:rsidRPr="00190DC4">
        <w:rPr>
          <w:sz w:val="20"/>
        </w:rPr>
        <w:t>.</w:t>
      </w:r>
      <w:r w:rsidR="00180C84" w:rsidRPr="00190DC4">
        <w:rPr>
          <w:sz w:val="20"/>
        </w:rPr>
        <w:t xml:space="preserve">  However, t</w:t>
      </w:r>
      <w:r w:rsidR="00F07DB1" w:rsidRPr="00190DC4">
        <w:rPr>
          <w:sz w:val="20"/>
        </w:rPr>
        <w:t>her</w:t>
      </w:r>
      <w:r w:rsidR="00133B2E" w:rsidRPr="00190DC4">
        <w:rPr>
          <w:sz w:val="20"/>
        </w:rPr>
        <w:t>e was</w:t>
      </w:r>
      <w:r w:rsidR="00180C84" w:rsidRPr="00190DC4">
        <w:rPr>
          <w:sz w:val="20"/>
        </w:rPr>
        <w:t xml:space="preserve"> a</w:t>
      </w:r>
      <w:r w:rsidR="00133B2E" w:rsidRPr="00190DC4">
        <w:rPr>
          <w:sz w:val="20"/>
        </w:rPr>
        <w:t xml:space="preserve"> large variation at the </w:t>
      </w:r>
      <w:r w:rsidR="000348E1" w:rsidRPr="00190DC4">
        <w:rPr>
          <w:sz w:val="20"/>
        </w:rPr>
        <w:t>l</w:t>
      </w:r>
      <w:r w:rsidR="00133B2E" w:rsidRPr="00190DC4">
        <w:rPr>
          <w:sz w:val="20"/>
        </w:rPr>
        <w:t xml:space="preserve">ocal </w:t>
      </w:r>
      <w:r w:rsidR="000348E1" w:rsidRPr="00190DC4">
        <w:rPr>
          <w:sz w:val="20"/>
        </w:rPr>
        <w:t>g</w:t>
      </w:r>
      <w:r w:rsidR="00133B2E" w:rsidRPr="00190DC4">
        <w:rPr>
          <w:sz w:val="20"/>
        </w:rPr>
        <w:t>overnment</w:t>
      </w:r>
      <w:r w:rsidR="00F07DB1" w:rsidRPr="00190DC4">
        <w:rPr>
          <w:sz w:val="20"/>
        </w:rPr>
        <w:t xml:space="preserve"> level</w:t>
      </w:r>
      <w:r w:rsidR="00D14303" w:rsidRPr="00190DC4">
        <w:rPr>
          <w:sz w:val="20"/>
        </w:rPr>
        <w:t>,</w:t>
      </w:r>
      <w:r w:rsidR="00F07DB1" w:rsidRPr="00190DC4">
        <w:rPr>
          <w:sz w:val="20"/>
        </w:rPr>
        <w:t xml:space="preserve"> based on the proximity to the city of the rental property.</w:t>
      </w:r>
    </w:p>
    <w:p w:rsidR="00172F48" w:rsidRPr="00190DC4" w:rsidRDefault="00172F48" w:rsidP="000002C4">
      <w:pPr>
        <w:pStyle w:val="ListParagraph"/>
        <w:numPr>
          <w:ilvl w:val="0"/>
          <w:numId w:val="5"/>
        </w:numPr>
        <w:tabs>
          <w:tab w:val="left" w:pos="426"/>
        </w:tabs>
        <w:spacing w:before="240" w:after="120"/>
        <w:ind w:left="425" w:hanging="425"/>
        <w:jc w:val="both"/>
        <w:rPr>
          <w:sz w:val="20"/>
        </w:rPr>
      </w:pPr>
      <w:r w:rsidRPr="00190DC4">
        <w:rPr>
          <w:sz w:val="20"/>
        </w:rPr>
        <w:t>The number of rental bon</w:t>
      </w:r>
      <w:r w:rsidR="00B33F58">
        <w:rPr>
          <w:sz w:val="20"/>
        </w:rPr>
        <w:t>ds has increased over the past five</w:t>
      </w:r>
      <w:r w:rsidRPr="00190DC4">
        <w:rPr>
          <w:sz w:val="20"/>
        </w:rPr>
        <w:t xml:space="preserve"> years at </w:t>
      </w:r>
      <w:r w:rsidR="00C83306" w:rsidRPr="00190DC4">
        <w:rPr>
          <w:sz w:val="20"/>
        </w:rPr>
        <w:t xml:space="preserve">a </w:t>
      </w:r>
      <w:r w:rsidRPr="00190DC4">
        <w:rPr>
          <w:sz w:val="20"/>
        </w:rPr>
        <w:t>rate much faster than household formation</w:t>
      </w:r>
      <w:r w:rsidR="00FA233C" w:rsidRPr="00190DC4">
        <w:rPr>
          <w:sz w:val="20"/>
        </w:rPr>
        <w:t>. This suggest</w:t>
      </w:r>
      <w:r w:rsidR="00BA4E8B">
        <w:rPr>
          <w:sz w:val="20"/>
        </w:rPr>
        <w:t>s</w:t>
      </w:r>
      <w:r w:rsidR="00FA233C" w:rsidRPr="00190DC4">
        <w:rPr>
          <w:sz w:val="20"/>
        </w:rPr>
        <w:t xml:space="preserve"> more households are renting and that the percentage of households owning their own home has continued to fall. </w:t>
      </w:r>
    </w:p>
    <w:p w:rsidR="00180C84" w:rsidRPr="00E45DAF" w:rsidRDefault="00A570F0" w:rsidP="000002C4">
      <w:pPr>
        <w:pStyle w:val="ListParagraph"/>
        <w:numPr>
          <w:ilvl w:val="0"/>
          <w:numId w:val="5"/>
        </w:numPr>
        <w:tabs>
          <w:tab w:val="left" w:pos="426"/>
        </w:tabs>
        <w:spacing w:before="240" w:after="120"/>
        <w:ind w:left="425" w:hanging="425"/>
        <w:jc w:val="both"/>
        <w:rPr>
          <w:sz w:val="20"/>
        </w:rPr>
      </w:pPr>
      <w:r w:rsidRPr="00E45DAF">
        <w:rPr>
          <w:sz w:val="20"/>
        </w:rPr>
        <w:t xml:space="preserve">Housing lots in Melbourne’s </w:t>
      </w:r>
      <w:proofErr w:type="spellStart"/>
      <w:r w:rsidR="00B33F58">
        <w:rPr>
          <w:sz w:val="20"/>
        </w:rPr>
        <w:t>g</w:t>
      </w:r>
      <w:r w:rsidR="00C83306" w:rsidRPr="00E45DAF">
        <w:rPr>
          <w:sz w:val="20"/>
        </w:rPr>
        <w:t>reenfields</w:t>
      </w:r>
      <w:proofErr w:type="spellEnd"/>
      <w:r w:rsidR="00C83306" w:rsidRPr="00E45DAF">
        <w:rPr>
          <w:sz w:val="20"/>
        </w:rPr>
        <w:t xml:space="preserve"> </w:t>
      </w:r>
      <w:r w:rsidRPr="00E45DAF">
        <w:rPr>
          <w:sz w:val="20"/>
        </w:rPr>
        <w:t>have been selling in record number</w:t>
      </w:r>
      <w:r w:rsidR="00F238A7" w:rsidRPr="00E45DAF">
        <w:rPr>
          <w:sz w:val="20"/>
        </w:rPr>
        <w:t>s</w:t>
      </w:r>
      <w:r w:rsidR="000348E1" w:rsidRPr="00E45DAF">
        <w:rPr>
          <w:sz w:val="20"/>
        </w:rPr>
        <w:t>,</w:t>
      </w:r>
      <w:r w:rsidR="00F238A7" w:rsidRPr="00E45DAF">
        <w:rPr>
          <w:sz w:val="20"/>
        </w:rPr>
        <w:t xml:space="preserve"> with </w:t>
      </w:r>
      <w:r w:rsidR="000348E1" w:rsidRPr="00E45DAF">
        <w:rPr>
          <w:sz w:val="20"/>
        </w:rPr>
        <w:t xml:space="preserve">more than </w:t>
      </w:r>
      <w:r w:rsidR="008703C3" w:rsidRPr="00E45DAF">
        <w:rPr>
          <w:sz w:val="20"/>
        </w:rPr>
        <w:t>2</w:t>
      </w:r>
      <w:r w:rsidR="00E45DAF" w:rsidRPr="00E45DAF">
        <w:rPr>
          <w:sz w:val="20"/>
        </w:rPr>
        <w:t>4</w:t>
      </w:r>
      <w:r w:rsidRPr="00E45DAF">
        <w:rPr>
          <w:sz w:val="20"/>
        </w:rPr>
        <w:t>,</w:t>
      </w:r>
      <w:r w:rsidR="00A20757" w:rsidRPr="00E45DAF">
        <w:rPr>
          <w:sz w:val="20"/>
        </w:rPr>
        <w:t>0</w:t>
      </w:r>
      <w:r w:rsidRPr="00E45DAF">
        <w:rPr>
          <w:sz w:val="20"/>
        </w:rPr>
        <w:t xml:space="preserve">00 sales in the </w:t>
      </w:r>
      <w:r w:rsidR="00A20757" w:rsidRPr="00E45DAF">
        <w:rPr>
          <w:sz w:val="20"/>
        </w:rPr>
        <w:t xml:space="preserve">past </w:t>
      </w:r>
      <w:r w:rsidR="000348E1" w:rsidRPr="00E45DAF">
        <w:rPr>
          <w:sz w:val="20"/>
        </w:rPr>
        <w:t>four</w:t>
      </w:r>
      <w:r w:rsidR="00A20757" w:rsidRPr="00E45DAF">
        <w:rPr>
          <w:sz w:val="20"/>
        </w:rPr>
        <w:t xml:space="preserve"> quarters; averaging </w:t>
      </w:r>
      <w:r w:rsidR="008703C3" w:rsidRPr="00E45DAF">
        <w:rPr>
          <w:sz w:val="20"/>
        </w:rPr>
        <w:t xml:space="preserve">over </w:t>
      </w:r>
      <w:r w:rsidR="00E45DAF" w:rsidRPr="00E45DAF">
        <w:rPr>
          <w:sz w:val="20"/>
        </w:rPr>
        <w:t>65</w:t>
      </w:r>
      <w:r w:rsidRPr="00E45DAF">
        <w:rPr>
          <w:sz w:val="20"/>
        </w:rPr>
        <w:t xml:space="preserve"> sales per day. </w:t>
      </w:r>
      <w:r w:rsidR="00133B2E" w:rsidRPr="00E45DAF">
        <w:rPr>
          <w:sz w:val="20"/>
        </w:rPr>
        <w:t xml:space="preserve"> </w:t>
      </w:r>
      <w:r w:rsidRPr="00E45DAF">
        <w:rPr>
          <w:sz w:val="20"/>
        </w:rPr>
        <w:t xml:space="preserve">The Melbourne </w:t>
      </w:r>
      <w:proofErr w:type="spellStart"/>
      <w:r w:rsidR="00B33F58">
        <w:rPr>
          <w:sz w:val="20"/>
        </w:rPr>
        <w:t>greenfields</w:t>
      </w:r>
      <w:proofErr w:type="spellEnd"/>
      <w:r w:rsidR="00C83306" w:rsidRPr="00E45DAF">
        <w:rPr>
          <w:sz w:val="20"/>
        </w:rPr>
        <w:t xml:space="preserve"> </w:t>
      </w:r>
      <w:r w:rsidRPr="00E45DAF">
        <w:rPr>
          <w:sz w:val="20"/>
        </w:rPr>
        <w:t>market is clearly the strongest in Australia.</w:t>
      </w:r>
      <w:r w:rsidR="00180C84" w:rsidRPr="00E45DAF">
        <w:rPr>
          <w:sz w:val="20"/>
        </w:rPr>
        <w:t xml:space="preserve">  </w:t>
      </w:r>
    </w:p>
    <w:p w:rsidR="00A570F0" w:rsidRPr="00E45DAF" w:rsidRDefault="00180C84" w:rsidP="000002C4">
      <w:pPr>
        <w:pStyle w:val="ListParagraph"/>
        <w:numPr>
          <w:ilvl w:val="0"/>
          <w:numId w:val="5"/>
        </w:numPr>
        <w:tabs>
          <w:tab w:val="left" w:pos="426"/>
        </w:tabs>
        <w:spacing w:before="240" w:after="120"/>
        <w:ind w:left="425" w:hanging="425"/>
        <w:jc w:val="both"/>
        <w:rPr>
          <w:sz w:val="20"/>
        </w:rPr>
      </w:pPr>
      <w:r w:rsidRPr="00E45DAF">
        <w:rPr>
          <w:sz w:val="20"/>
        </w:rPr>
        <w:t>S</w:t>
      </w:r>
      <w:r w:rsidR="00A570F0" w:rsidRPr="00E45DAF">
        <w:rPr>
          <w:sz w:val="20"/>
        </w:rPr>
        <w:t>trong sales</w:t>
      </w:r>
      <w:r w:rsidR="00D14303" w:rsidRPr="00E45DAF">
        <w:rPr>
          <w:sz w:val="20"/>
        </w:rPr>
        <w:t xml:space="preserve"> have</w:t>
      </w:r>
      <w:r w:rsidRPr="00E45DAF">
        <w:rPr>
          <w:sz w:val="20"/>
        </w:rPr>
        <w:t xml:space="preserve"> resulted in</w:t>
      </w:r>
      <w:r w:rsidR="00A570F0" w:rsidRPr="00E45DAF">
        <w:rPr>
          <w:sz w:val="20"/>
        </w:rPr>
        <w:t xml:space="preserve"> </w:t>
      </w:r>
      <w:r w:rsidR="00CA3773" w:rsidRPr="00E45DAF">
        <w:rPr>
          <w:sz w:val="20"/>
        </w:rPr>
        <w:t xml:space="preserve">a reduction in </w:t>
      </w:r>
      <w:r w:rsidR="00A570F0" w:rsidRPr="00E45DAF">
        <w:rPr>
          <w:sz w:val="20"/>
        </w:rPr>
        <w:t xml:space="preserve">the supply of lots on the </w:t>
      </w:r>
      <w:r w:rsidR="00D3280A" w:rsidRPr="00E45DAF">
        <w:rPr>
          <w:sz w:val="20"/>
        </w:rPr>
        <w:t xml:space="preserve">market, </w:t>
      </w:r>
      <w:r w:rsidR="008703C3" w:rsidRPr="00E45DAF">
        <w:rPr>
          <w:sz w:val="20"/>
        </w:rPr>
        <w:t>with less</w:t>
      </w:r>
      <w:r w:rsidR="00A570F0" w:rsidRPr="00E45DAF">
        <w:rPr>
          <w:sz w:val="20"/>
        </w:rPr>
        <w:t xml:space="preserve"> than </w:t>
      </w:r>
      <w:r w:rsidRPr="00E45DAF">
        <w:rPr>
          <w:sz w:val="20"/>
        </w:rPr>
        <w:t>a month’s supply on the market.</w:t>
      </w:r>
    </w:p>
    <w:p w:rsidR="00A570F0" w:rsidRPr="00BC410C" w:rsidRDefault="008703C3" w:rsidP="002607D4">
      <w:pPr>
        <w:pStyle w:val="ListParagraph"/>
        <w:numPr>
          <w:ilvl w:val="0"/>
          <w:numId w:val="5"/>
        </w:numPr>
        <w:tabs>
          <w:tab w:val="left" w:pos="426"/>
        </w:tabs>
        <w:spacing w:before="240" w:after="120"/>
        <w:ind w:left="425" w:hanging="425"/>
        <w:jc w:val="both"/>
        <w:rPr>
          <w:sz w:val="20"/>
        </w:rPr>
      </w:pPr>
      <w:r w:rsidRPr="00E45DAF">
        <w:rPr>
          <w:sz w:val="20"/>
        </w:rPr>
        <w:t>The median price for a l</w:t>
      </w:r>
      <w:r w:rsidR="00A570F0" w:rsidRPr="00E45DAF">
        <w:rPr>
          <w:sz w:val="20"/>
        </w:rPr>
        <w:t xml:space="preserve">ot in Melbourne’s </w:t>
      </w:r>
      <w:proofErr w:type="spellStart"/>
      <w:r w:rsidR="00B33F58">
        <w:rPr>
          <w:sz w:val="20"/>
        </w:rPr>
        <w:t>g</w:t>
      </w:r>
      <w:r w:rsidR="00C83306" w:rsidRPr="00E45DAF">
        <w:rPr>
          <w:sz w:val="20"/>
        </w:rPr>
        <w:t>reenfields</w:t>
      </w:r>
      <w:proofErr w:type="spellEnd"/>
      <w:r w:rsidR="00C83306" w:rsidRPr="00E45DAF">
        <w:rPr>
          <w:sz w:val="20"/>
        </w:rPr>
        <w:t xml:space="preserve"> </w:t>
      </w:r>
      <w:r w:rsidRPr="00E45DAF">
        <w:rPr>
          <w:sz w:val="20"/>
        </w:rPr>
        <w:t>ha</w:t>
      </w:r>
      <w:r w:rsidR="00172F48" w:rsidRPr="00E45DAF">
        <w:rPr>
          <w:sz w:val="20"/>
        </w:rPr>
        <w:t>s</w:t>
      </w:r>
      <w:r w:rsidRPr="00E45DAF">
        <w:rPr>
          <w:sz w:val="20"/>
        </w:rPr>
        <w:t xml:space="preserve"> increased</w:t>
      </w:r>
      <w:r w:rsidR="00A570F0" w:rsidRPr="00E45DAF">
        <w:rPr>
          <w:sz w:val="20"/>
        </w:rPr>
        <w:t xml:space="preserve"> </w:t>
      </w:r>
      <w:r w:rsidRPr="00E45DAF">
        <w:rPr>
          <w:sz w:val="20"/>
        </w:rPr>
        <w:t xml:space="preserve">to </w:t>
      </w:r>
      <w:r w:rsidR="00F238A7" w:rsidRPr="00E45DAF">
        <w:rPr>
          <w:sz w:val="20"/>
        </w:rPr>
        <w:t>$</w:t>
      </w:r>
      <w:r w:rsidRPr="00E45DAF">
        <w:rPr>
          <w:sz w:val="20"/>
        </w:rPr>
        <w:t>2</w:t>
      </w:r>
      <w:r w:rsidR="00E45DAF" w:rsidRPr="00E45DAF">
        <w:rPr>
          <w:sz w:val="20"/>
        </w:rPr>
        <w:t>52</w:t>
      </w:r>
      <w:r w:rsidR="00A570F0" w:rsidRPr="00E45DAF">
        <w:rPr>
          <w:sz w:val="20"/>
        </w:rPr>
        <w:t>,</w:t>
      </w:r>
      <w:r w:rsidR="002D25B8" w:rsidRPr="00E45DAF">
        <w:rPr>
          <w:sz w:val="20"/>
        </w:rPr>
        <w:t>000</w:t>
      </w:r>
      <w:r w:rsidR="00A570F0" w:rsidRPr="00E45DAF">
        <w:rPr>
          <w:sz w:val="20"/>
        </w:rPr>
        <w:t xml:space="preserve"> </w:t>
      </w:r>
      <w:r w:rsidRPr="00E45DAF">
        <w:rPr>
          <w:sz w:val="20"/>
        </w:rPr>
        <w:t xml:space="preserve">at the end of </w:t>
      </w:r>
      <w:r w:rsidR="00A570F0" w:rsidRPr="00E45DAF">
        <w:rPr>
          <w:sz w:val="20"/>
        </w:rPr>
        <w:t>201</w:t>
      </w:r>
      <w:r w:rsidR="00A20757" w:rsidRPr="00E45DAF">
        <w:rPr>
          <w:sz w:val="20"/>
        </w:rPr>
        <w:t>6</w:t>
      </w:r>
      <w:r w:rsidR="00A570F0" w:rsidRPr="00E45DAF">
        <w:rPr>
          <w:sz w:val="20"/>
        </w:rPr>
        <w:t>.</w:t>
      </w:r>
      <w:r w:rsidR="00E45DAF" w:rsidRPr="00E45DAF">
        <w:rPr>
          <w:sz w:val="20"/>
        </w:rPr>
        <w:t xml:space="preserve"> This is an increase of $3</w:t>
      </w:r>
      <w:r w:rsidRPr="00E45DAF">
        <w:rPr>
          <w:sz w:val="20"/>
        </w:rPr>
        <w:t>4,000 per lot in a year</w:t>
      </w:r>
      <w:r w:rsidR="00E45DAF" w:rsidRPr="00E45DAF">
        <w:rPr>
          <w:sz w:val="20"/>
        </w:rPr>
        <w:t xml:space="preserve"> (over $90 </w:t>
      </w:r>
      <w:r w:rsidR="00E45DAF" w:rsidRPr="00BC410C">
        <w:rPr>
          <w:sz w:val="20"/>
        </w:rPr>
        <w:t>each day)</w:t>
      </w:r>
      <w:r w:rsidRPr="00BC410C">
        <w:rPr>
          <w:sz w:val="20"/>
        </w:rPr>
        <w:t>.</w:t>
      </w:r>
    </w:p>
    <w:p w:rsidR="001C35C3" w:rsidRPr="00BC410C" w:rsidRDefault="001C35C3" w:rsidP="002607D4">
      <w:pPr>
        <w:pStyle w:val="Appendicesnumbered"/>
        <w:jc w:val="both"/>
      </w:pPr>
      <w:r w:rsidRPr="00BC410C">
        <w:t>ECONOMIC – EMPLOYMENT</w:t>
      </w:r>
    </w:p>
    <w:p w:rsidR="00CF5153" w:rsidRPr="00BC410C" w:rsidRDefault="002D7483" w:rsidP="0039729C">
      <w:pPr>
        <w:pStyle w:val="ListParagraph"/>
        <w:numPr>
          <w:ilvl w:val="0"/>
          <w:numId w:val="5"/>
        </w:numPr>
        <w:tabs>
          <w:tab w:val="left" w:pos="426"/>
        </w:tabs>
        <w:spacing w:before="240" w:after="120"/>
        <w:ind w:left="425" w:hanging="425"/>
        <w:jc w:val="both"/>
        <w:rPr>
          <w:sz w:val="20"/>
        </w:rPr>
      </w:pPr>
      <w:r w:rsidRPr="00BC410C">
        <w:rPr>
          <w:sz w:val="20"/>
        </w:rPr>
        <w:t xml:space="preserve">The latest ABS labour force data </w:t>
      </w:r>
      <w:r w:rsidR="002D25B8" w:rsidRPr="00BC410C">
        <w:rPr>
          <w:sz w:val="20"/>
        </w:rPr>
        <w:t>(</w:t>
      </w:r>
      <w:r w:rsidR="00E45DAF" w:rsidRPr="00BC410C">
        <w:rPr>
          <w:sz w:val="20"/>
        </w:rPr>
        <w:t>April</w:t>
      </w:r>
      <w:r w:rsidR="008703C3" w:rsidRPr="00BC410C">
        <w:rPr>
          <w:sz w:val="20"/>
        </w:rPr>
        <w:t xml:space="preserve"> </w:t>
      </w:r>
      <w:r w:rsidR="00D14303" w:rsidRPr="00BC410C">
        <w:rPr>
          <w:sz w:val="20"/>
        </w:rPr>
        <w:t>201</w:t>
      </w:r>
      <w:r w:rsidR="008703C3" w:rsidRPr="00BC410C">
        <w:rPr>
          <w:sz w:val="20"/>
        </w:rPr>
        <w:t>7</w:t>
      </w:r>
      <w:r w:rsidR="00D14303" w:rsidRPr="00BC410C">
        <w:rPr>
          <w:sz w:val="20"/>
        </w:rPr>
        <w:t>) estimates</w:t>
      </w:r>
      <w:r w:rsidRPr="00BC410C">
        <w:rPr>
          <w:sz w:val="20"/>
        </w:rPr>
        <w:t xml:space="preserve"> Victoria’s </w:t>
      </w:r>
      <w:r w:rsidR="000348E1" w:rsidRPr="00BC410C">
        <w:rPr>
          <w:sz w:val="20"/>
        </w:rPr>
        <w:t>u</w:t>
      </w:r>
      <w:r w:rsidR="00E45DAF" w:rsidRPr="00BC410C">
        <w:rPr>
          <w:sz w:val="20"/>
        </w:rPr>
        <w:t>nemployment rate at 6.1</w:t>
      </w:r>
      <w:r w:rsidRPr="00BC410C">
        <w:rPr>
          <w:sz w:val="20"/>
        </w:rPr>
        <w:t>% having</w:t>
      </w:r>
      <w:r w:rsidR="00E45DAF" w:rsidRPr="00BC410C">
        <w:rPr>
          <w:sz w:val="20"/>
        </w:rPr>
        <w:t xml:space="preserve"> stayed relatively stable for the past two years</w:t>
      </w:r>
      <w:r w:rsidRPr="00BC410C">
        <w:rPr>
          <w:sz w:val="20"/>
        </w:rPr>
        <w:t xml:space="preserve">. </w:t>
      </w:r>
      <w:r w:rsidR="00CF5153" w:rsidRPr="00BC410C">
        <w:rPr>
          <w:sz w:val="20"/>
        </w:rPr>
        <w:t>The unemployment is not evenly spread</w:t>
      </w:r>
      <w:r w:rsidR="000348E1" w:rsidRPr="00BC410C">
        <w:rPr>
          <w:sz w:val="20"/>
        </w:rPr>
        <w:t>,</w:t>
      </w:r>
      <w:r w:rsidR="00CF5153" w:rsidRPr="00BC410C">
        <w:rPr>
          <w:sz w:val="20"/>
        </w:rPr>
        <w:t xml:space="preserve"> with </w:t>
      </w:r>
      <w:r w:rsidR="0039729C" w:rsidRPr="00BC410C">
        <w:rPr>
          <w:sz w:val="20"/>
        </w:rPr>
        <w:t>Nillumbik havin</w:t>
      </w:r>
      <w:r w:rsidR="008703C3" w:rsidRPr="00BC410C">
        <w:rPr>
          <w:sz w:val="20"/>
        </w:rPr>
        <w:t>g the lowest unemployment at 2</w:t>
      </w:r>
      <w:r w:rsidR="00BC410C" w:rsidRPr="00BC410C">
        <w:rPr>
          <w:sz w:val="20"/>
        </w:rPr>
        <w:t>.1</w:t>
      </w:r>
      <w:r w:rsidR="0039729C" w:rsidRPr="00BC410C">
        <w:rPr>
          <w:sz w:val="20"/>
        </w:rPr>
        <w:t xml:space="preserve">% </w:t>
      </w:r>
      <w:r w:rsidR="000819F4" w:rsidRPr="00BC410C">
        <w:rPr>
          <w:sz w:val="20"/>
        </w:rPr>
        <w:t>and</w:t>
      </w:r>
      <w:r w:rsidR="0039729C" w:rsidRPr="00BC410C">
        <w:rPr>
          <w:sz w:val="20"/>
        </w:rPr>
        <w:t xml:space="preserve"> </w:t>
      </w:r>
      <w:r w:rsidR="00BC410C" w:rsidRPr="00BC410C">
        <w:rPr>
          <w:sz w:val="20"/>
        </w:rPr>
        <w:t>Latrobe</w:t>
      </w:r>
      <w:r w:rsidR="008703C3" w:rsidRPr="00BC410C">
        <w:rPr>
          <w:sz w:val="20"/>
        </w:rPr>
        <w:t xml:space="preserve"> </w:t>
      </w:r>
      <w:r w:rsidR="0039729C" w:rsidRPr="00BC410C">
        <w:rPr>
          <w:sz w:val="20"/>
        </w:rPr>
        <w:t>having the highest unemployment</w:t>
      </w:r>
      <w:r w:rsidR="000819F4" w:rsidRPr="00BC410C">
        <w:rPr>
          <w:sz w:val="20"/>
        </w:rPr>
        <w:t>,</w:t>
      </w:r>
      <w:r w:rsidR="008703C3" w:rsidRPr="00BC410C">
        <w:rPr>
          <w:sz w:val="20"/>
        </w:rPr>
        <w:t xml:space="preserve"> at </w:t>
      </w:r>
      <w:r w:rsidR="00E45DAF" w:rsidRPr="00BC410C">
        <w:rPr>
          <w:sz w:val="20"/>
        </w:rPr>
        <w:t xml:space="preserve">over </w:t>
      </w:r>
      <w:r w:rsidR="008703C3" w:rsidRPr="00BC410C">
        <w:rPr>
          <w:sz w:val="20"/>
        </w:rPr>
        <w:t>1</w:t>
      </w:r>
      <w:r w:rsidR="00BC410C" w:rsidRPr="00BC410C">
        <w:rPr>
          <w:sz w:val="20"/>
        </w:rPr>
        <w:t>1.</w:t>
      </w:r>
      <w:r w:rsidR="008703C3" w:rsidRPr="00BC410C">
        <w:rPr>
          <w:sz w:val="20"/>
        </w:rPr>
        <w:t>2</w:t>
      </w:r>
      <w:r w:rsidR="0039729C" w:rsidRPr="00BC410C">
        <w:rPr>
          <w:sz w:val="20"/>
        </w:rPr>
        <w:t>%.</w:t>
      </w:r>
    </w:p>
    <w:p w:rsidR="005437D0" w:rsidRPr="00BC410C" w:rsidRDefault="00356C36" w:rsidP="002607D4">
      <w:pPr>
        <w:pStyle w:val="ListParagraph"/>
        <w:numPr>
          <w:ilvl w:val="0"/>
          <w:numId w:val="5"/>
        </w:numPr>
        <w:tabs>
          <w:tab w:val="left" w:pos="426"/>
        </w:tabs>
        <w:spacing w:before="240" w:after="120"/>
        <w:ind w:left="425" w:hanging="425"/>
        <w:jc w:val="both"/>
        <w:rPr>
          <w:sz w:val="20"/>
        </w:rPr>
      </w:pPr>
      <w:r w:rsidRPr="00BC410C">
        <w:rPr>
          <w:sz w:val="20"/>
        </w:rPr>
        <w:t>There were 3</w:t>
      </w:r>
      <w:r w:rsidR="00CF5153" w:rsidRPr="00BC410C">
        <w:rPr>
          <w:sz w:val="20"/>
        </w:rPr>
        <w:t>,</w:t>
      </w:r>
      <w:r w:rsidR="00BC410C" w:rsidRPr="00BC410C">
        <w:rPr>
          <w:sz w:val="20"/>
        </w:rPr>
        <w:t>128</w:t>
      </w:r>
      <w:r w:rsidR="00CF5153" w:rsidRPr="00BC410C">
        <w:rPr>
          <w:sz w:val="20"/>
        </w:rPr>
        <w:t>,</w:t>
      </w:r>
      <w:r w:rsidR="00BC410C" w:rsidRPr="00BC410C">
        <w:rPr>
          <w:sz w:val="20"/>
        </w:rPr>
        <w:t>00</w:t>
      </w:r>
      <w:r w:rsidR="00B0327E" w:rsidRPr="00BC410C">
        <w:rPr>
          <w:sz w:val="20"/>
        </w:rPr>
        <w:t>0</w:t>
      </w:r>
      <w:r w:rsidR="00CF5153" w:rsidRPr="00BC410C">
        <w:rPr>
          <w:sz w:val="20"/>
        </w:rPr>
        <w:t xml:space="preserve"> people employed in Victoria in </w:t>
      </w:r>
      <w:r w:rsidR="00B0327E" w:rsidRPr="00BC410C">
        <w:rPr>
          <w:sz w:val="20"/>
        </w:rPr>
        <w:t>November 2016</w:t>
      </w:r>
      <w:r w:rsidR="00CF5153" w:rsidRPr="00BC410C">
        <w:rPr>
          <w:sz w:val="20"/>
        </w:rPr>
        <w:t xml:space="preserve">. The largest industry was </w:t>
      </w:r>
      <w:r w:rsidR="000A7D00" w:rsidRPr="00BC410C">
        <w:rPr>
          <w:sz w:val="20"/>
        </w:rPr>
        <w:t>h</w:t>
      </w:r>
      <w:r w:rsidR="00CF5153" w:rsidRPr="00BC410C">
        <w:rPr>
          <w:sz w:val="20"/>
        </w:rPr>
        <w:t>ea</w:t>
      </w:r>
      <w:r w:rsidR="00690B60" w:rsidRPr="00BC410C">
        <w:rPr>
          <w:sz w:val="20"/>
        </w:rPr>
        <w:t xml:space="preserve">lth </w:t>
      </w:r>
      <w:r w:rsidR="000A7D00" w:rsidRPr="00BC410C">
        <w:rPr>
          <w:sz w:val="20"/>
        </w:rPr>
        <w:t>c</w:t>
      </w:r>
      <w:r w:rsidR="00690B60" w:rsidRPr="00BC410C">
        <w:rPr>
          <w:sz w:val="20"/>
        </w:rPr>
        <w:t xml:space="preserve">are and </w:t>
      </w:r>
      <w:r w:rsidR="000A7D00" w:rsidRPr="00BC410C">
        <w:rPr>
          <w:sz w:val="20"/>
        </w:rPr>
        <w:t>s</w:t>
      </w:r>
      <w:r w:rsidR="00690B60" w:rsidRPr="00BC410C">
        <w:rPr>
          <w:sz w:val="20"/>
        </w:rPr>
        <w:t xml:space="preserve">ocial </w:t>
      </w:r>
      <w:r w:rsidR="000A7D00" w:rsidRPr="00BC410C">
        <w:rPr>
          <w:sz w:val="20"/>
        </w:rPr>
        <w:t>s</w:t>
      </w:r>
      <w:r w:rsidR="00690B60" w:rsidRPr="00BC410C">
        <w:rPr>
          <w:sz w:val="20"/>
        </w:rPr>
        <w:t>ervices</w:t>
      </w:r>
      <w:r w:rsidR="00055988" w:rsidRPr="00BC410C">
        <w:rPr>
          <w:sz w:val="20"/>
        </w:rPr>
        <w:t>, and this is growing markedly</w:t>
      </w:r>
      <w:r w:rsidR="00690B60" w:rsidRPr="00BC410C">
        <w:rPr>
          <w:sz w:val="20"/>
        </w:rPr>
        <w:t>.</w:t>
      </w:r>
    </w:p>
    <w:p w:rsidR="001C35C3" w:rsidRPr="00BA3FDE" w:rsidRDefault="002F348B" w:rsidP="001C35C3">
      <w:pPr>
        <w:pStyle w:val="Heading1"/>
        <w:rPr>
          <w:color w:val="002060"/>
          <w:sz w:val="48"/>
        </w:rPr>
      </w:pPr>
      <w:r w:rsidRPr="00BA3FDE">
        <w:rPr>
          <w:sz w:val="20"/>
        </w:rPr>
        <w:br w:type="page"/>
      </w:r>
      <w:bookmarkStart w:id="2" w:name="_Toc462905414"/>
      <w:bookmarkStart w:id="3" w:name="_Toc468959231"/>
      <w:bookmarkStart w:id="4" w:name="_Toc468972251"/>
      <w:r w:rsidR="001C35C3" w:rsidRPr="00BA3FDE">
        <w:rPr>
          <w:color w:val="002060"/>
          <w:sz w:val="48"/>
        </w:rPr>
        <w:lastRenderedPageBreak/>
        <w:t>POPULATION</w:t>
      </w:r>
      <w:bookmarkEnd w:id="2"/>
      <w:bookmarkEnd w:id="3"/>
      <w:bookmarkEnd w:id="4"/>
    </w:p>
    <w:p w:rsidR="005051E3" w:rsidRPr="009D0CB6" w:rsidRDefault="00457D55" w:rsidP="0072166A">
      <w:pPr>
        <w:pStyle w:val="Heading2numbered"/>
        <w:rPr>
          <w:color w:val="002060"/>
        </w:rPr>
      </w:pPr>
      <w:bookmarkStart w:id="5" w:name="_Toc468972252"/>
      <w:r w:rsidRPr="009D0CB6">
        <w:rPr>
          <w:color w:val="002060"/>
        </w:rPr>
        <w:t xml:space="preserve">State </w:t>
      </w:r>
      <w:r w:rsidR="005950B6">
        <w:rPr>
          <w:color w:val="002060"/>
        </w:rPr>
        <w:t>p</w:t>
      </w:r>
      <w:r w:rsidR="002533A9" w:rsidRPr="009D0CB6">
        <w:rPr>
          <w:color w:val="002060"/>
        </w:rPr>
        <w:t>opulation</w:t>
      </w:r>
      <w:bookmarkEnd w:id="0"/>
      <w:r w:rsidRPr="009D0CB6">
        <w:rPr>
          <w:color w:val="002060"/>
        </w:rPr>
        <w:t>s</w:t>
      </w:r>
      <w:bookmarkEnd w:id="5"/>
      <w:r w:rsidR="002533A9" w:rsidRPr="009D0CB6">
        <w:rPr>
          <w:color w:val="002060"/>
        </w:rPr>
        <w:t xml:space="preserve"> </w:t>
      </w:r>
    </w:p>
    <w:p w:rsidR="00133B2E" w:rsidRPr="009D0CB6" w:rsidRDefault="004514ED" w:rsidP="00101A76">
      <w:pPr>
        <w:rPr>
          <w:sz w:val="20"/>
        </w:rPr>
      </w:pPr>
      <w:r w:rsidRPr="009D0CB6">
        <w:rPr>
          <w:sz w:val="20"/>
        </w:rPr>
        <w:t>As of the 3</w:t>
      </w:r>
      <w:r w:rsidR="00DD5912" w:rsidRPr="009D0CB6">
        <w:rPr>
          <w:sz w:val="20"/>
        </w:rPr>
        <w:t>0</w:t>
      </w:r>
      <w:r w:rsidR="00BA3FDE" w:rsidRPr="009D0CB6">
        <w:rPr>
          <w:sz w:val="20"/>
        </w:rPr>
        <w:t xml:space="preserve"> September</w:t>
      </w:r>
      <w:r w:rsidR="004333C0" w:rsidRPr="009D0CB6">
        <w:rPr>
          <w:sz w:val="20"/>
        </w:rPr>
        <w:t xml:space="preserve"> </w:t>
      </w:r>
      <w:r w:rsidR="007C0CC6" w:rsidRPr="009D0CB6">
        <w:rPr>
          <w:sz w:val="20"/>
        </w:rPr>
        <w:t>201</w:t>
      </w:r>
      <w:r w:rsidRPr="009D0CB6">
        <w:rPr>
          <w:sz w:val="20"/>
        </w:rPr>
        <w:t>6</w:t>
      </w:r>
      <w:r w:rsidR="007C0CC6" w:rsidRPr="009D0CB6">
        <w:rPr>
          <w:sz w:val="20"/>
        </w:rPr>
        <w:t xml:space="preserve">, the population of Victoria stood at </w:t>
      </w:r>
      <w:r w:rsidRPr="009D0CB6">
        <w:rPr>
          <w:sz w:val="20"/>
        </w:rPr>
        <w:t>6,</w:t>
      </w:r>
      <w:r w:rsidR="00BA3FDE" w:rsidRPr="009D0CB6">
        <w:rPr>
          <w:sz w:val="20"/>
        </w:rPr>
        <w:t>100</w:t>
      </w:r>
      <w:r w:rsidRPr="009D0CB6">
        <w:rPr>
          <w:sz w:val="20"/>
        </w:rPr>
        <w:t>,</w:t>
      </w:r>
      <w:r w:rsidR="00BA3FDE" w:rsidRPr="009D0CB6">
        <w:rPr>
          <w:sz w:val="20"/>
        </w:rPr>
        <w:t>877</w:t>
      </w:r>
      <w:r w:rsidRPr="009D0CB6">
        <w:rPr>
          <w:sz w:val="20"/>
        </w:rPr>
        <w:t xml:space="preserve"> </w:t>
      </w:r>
      <w:r w:rsidR="007C0CC6" w:rsidRPr="009D0CB6">
        <w:rPr>
          <w:sz w:val="20"/>
        </w:rPr>
        <w:t xml:space="preserve">people. Victoria clearly remains the second largest state and will remain in that position for the foreseeable future. </w:t>
      </w:r>
      <w:r w:rsidR="002B250B" w:rsidRPr="009D0CB6">
        <w:rPr>
          <w:sz w:val="20"/>
        </w:rPr>
        <w:t xml:space="preserve">Within Victoria, the population split is currently approximately 75% in metropolitan Melbourne and 25% in </w:t>
      </w:r>
      <w:r w:rsidR="00A67B96" w:rsidRPr="009D0CB6">
        <w:rPr>
          <w:sz w:val="20"/>
        </w:rPr>
        <w:t>r</w:t>
      </w:r>
      <w:r w:rsidR="002B250B" w:rsidRPr="009D0CB6">
        <w:rPr>
          <w:sz w:val="20"/>
        </w:rPr>
        <w:t>egional Victoria.</w:t>
      </w:r>
    </w:p>
    <w:p w:rsidR="002533A9" w:rsidRPr="009D0CB6" w:rsidRDefault="00BA3FDE">
      <w:pPr>
        <w:rPr>
          <w:sz w:val="20"/>
        </w:rPr>
      </w:pPr>
      <w:r w:rsidRPr="009D0CB6">
        <w:rPr>
          <w:noProof/>
          <w:lang w:eastAsia="en-AU"/>
        </w:rPr>
        <w:drawing>
          <wp:inline distT="0" distB="0" distL="0" distR="0" wp14:anchorId="43B95DCB" wp14:editId="2967A5F8">
            <wp:extent cx="6145530" cy="3638550"/>
            <wp:effectExtent l="0" t="0" r="762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3B2E" w:rsidRPr="009D0CB6" w:rsidRDefault="00FA233C">
      <w:pPr>
        <w:rPr>
          <w:sz w:val="20"/>
        </w:rPr>
      </w:pPr>
      <w:r w:rsidRPr="009D0CB6">
        <w:rPr>
          <w:sz w:val="20"/>
        </w:rPr>
        <w:t>In the</w:t>
      </w:r>
      <w:r w:rsidR="00D14303" w:rsidRPr="009D0CB6">
        <w:rPr>
          <w:sz w:val="20"/>
        </w:rPr>
        <w:t xml:space="preserve"> </w:t>
      </w:r>
      <w:r w:rsidR="00773E81">
        <w:rPr>
          <w:sz w:val="20"/>
        </w:rPr>
        <w:t>12-month</w:t>
      </w:r>
      <w:r w:rsidRPr="009D0CB6">
        <w:rPr>
          <w:sz w:val="20"/>
        </w:rPr>
        <w:t xml:space="preserve"> period</w:t>
      </w:r>
      <w:r w:rsidR="007C0CC6" w:rsidRPr="009D0CB6">
        <w:rPr>
          <w:sz w:val="20"/>
        </w:rPr>
        <w:t xml:space="preserve"> to</w:t>
      </w:r>
      <w:r w:rsidR="005B20E7" w:rsidRPr="009D0CB6">
        <w:rPr>
          <w:sz w:val="20"/>
        </w:rPr>
        <w:t xml:space="preserve"> </w:t>
      </w:r>
      <w:r w:rsidR="00BA3FDE" w:rsidRPr="009D0CB6">
        <w:rPr>
          <w:sz w:val="20"/>
        </w:rPr>
        <w:t>September 30</w:t>
      </w:r>
      <w:r w:rsidR="005B20E7" w:rsidRPr="009D0CB6">
        <w:rPr>
          <w:sz w:val="20"/>
        </w:rPr>
        <w:t xml:space="preserve"> 2016</w:t>
      </w:r>
      <w:r w:rsidR="007C0CC6" w:rsidRPr="009D0CB6">
        <w:rPr>
          <w:sz w:val="20"/>
        </w:rPr>
        <w:t xml:space="preserve">, </w:t>
      </w:r>
      <w:r w:rsidR="006B1B0A" w:rsidRPr="009D0CB6">
        <w:rPr>
          <w:sz w:val="20"/>
        </w:rPr>
        <w:t>V</w:t>
      </w:r>
      <w:r w:rsidR="0002371E" w:rsidRPr="009D0CB6">
        <w:rPr>
          <w:sz w:val="20"/>
        </w:rPr>
        <w:t>ictoria’s population grew by 1</w:t>
      </w:r>
      <w:r w:rsidR="00BA3FDE" w:rsidRPr="009D0CB6">
        <w:rPr>
          <w:sz w:val="20"/>
        </w:rPr>
        <w:t>27</w:t>
      </w:r>
      <w:r w:rsidR="0002371E" w:rsidRPr="009D0CB6">
        <w:rPr>
          <w:sz w:val="20"/>
        </w:rPr>
        <w:t>,</w:t>
      </w:r>
      <w:r w:rsidR="00BA3FDE" w:rsidRPr="009D0CB6">
        <w:rPr>
          <w:sz w:val="20"/>
        </w:rPr>
        <w:t>498</w:t>
      </w:r>
      <w:r w:rsidR="004F465D" w:rsidRPr="009D0CB6">
        <w:rPr>
          <w:sz w:val="20"/>
        </w:rPr>
        <w:t xml:space="preserve"> </w:t>
      </w:r>
      <w:r w:rsidR="0002371E" w:rsidRPr="009D0CB6">
        <w:rPr>
          <w:sz w:val="20"/>
        </w:rPr>
        <w:t xml:space="preserve">people, the </w:t>
      </w:r>
      <w:r w:rsidR="00F30272" w:rsidRPr="009D0CB6">
        <w:rPr>
          <w:sz w:val="20"/>
        </w:rPr>
        <w:t>largest</w:t>
      </w:r>
      <w:r w:rsidR="0002371E" w:rsidRPr="009D0CB6">
        <w:rPr>
          <w:sz w:val="20"/>
        </w:rPr>
        <w:t xml:space="preserve"> increase of all the states.</w:t>
      </w:r>
      <w:r w:rsidR="004F465D" w:rsidRPr="009D0CB6">
        <w:rPr>
          <w:sz w:val="20"/>
        </w:rPr>
        <w:t xml:space="preserve"> </w:t>
      </w:r>
      <w:r w:rsidR="00773E81">
        <w:rPr>
          <w:sz w:val="20"/>
        </w:rPr>
        <w:t>This is a new record for any 12-</w:t>
      </w:r>
      <w:r w:rsidR="004F465D" w:rsidRPr="009D0CB6">
        <w:rPr>
          <w:sz w:val="20"/>
        </w:rPr>
        <w:t xml:space="preserve">month period. </w:t>
      </w:r>
      <w:r w:rsidR="0002371E" w:rsidRPr="009D0CB6">
        <w:rPr>
          <w:sz w:val="20"/>
        </w:rPr>
        <w:t xml:space="preserve"> </w:t>
      </w:r>
    </w:p>
    <w:p w:rsidR="007C0CC6" w:rsidRPr="009D0CB6" w:rsidRDefault="00BA3FDE">
      <w:pPr>
        <w:rPr>
          <w:sz w:val="20"/>
        </w:rPr>
      </w:pPr>
      <w:r w:rsidRPr="009D0CB6">
        <w:rPr>
          <w:noProof/>
          <w:lang w:eastAsia="en-AU"/>
        </w:rPr>
        <w:drawing>
          <wp:inline distT="0" distB="0" distL="0" distR="0" wp14:anchorId="01E83EDF" wp14:editId="7B807EF2">
            <wp:extent cx="6209665" cy="3843655"/>
            <wp:effectExtent l="0" t="0" r="635" b="444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71EC" w:rsidRPr="009D0CB6" w:rsidRDefault="001D71EC">
      <w:pPr>
        <w:rPr>
          <w:sz w:val="20"/>
        </w:rPr>
      </w:pPr>
    </w:p>
    <w:p w:rsidR="007C0CC6" w:rsidRPr="009D0CB6" w:rsidRDefault="007C0CC6">
      <w:pPr>
        <w:rPr>
          <w:sz w:val="20"/>
        </w:rPr>
      </w:pPr>
      <w:r w:rsidRPr="009D0CB6">
        <w:rPr>
          <w:sz w:val="20"/>
        </w:rPr>
        <w:t>In terms of percentage</w:t>
      </w:r>
      <w:r w:rsidR="00133B2E" w:rsidRPr="009D0CB6">
        <w:rPr>
          <w:sz w:val="20"/>
        </w:rPr>
        <w:t xml:space="preserve"> change</w:t>
      </w:r>
      <w:r w:rsidRPr="009D0CB6">
        <w:rPr>
          <w:sz w:val="20"/>
        </w:rPr>
        <w:t xml:space="preserve">, Victoria </w:t>
      </w:r>
      <w:r w:rsidR="00133B2E" w:rsidRPr="009D0CB6">
        <w:rPr>
          <w:sz w:val="20"/>
        </w:rPr>
        <w:t>is</w:t>
      </w:r>
      <w:r w:rsidRPr="009D0CB6">
        <w:rPr>
          <w:sz w:val="20"/>
        </w:rPr>
        <w:t xml:space="preserve"> </w:t>
      </w:r>
      <w:r w:rsidR="00ED4520" w:rsidRPr="009D0CB6">
        <w:rPr>
          <w:sz w:val="20"/>
        </w:rPr>
        <w:t xml:space="preserve">also </w:t>
      </w:r>
      <w:r w:rsidRPr="009D0CB6">
        <w:rPr>
          <w:sz w:val="20"/>
        </w:rPr>
        <w:t xml:space="preserve">the fastest growing of all </w:t>
      </w:r>
      <w:r w:rsidR="002328D9" w:rsidRPr="009D0CB6">
        <w:rPr>
          <w:sz w:val="20"/>
        </w:rPr>
        <w:t>s</w:t>
      </w:r>
      <w:r w:rsidRPr="009D0CB6">
        <w:rPr>
          <w:sz w:val="20"/>
        </w:rPr>
        <w:t>tates</w:t>
      </w:r>
      <w:r w:rsidR="00CE2BBA" w:rsidRPr="009D0CB6">
        <w:rPr>
          <w:sz w:val="20"/>
        </w:rPr>
        <w:t xml:space="preserve"> and </w:t>
      </w:r>
      <w:r w:rsidR="002328D9" w:rsidRPr="009D0CB6">
        <w:rPr>
          <w:sz w:val="20"/>
        </w:rPr>
        <w:t>t</w:t>
      </w:r>
      <w:r w:rsidR="00CE2BBA" w:rsidRPr="009D0CB6">
        <w:rPr>
          <w:sz w:val="20"/>
        </w:rPr>
        <w:t>erritories</w:t>
      </w:r>
      <w:r w:rsidR="002328D9" w:rsidRPr="009D0CB6">
        <w:rPr>
          <w:sz w:val="20"/>
        </w:rPr>
        <w:t>,</w:t>
      </w:r>
      <w:r w:rsidR="00CE2BBA" w:rsidRPr="009D0CB6">
        <w:rPr>
          <w:sz w:val="20"/>
        </w:rPr>
        <w:t xml:space="preserve"> growing at</w:t>
      </w:r>
      <w:r w:rsidR="001505B0" w:rsidRPr="009D0CB6">
        <w:rPr>
          <w:sz w:val="20"/>
        </w:rPr>
        <w:t xml:space="preserve"> over 2</w:t>
      </w:r>
      <w:r w:rsidR="009D0CB6" w:rsidRPr="009D0CB6">
        <w:rPr>
          <w:sz w:val="20"/>
        </w:rPr>
        <w:t>.1</w:t>
      </w:r>
      <w:r w:rsidRPr="009D0CB6">
        <w:rPr>
          <w:sz w:val="20"/>
        </w:rPr>
        <w:t xml:space="preserve">% </w:t>
      </w:r>
      <w:r w:rsidR="00127C1A" w:rsidRPr="009D0CB6">
        <w:rPr>
          <w:sz w:val="20"/>
        </w:rPr>
        <w:t>per year.</w:t>
      </w:r>
      <w:r w:rsidR="00101A76" w:rsidRPr="009D0CB6">
        <w:rPr>
          <w:sz w:val="20"/>
        </w:rPr>
        <w:t xml:space="preserve"> No other state or terr</w:t>
      </w:r>
      <w:r w:rsidR="009D0CB6" w:rsidRPr="009D0CB6">
        <w:rPr>
          <w:sz w:val="20"/>
        </w:rPr>
        <w:t>itory is growing faster than 1.5</w:t>
      </w:r>
      <w:r w:rsidR="00101A76" w:rsidRPr="009D0CB6">
        <w:rPr>
          <w:sz w:val="20"/>
        </w:rPr>
        <w:t xml:space="preserve">% per annum. </w:t>
      </w:r>
      <w:r w:rsidR="00127C1A" w:rsidRPr="009D0CB6">
        <w:rPr>
          <w:sz w:val="20"/>
        </w:rPr>
        <w:t xml:space="preserve"> </w:t>
      </w:r>
    </w:p>
    <w:p w:rsidR="007C0CC6" w:rsidRPr="00911E1B" w:rsidRDefault="00BA3FDE">
      <w:pPr>
        <w:rPr>
          <w:sz w:val="20"/>
          <w:highlight w:val="yellow"/>
        </w:rPr>
      </w:pPr>
      <w:r>
        <w:rPr>
          <w:noProof/>
          <w:lang w:eastAsia="en-AU"/>
        </w:rPr>
        <w:drawing>
          <wp:inline distT="0" distB="0" distL="0" distR="0" wp14:anchorId="692C99C7" wp14:editId="6132A4D7">
            <wp:extent cx="6209665" cy="3686175"/>
            <wp:effectExtent l="0" t="0" r="63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0CB6" w:rsidRPr="009D0CB6" w:rsidRDefault="007C0CC6" w:rsidP="00420840">
      <w:pPr>
        <w:jc w:val="both"/>
        <w:rPr>
          <w:sz w:val="20"/>
        </w:rPr>
      </w:pPr>
      <w:r w:rsidRPr="009D0CB6">
        <w:rPr>
          <w:sz w:val="20"/>
        </w:rPr>
        <w:t xml:space="preserve">In terms of components of Victoria’s population growth, the </w:t>
      </w:r>
      <w:r w:rsidR="00DD0231" w:rsidRPr="009D0CB6">
        <w:rPr>
          <w:sz w:val="20"/>
        </w:rPr>
        <w:t>n</w:t>
      </w:r>
      <w:r w:rsidR="00E61CCB" w:rsidRPr="009D0CB6">
        <w:rPr>
          <w:sz w:val="20"/>
        </w:rPr>
        <w:t xml:space="preserve">atural increase was </w:t>
      </w:r>
      <w:r w:rsidR="00101A76" w:rsidRPr="009D0CB6">
        <w:rPr>
          <w:sz w:val="20"/>
        </w:rPr>
        <w:t>41</w:t>
      </w:r>
      <w:r w:rsidR="00CF4258" w:rsidRPr="009D0CB6">
        <w:rPr>
          <w:sz w:val="20"/>
        </w:rPr>
        <w:t>,</w:t>
      </w:r>
      <w:r w:rsidR="009D0CB6" w:rsidRPr="009D0CB6">
        <w:rPr>
          <w:sz w:val="20"/>
        </w:rPr>
        <w:t>700</w:t>
      </w:r>
      <w:r w:rsidR="00E61CCB" w:rsidRPr="009D0CB6">
        <w:rPr>
          <w:sz w:val="20"/>
        </w:rPr>
        <w:t xml:space="preserve"> peopl</w:t>
      </w:r>
      <w:r w:rsidR="00932482" w:rsidRPr="009D0CB6">
        <w:rPr>
          <w:sz w:val="20"/>
        </w:rPr>
        <w:t>e.</w:t>
      </w:r>
      <w:r w:rsidR="003922FF" w:rsidRPr="009D0CB6">
        <w:rPr>
          <w:sz w:val="20"/>
        </w:rPr>
        <w:t xml:space="preserve"> </w:t>
      </w:r>
      <w:r w:rsidR="00932482" w:rsidRPr="009D0CB6">
        <w:rPr>
          <w:sz w:val="20"/>
        </w:rPr>
        <w:t>T</w:t>
      </w:r>
      <w:r w:rsidR="003922FF" w:rsidRPr="009D0CB6">
        <w:rPr>
          <w:sz w:val="20"/>
        </w:rPr>
        <w:t>here w</w:t>
      </w:r>
      <w:r w:rsidR="00DD0231" w:rsidRPr="009D0CB6">
        <w:rPr>
          <w:sz w:val="20"/>
        </w:rPr>
        <w:t>as</w:t>
      </w:r>
      <w:r w:rsidR="003922FF" w:rsidRPr="009D0CB6">
        <w:rPr>
          <w:sz w:val="20"/>
        </w:rPr>
        <w:t xml:space="preserve"> a net inflow of 6</w:t>
      </w:r>
      <w:r w:rsidR="009D0CB6" w:rsidRPr="009D0CB6">
        <w:rPr>
          <w:sz w:val="20"/>
        </w:rPr>
        <w:t>8</w:t>
      </w:r>
      <w:r w:rsidR="00E61CCB" w:rsidRPr="009D0CB6">
        <w:rPr>
          <w:sz w:val="20"/>
        </w:rPr>
        <w:t>,</w:t>
      </w:r>
      <w:r w:rsidR="009D0CB6" w:rsidRPr="009D0CB6">
        <w:rPr>
          <w:sz w:val="20"/>
        </w:rPr>
        <w:t>613</w:t>
      </w:r>
      <w:r w:rsidR="00E61CCB" w:rsidRPr="009D0CB6">
        <w:rPr>
          <w:sz w:val="20"/>
        </w:rPr>
        <w:t xml:space="preserve"> overseas migrants and a net inflow of </w:t>
      </w:r>
      <w:r w:rsidR="003922FF" w:rsidRPr="009D0CB6">
        <w:rPr>
          <w:sz w:val="20"/>
        </w:rPr>
        <w:t>1</w:t>
      </w:r>
      <w:r w:rsidR="009D0CB6" w:rsidRPr="009D0CB6">
        <w:rPr>
          <w:sz w:val="20"/>
        </w:rPr>
        <w:t>7</w:t>
      </w:r>
      <w:r w:rsidR="00CE2BBA" w:rsidRPr="009D0CB6">
        <w:rPr>
          <w:sz w:val="20"/>
        </w:rPr>
        <w:t>,</w:t>
      </w:r>
      <w:r w:rsidR="009D0CB6" w:rsidRPr="009D0CB6">
        <w:rPr>
          <w:sz w:val="20"/>
        </w:rPr>
        <w:t>185</w:t>
      </w:r>
      <w:r w:rsidR="00E61CCB" w:rsidRPr="009D0CB6">
        <w:rPr>
          <w:sz w:val="20"/>
        </w:rPr>
        <w:t xml:space="preserve"> people migrating from interstate.</w:t>
      </w:r>
      <w:r w:rsidRPr="009D0CB6">
        <w:rPr>
          <w:sz w:val="20"/>
        </w:rPr>
        <w:t xml:space="preserve"> Victoria and Queensland were the only two states to see a positive net interstate migration. </w:t>
      </w:r>
    </w:p>
    <w:p w:rsidR="009D0CB6" w:rsidRDefault="009D0CB6" w:rsidP="00420840">
      <w:pPr>
        <w:jc w:val="both"/>
        <w:rPr>
          <w:sz w:val="20"/>
          <w:highlight w:val="yellow"/>
        </w:rPr>
      </w:pPr>
      <w:r>
        <w:rPr>
          <w:noProof/>
          <w:lang w:eastAsia="en-AU"/>
        </w:rPr>
        <w:drawing>
          <wp:inline distT="0" distB="0" distL="0" distR="0" wp14:anchorId="5C93FFFF" wp14:editId="380ECEA9">
            <wp:extent cx="6213475" cy="399097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1CCB" w:rsidRDefault="009D0CB6" w:rsidP="00420840">
      <w:pPr>
        <w:jc w:val="both"/>
        <w:rPr>
          <w:sz w:val="20"/>
        </w:rPr>
      </w:pPr>
      <w:r w:rsidRPr="009D0CB6">
        <w:rPr>
          <w:sz w:val="20"/>
        </w:rPr>
        <w:lastRenderedPageBreak/>
        <w:t>H</w:t>
      </w:r>
      <w:r w:rsidR="00E61CCB" w:rsidRPr="009D0CB6">
        <w:rPr>
          <w:sz w:val="20"/>
        </w:rPr>
        <w:t>istorically</w:t>
      </w:r>
      <w:r w:rsidR="00FC73F9" w:rsidRPr="009D0CB6">
        <w:rPr>
          <w:sz w:val="20"/>
        </w:rPr>
        <w:t>,</w:t>
      </w:r>
      <w:r w:rsidR="00E61CCB" w:rsidRPr="009D0CB6">
        <w:rPr>
          <w:sz w:val="20"/>
        </w:rPr>
        <w:t xml:space="preserve"> Victoria has at times lost population to other states but this trend seems to have reversed</w:t>
      </w:r>
      <w:r w:rsidR="00FC73F9" w:rsidRPr="009D0CB6">
        <w:rPr>
          <w:sz w:val="20"/>
        </w:rPr>
        <w:t>,</w:t>
      </w:r>
      <w:r w:rsidR="00E61CCB" w:rsidRPr="009D0CB6">
        <w:rPr>
          <w:sz w:val="20"/>
        </w:rPr>
        <w:t xml:space="preserve"> with net interstate migration at levels </w:t>
      </w:r>
      <w:r w:rsidR="00101A76" w:rsidRPr="009D0CB6">
        <w:rPr>
          <w:sz w:val="20"/>
        </w:rPr>
        <w:t>never seen before.</w:t>
      </w:r>
      <w:r w:rsidR="00E61CCB" w:rsidRPr="009D0CB6">
        <w:rPr>
          <w:sz w:val="20"/>
        </w:rPr>
        <w:t xml:space="preserve"> Net </w:t>
      </w:r>
      <w:r w:rsidR="005604B9" w:rsidRPr="009D0CB6">
        <w:rPr>
          <w:sz w:val="20"/>
        </w:rPr>
        <w:t>o</w:t>
      </w:r>
      <w:r w:rsidR="00E61CCB" w:rsidRPr="009D0CB6">
        <w:rPr>
          <w:sz w:val="20"/>
        </w:rPr>
        <w:t>versea</w:t>
      </w:r>
      <w:r w:rsidR="006E5E26" w:rsidRPr="009D0CB6">
        <w:rPr>
          <w:sz w:val="20"/>
        </w:rPr>
        <w:t>s</w:t>
      </w:r>
      <w:r w:rsidR="00E61CCB" w:rsidRPr="009D0CB6">
        <w:rPr>
          <w:sz w:val="20"/>
        </w:rPr>
        <w:t xml:space="preserve"> migration has been fairly stable for the</w:t>
      </w:r>
      <w:r w:rsidR="00932482" w:rsidRPr="009D0CB6">
        <w:rPr>
          <w:sz w:val="20"/>
        </w:rPr>
        <w:t xml:space="preserve"> past</w:t>
      </w:r>
      <w:r w:rsidR="00E61CCB" w:rsidRPr="009D0CB6">
        <w:rPr>
          <w:sz w:val="20"/>
        </w:rPr>
        <w:t xml:space="preserve"> few years</w:t>
      </w:r>
      <w:r w:rsidR="0058655D" w:rsidRPr="009D0CB6">
        <w:rPr>
          <w:sz w:val="20"/>
        </w:rPr>
        <w:t>,</w:t>
      </w:r>
      <w:r w:rsidR="00E61CCB" w:rsidRPr="009D0CB6">
        <w:rPr>
          <w:sz w:val="20"/>
        </w:rPr>
        <w:t xml:space="preserve"> after the</w:t>
      </w:r>
      <w:r w:rsidR="00524330" w:rsidRPr="009D0CB6">
        <w:rPr>
          <w:sz w:val="20"/>
        </w:rPr>
        <w:t xml:space="preserve"> </w:t>
      </w:r>
      <w:r w:rsidR="00C83306" w:rsidRPr="009D0CB6">
        <w:rPr>
          <w:sz w:val="20"/>
        </w:rPr>
        <w:t xml:space="preserve"> </w:t>
      </w:r>
      <w:r w:rsidR="00524330" w:rsidRPr="009D0CB6">
        <w:rPr>
          <w:sz w:val="20"/>
        </w:rPr>
        <w:t xml:space="preserve">peak </w:t>
      </w:r>
      <w:r w:rsidR="00E61CCB" w:rsidRPr="009D0CB6">
        <w:rPr>
          <w:sz w:val="20"/>
        </w:rPr>
        <w:t xml:space="preserve">that occurred around </w:t>
      </w:r>
      <w:r w:rsidR="00524330" w:rsidRPr="009D0CB6">
        <w:rPr>
          <w:sz w:val="20"/>
        </w:rPr>
        <w:t xml:space="preserve">2009 and </w:t>
      </w:r>
      <w:r w:rsidR="00E61CCB" w:rsidRPr="009D0CB6">
        <w:rPr>
          <w:sz w:val="20"/>
        </w:rPr>
        <w:t>2010</w:t>
      </w:r>
      <w:r w:rsidR="0058655D" w:rsidRPr="009D0CB6">
        <w:rPr>
          <w:sz w:val="20"/>
        </w:rPr>
        <w:t>,</w:t>
      </w:r>
      <w:r w:rsidR="00932482" w:rsidRPr="009D0CB6">
        <w:rPr>
          <w:sz w:val="20"/>
        </w:rPr>
        <w:t xml:space="preserve"> followed by a significant fall in 2011</w:t>
      </w:r>
      <w:r w:rsidR="00101A76" w:rsidRPr="009D0CB6">
        <w:rPr>
          <w:sz w:val="20"/>
        </w:rPr>
        <w:t>, although it has picked up in</w:t>
      </w:r>
      <w:r w:rsidR="00FA233C" w:rsidRPr="009D0CB6">
        <w:rPr>
          <w:sz w:val="20"/>
        </w:rPr>
        <w:t xml:space="preserve"> the</w:t>
      </w:r>
      <w:r w:rsidR="00205994">
        <w:rPr>
          <w:sz w:val="20"/>
        </w:rPr>
        <w:t xml:space="preserve"> p</w:t>
      </w:r>
      <w:r w:rsidR="00101A76" w:rsidRPr="009D0CB6">
        <w:rPr>
          <w:sz w:val="20"/>
        </w:rPr>
        <w:t>ast 12 months slightly</w:t>
      </w:r>
      <w:r w:rsidR="00E61CCB" w:rsidRPr="009D0CB6">
        <w:rPr>
          <w:sz w:val="20"/>
        </w:rPr>
        <w:t xml:space="preserve">. </w:t>
      </w:r>
    </w:p>
    <w:p w:rsidR="009D0CB6" w:rsidRPr="009D0CB6" w:rsidRDefault="009D0CB6" w:rsidP="00420840">
      <w:pPr>
        <w:jc w:val="both"/>
        <w:rPr>
          <w:sz w:val="20"/>
        </w:rPr>
      </w:pPr>
      <w:r>
        <w:rPr>
          <w:noProof/>
          <w:lang w:eastAsia="en-AU"/>
        </w:rPr>
        <w:drawing>
          <wp:inline distT="0" distB="0" distL="0" distR="0" wp14:anchorId="4110D0D7" wp14:editId="59D4823A">
            <wp:extent cx="6209665" cy="4370070"/>
            <wp:effectExtent l="0" t="0" r="635"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1481" w:rsidRPr="009D0CB6" w:rsidRDefault="00571481" w:rsidP="00571481">
      <w:pPr>
        <w:rPr>
          <w:sz w:val="20"/>
        </w:rPr>
      </w:pPr>
      <w:r w:rsidRPr="009D0CB6">
        <w:rPr>
          <w:sz w:val="20"/>
        </w:rPr>
        <w:t>In recent years Victoria has seen an increase in the number of births</w:t>
      </w:r>
      <w:r w:rsidR="009D0CB6">
        <w:rPr>
          <w:sz w:val="20"/>
        </w:rPr>
        <w:t xml:space="preserve">. In the 12 months to September 30 2017, there were over 82,000 births, so 2016 was on track to shatter the previous record of 77,278 births in a calendar year. </w:t>
      </w:r>
    </w:p>
    <w:p w:rsidR="00571481" w:rsidRPr="00911E1B" w:rsidRDefault="00CF4258" w:rsidP="00571481">
      <w:pPr>
        <w:rPr>
          <w:sz w:val="20"/>
          <w:highlight w:val="yellow"/>
        </w:rPr>
      </w:pPr>
      <w:r w:rsidRPr="00296B56">
        <w:rPr>
          <w:noProof/>
          <w:lang w:eastAsia="en-AU"/>
        </w:rPr>
        <w:drawing>
          <wp:inline distT="0" distB="0" distL="0" distR="0" wp14:anchorId="109F9D7C" wp14:editId="566949CE">
            <wp:extent cx="6086475" cy="3457575"/>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2BBA" w:rsidRPr="00911E1B" w:rsidRDefault="00CE2BBA" w:rsidP="00571481">
      <w:pPr>
        <w:rPr>
          <w:sz w:val="20"/>
          <w:highlight w:val="yellow"/>
        </w:rPr>
      </w:pPr>
    </w:p>
    <w:p w:rsidR="00F87F37" w:rsidRPr="00725DED" w:rsidRDefault="00B5136D" w:rsidP="0072166A">
      <w:pPr>
        <w:pStyle w:val="Heading2numbered"/>
        <w:rPr>
          <w:color w:val="002060"/>
        </w:rPr>
      </w:pPr>
      <w:bookmarkStart w:id="6" w:name="_Toc437436623"/>
      <w:bookmarkStart w:id="7" w:name="_Toc468972253"/>
      <w:r w:rsidRPr="00725DED">
        <w:rPr>
          <w:color w:val="002060"/>
        </w:rPr>
        <w:t xml:space="preserve">Population Growth </w:t>
      </w:r>
      <w:r w:rsidR="009F776B" w:rsidRPr="00725DED">
        <w:rPr>
          <w:color w:val="002060"/>
        </w:rPr>
        <w:t xml:space="preserve">and Projections </w:t>
      </w:r>
      <w:r w:rsidRPr="00725DED">
        <w:rPr>
          <w:color w:val="002060"/>
        </w:rPr>
        <w:t>by L</w:t>
      </w:r>
      <w:r w:rsidR="00133B2E" w:rsidRPr="00725DED">
        <w:rPr>
          <w:color w:val="002060"/>
        </w:rPr>
        <w:t xml:space="preserve">ocal </w:t>
      </w:r>
      <w:r w:rsidRPr="00725DED">
        <w:rPr>
          <w:color w:val="002060"/>
        </w:rPr>
        <w:t>G</w:t>
      </w:r>
      <w:r w:rsidR="00133B2E" w:rsidRPr="00725DED">
        <w:rPr>
          <w:color w:val="002060"/>
        </w:rPr>
        <w:t>overnment A</w:t>
      </w:r>
      <w:r w:rsidRPr="00725DED">
        <w:rPr>
          <w:color w:val="002060"/>
        </w:rPr>
        <w:t>rea</w:t>
      </w:r>
      <w:bookmarkEnd w:id="6"/>
      <w:bookmarkEnd w:id="7"/>
    </w:p>
    <w:p w:rsidR="003711B2" w:rsidRPr="00725DED" w:rsidRDefault="008752A7" w:rsidP="00420840">
      <w:pPr>
        <w:jc w:val="both"/>
        <w:rPr>
          <w:sz w:val="20"/>
        </w:rPr>
      </w:pPr>
      <w:r w:rsidRPr="00725DED">
        <w:rPr>
          <w:sz w:val="20"/>
        </w:rPr>
        <w:t>All</w:t>
      </w:r>
      <w:r w:rsidR="00B5136D" w:rsidRPr="00725DED">
        <w:rPr>
          <w:sz w:val="20"/>
        </w:rPr>
        <w:t xml:space="preserve"> metropolitan local government areas</w:t>
      </w:r>
      <w:r w:rsidRPr="00725DED">
        <w:rPr>
          <w:sz w:val="20"/>
        </w:rPr>
        <w:t xml:space="preserve"> experienced</w:t>
      </w:r>
      <w:r w:rsidR="00B5136D" w:rsidRPr="00725DED">
        <w:rPr>
          <w:sz w:val="20"/>
        </w:rPr>
        <w:t xml:space="preserve"> population growth in the year </w:t>
      </w:r>
      <w:r w:rsidR="002378AD" w:rsidRPr="00725DED">
        <w:rPr>
          <w:sz w:val="20"/>
        </w:rPr>
        <w:t>prior to</w:t>
      </w:r>
      <w:r w:rsidR="00D3280A" w:rsidRPr="00725DED">
        <w:rPr>
          <w:sz w:val="20"/>
        </w:rPr>
        <w:t xml:space="preserve"> </w:t>
      </w:r>
      <w:r w:rsidR="00690B60" w:rsidRPr="00725DED">
        <w:rPr>
          <w:sz w:val="20"/>
        </w:rPr>
        <w:t>30 June</w:t>
      </w:r>
      <w:r w:rsidRPr="00725DED">
        <w:rPr>
          <w:sz w:val="20"/>
        </w:rPr>
        <w:t xml:space="preserve"> 201</w:t>
      </w:r>
      <w:r w:rsidR="00725DED" w:rsidRPr="00725DED">
        <w:rPr>
          <w:sz w:val="20"/>
        </w:rPr>
        <w:t>6</w:t>
      </w:r>
      <w:r w:rsidR="00B5136D" w:rsidRPr="00725DED">
        <w:rPr>
          <w:sz w:val="20"/>
        </w:rPr>
        <w:t>.</w:t>
      </w:r>
      <w:r w:rsidR="00524330" w:rsidRPr="00725DED">
        <w:rPr>
          <w:sz w:val="20"/>
        </w:rPr>
        <w:t xml:space="preserve"> </w:t>
      </w:r>
      <w:r w:rsidR="002378AD" w:rsidRPr="00725DED">
        <w:rPr>
          <w:sz w:val="20"/>
        </w:rPr>
        <w:t>In that</w:t>
      </w:r>
      <w:r w:rsidR="002B250B" w:rsidRPr="00725DED">
        <w:rPr>
          <w:sz w:val="20"/>
        </w:rPr>
        <w:t xml:space="preserve"> year</w:t>
      </w:r>
      <w:r w:rsidR="00F30272" w:rsidRPr="00725DED">
        <w:rPr>
          <w:sz w:val="20"/>
        </w:rPr>
        <w:t>,</w:t>
      </w:r>
      <w:r w:rsidR="002B250B" w:rsidRPr="00725DED">
        <w:rPr>
          <w:sz w:val="20"/>
        </w:rPr>
        <w:t xml:space="preserve"> Victor</w:t>
      </w:r>
      <w:r w:rsidRPr="00725DED">
        <w:rPr>
          <w:sz w:val="20"/>
        </w:rPr>
        <w:t xml:space="preserve">ia grew by </w:t>
      </w:r>
      <w:r w:rsidR="00725DED" w:rsidRPr="00725DED">
        <w:rPr>
          <w:sz w:val="20"/>
        </w:rPr>
        <w:t>123,127</w:t>
      </w:r>
      <w:r w:rsidRPr="00725DED">
        <w:rPr>
          <w:sz w:val="20"/>
        </w:rPr>
        <w:t xml:space="preserve"> with </w:t>
      </w:r>
      <w:r w:rsidR="00725DED" w:rsidRPr="00725DED">
        <w:rPr>
          <w:sz w:val="20"/>
        </w:rPr>
        <w:t>106</w:t>
      </w:r>
      <w:r w:rsidR="002B250B" w:rsidRPr="00725DED">
        <w:rPr>
          <w:sz w:val="20"/>
        </w:rPr>
        <w:t>,</w:t>
      </w:r>
      <w:r w:rsidR="00725DED" w:rsidRPr="00725DED">
        <w:rPr>
          <w:sz w:val="20"/>
        </w:rPr>
        <w:t>8</w:t>
      </w:r>
      <w:r w:rsidRPr="00725DED">
        <w:rPr>
          <w:sz w:val="20"/>
        </w:rPr>
        <w:t>0</w:t>
      </w:r>
      <w:r w:rsidR="00725DED" w:rsidRPr="00725DED">
        <w:rPr>
          <w:sz w:val="20"/>
        </w:rPr>
        <w:t>5</w:t>
      </w:r>
      <w:r w:rsidR="002B250B" w:rsidRPr="00725DED">
        <w:rPr>
          <w:sz w:val="20"/>
        </w:rPr>
        <w:t xml:space="preserve"> in Melbourne (</w:t>
      </w:r>
      <w:r w:rsidR="00725DED" w:rsidRPr="00725DED">
        <w:rPr>
          <w:sz w:val="20"/>
        </w:rPr>
        <w:t>87</w:t>
      </w:r>
      <w:r w:rsidR="002B250B" w:rsidRPr="00725DED">
        <w:rPr>
          <w:sz w:val="20"/>
        </w:rPr>
        <w:t>%) and</w:t>
      </w:r>
      <w:r w:rsidR="005604B9" w:rsidRPr="00725DED">
        <w:rPr>
          <w:sz w:val="20"/>
        </w:rPr>
        <w:t xml:space="preserve"> </w:t>
      </w:r>
      <w:r w:rsidR="00725DED" w:rsidRPr="00725DED">
        <w:rPr>
          <w:sz w:val="20"/>
        </w:rPr>
        <w:t>16</w:t>
      </w:r>
      <w:r w:rsidR="002B250B" w:rsidRPr="00725DED">
        <w:rPr>
          <w:sz w:val="20"/>
        </w:rPr>
        <w:t>,</w:t>
      </w:r>
      <w:r w:rsidR="00725DED" w:rsidRPr="00725DED">
        <w:rPr>
          <w:sz w:val="20"/>
        </w:rPr>
        <w:t>322</w:t>
      </w:r>
      <w:r w:rsidRPr="00725DED">
        <w:rPr>
          <w:sz w:val="20"/>
        </w:rPr>
        <w:t xml:space="preserve"> in </w:t>
      </w:r>
      <w:r w:rsidR="00CB0D04" w:rsidRPr="00725DED">
        <w:rPr>
          <w:sz w:val="20"/>
        </w:rPr>
        <w:t>r</w:t>
      </w:r>
      <w:r w:rsidR="00725DED" w:rsidRPr="00725DED">
        <w:rPr>
          <w:sz w:val="20"/>
        </w:rPr>
        <w:t>egional Victoria (13</w:t>
      </w:r>
      <w:r w:rsidR="002B250B" w:rsidRPr="00725DED">
        <w:rPr>
          <w:sz w:val="20"/>
        </w:rPr>
        <w:t xml:space="preserve">%). </w:t>
      </w:r>
      <w:r w:rsidR="00B5136D" w:rsidRPr="00725DED">
        <w:rPr>
          <w:sz w:val="20"/>
        </w:rPr>
        <w:t>The largest growth was found in W</w:t>
      </w:r>
      <w:r w:rsidRPr="00725DED">
        <w:rPr>
          <w:sz w:val="20"/>
        </w:rPr>
        <w:t>yndham</w:t>
      </w:r>
      <w:r w:rsidR="00F82FF4" w:rsidRPr="00725DED">
        <w:rPr>
          <w:sz w:val="20"/>
        </w:rPr>
        <w:t>,</w:t>
      </w:r>
      <w:r w:rsidR="00725DED" w:rsidRPr="00725DED">
        <w:rPr>
          <w:sz w:val="20"/>
        </w:rPr>
        <w:t xml:space="preserve"> with an additional 12</w:t>
      </w:r>
      <w:r w:rsidRPr="00725DED">
        <w:rPr>
          <w:sz w:val="20"/>
        </w:rPr>
        <w:t>,</w:t>
      </w:r>
      <w:r w:rsidR="00725DED" w:rsidRPr="00725DED">
        <w:rPr>
          <w:sz w:val="20"/>
        </w:rPr>
        <w:t>1</w:t>
      </w:r>
      <w:r w:rsidRPr="00725DED">
        <w:rPr>
          <w:sz w:val="20"/>
        </w:rPr>
        <w:t>0</w:t>
      </w:r>
      <w:r w:rsidR="00725DED" w:rsidRPr="00725DED">
        <w:rPr>
          <w:sz w:val="20"/>
        </w:rPr>
        <w:t>6</w:t>
      </w:r>
      <w:r w:rsidR="00B5136D" w:rsidRPr="00725DED">
        <w:rPr>
          <w:sz w:val="20"/>
        </w:rPr>
        <w:t xml:space="preserve"> people. The other </w:t>
      </w:r>
      <w:r w:rsidR="00524330" w:rsidRPr="00725DED">
        <w:rPr>
          <w:sz w:val="20"/>
        </w:rPr>
        <w:t xml:space="preserve">outer </w:t>
      </w:r>
      <w:r w:rsidR="00B5136D" w:rsidRPr="00725DED">
        <w:rPr>
          <w:sz w:val="20"/>
        </w:rPr>
        <w:t xml:space="preserve">growth areas </w:t>
      </w:r>
      <w:r w:rsidR="003711B2" w:rsidRPr="00725DED">
        <w:rPr>
          <w:sz w:val="20"/>
        </w:rPr>
        <w:t xml:space="preserve">saw large </w:t>
      </w:r>
      <w:r w:rsidR="00524330" w:rsidRPr="00725DED">
        <w:rPr>
          <w:sz w:val="20"/>
        </w:rPr>
        <w:t>increases</w:t>
      </w:r>
      <w:r w:rsidR="00F82FF4" w:rsidRPr="00725DED">
        <w:rPr>
          <w:sz w:val="20"/>
        </w:rPr>
        <w:t>,</w:t>
      </w:r>
      <w:r w:rsidR="003711B2" w:rsidRPr="00725DED">
        <w:rPr>
          <w:sz w:val="20"/>
        </w:rPr>
        <w:t xml:space="preserve"> as did the cities of Melbourne and Moreland.</w:t>
      </w:r>
    </w:p>
    <w:p w:rsidR="000E29A1" w:rsidRPr="00725DED" w:rsidRDefault="003711B2" w:rsidP="00420840">
      <w:pPr>
        <w:jc w:val="both"/>
        <w:rPr>
          <w:sz w:val="20"/>
        </w:rPr>
      </w:pPr>
      <w:r w:rsidRPr="00725DED">
        <w:rPr>
          <w:sz w:val="20"/>
        </w:rPr>
        <w:t xml:space="preserve">In </w:t>
      </w:r>
      <w:r w:rsidR="00F82FF4" w:rsidRPr="00725DED">
        <w:rPr>
          <w:sz w:val="20"/>
        </w:rPr>
        <w:t>r</w:t>
      </w:r>
      <w:r w:rsidRPr="00725DED">
        <w:rPr>
          <w:sz w:val="20"/>
        </w:rPr>
        <w:t xml:space="preserve">egional Victoria, strong growth was seen in Greater Geelong, Ballarat and Bendigo. Other areas to experience large growth were peri-urban </w:t>
      </w:r>
      <w:r w:rsidR="007169B3" w:rsidRPr="00725DED">
        <w:rPr>
          <w:sz w:val="20"/>
        </w:rPr>
        <w:t xml:space="preserve">Local </w:t>
      </w:r>
      <w:r w:rsidR="00CB0D04" w:rsidRPr="00725DED">
        <w:rPr>
          <w:sz w:val="20"/>
        </w:rPr>
        <w:t>G</w:t>
      </w:r>
      <w:r w:rsidR="007169B3" w:rsidRPr="00725DED">
        <w:rPr>
          <w:sz w:val="20"/>
        </w:rPr>
        <w:t xml:space="preserve">overnment </w:t>
      </w:r>
      <w:r w:rsidR="00CB0D04" w:rsidRPr="00725DED">
        <w:rPr>
          <w:sz w:val="20"/>
        </w:rPr>
        <w:t>A</w:t>
      </w:r>
      <w:r w:rsidR="007169B3" w:rsidRPr="00725DED">
        <w:rPr>
          <w:sz w:val="20"/>
        </w:rPr>
        <w:t>reas (LGAs)</w:t>
      </w:r>
      <w:r w:rsidRPr="00725DED">
        <w:rPr>
          <w:sz w:val="20"/>
        </w:rPr>
        <w:t xml:space="preserve">, such as Baw </w:t>
      </w:r>
      <w:proofErr w:type="spellStart"/>
      <w:r w:rsidRPr="00725DED">
        <w:rPr>
          <w:sz w:val="20"/>
        </w:rPr>
        <w:t>Baw</w:t>
      </w:r>
      <w:proofErr w:type="spellEnd"/>
      <w:r w:rsidR="002378AD" w:rsidRPr="00725DED">
        <w:rPr>
          <w:sz w:val="20"/>
        </w:rPr>
        <w:t>, Moorabool,</w:t>
      </w:r>
      <w:r w:rsidRPr="00725DED">
        <w:rPr>
          <w:sz w:val="20"/>
        </w:rPr>
        <w:t xml:space="preserve"> and Macedon Ranges, and coastal LGAs, like </w:t>
      </w:r>
      <w:r w:rsidR="002378AD" w:rsidRPr="00725DED">
        <w:rPr>
          <w:sz w:val="20"/>
        </w:rPr>
        <w:t xml:space="preserve">Surf Coast and </w:t>
      </w:r>
      <w:r w:rsidRPr="00725DED">
        <w:rPr>
          <w:sz w:val="20"/>
        </w:rPr>
        <w:t>Bass</w:t>
      </w:r>
      <w:r w:rsidR="001D71EC" w:rsidRPr="00725DED">
        <w:rPr>
          <w:sz w:val="20"/>
        </w:rPr>
        <w:t xml:space="preserve"> Coast</w:t>
      </w:r>
      <w:r w:rsidRPr="00725DED">
        <w:rPr>
          <w:sz w:val="20"/>
        </w:rPr>
        <w:t xml:space="preserve">. </w:t>
      </w:r>
    </w:p>
    <w:p w:rsidR="003711B2" w:rsidRPr="00725DED" w:rsidRDefault="003711B2" w:rsidP="00420840">
      <w:pPr>
        <w:jc w:val="both"/>
        <w:rPr>
          <w:sz w:val="20"/>
        </w:rPr>
      </w:pPr>
      <w:r w:rsidRPr="00725DED">
        <w:rPr>
          <w:sz w:val="20"/>
        </w:rPr>
        <w:t xml:space="preserve">Many </w:t>
      </w:r>
      <w:r w:rsidR="002B250B" w:rsidRPr="00725DED">
        <w:rPr>
          <w:sz w:val="20"/>
        </w:rPr>
        <w:t xml:space="preserve">of the </w:t>
      </w:r>
      <w:r w:rsidRPr="00725DED">
        <w:rPr>
          <w:sz w:val="20"/>
        </w:rPr>
        <w:t xml:space="preserve">more remote LGAs sustained a significant decrease in population. </w:t>
      </w:r>
    </w:p>
    <w:p w:rsidR="003711B2" w:rsidRPr="00911E1B" w:rsidRDefault="00725DED">
      <w:pPr>
        <w:rPr>
          <w:sz w:val="20"/>
          <w:highlight w:val="yellow"/>
        </w:rPr>
      </w:pPr>
      <w:r>
        <w:rPr>
          <w:noProof/>
          <w:lang w:eastAsia="en-AU"/>
        </w:rPr>
        <w:drawing>
          <wp:inline distT="0" distB="0" distL="0" distR="0" wp14:anchorId="773D3CDC" wp14:editId="4F424B67">
            <wp:extent cx="6381750" cy="69532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7F37" w:rsidRPr="00725DED" w:rsidRDefault="003711B2">
      <w:pPr>
        <w:rPr>
          <w:sz w:val="20"/>
        </w:rPr>
      </w:pPr>
      <w:r w:rsidRPr="00725DED">
        <w:rPr>
          <w:sz w:val="20"/>
        </w:rPr>
        <w:lastRenderedPageBreak/>
        <w:t xml:space="preserve"> </w:t>
      </w:r>
      <w:r w:rsidR="00725DED" w:rsidRPr="00725DED">
        <w:rPr>
          <w:noProof/>
          <w:lang w:eastAsia="en-AU"/>
        </w:rPr>
        <w:drawing>
          <wp:inline distT="0" distB="0" distL="0" distR="0" wp14:anchorId="6C09C61C" wp14:editId="5915885E">
            <wp:extent cx="6067425" cy="92583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87F37" w:rsidRPr="00725DED">
        <w:rPr>
          <w:sz w:val="20"/>
        </w:rPr>
        <w:br w:type="page"/>
      </w:r>
    </w:p>
    <w:p w:rsidR="00055988" w:rsidRPr="00725DED" w:rsidRDefault="00055988" w:rsidP="00420840">
      <w:pPr>
        <w:jc w:val="both"/>
        <w:rPr>
          <w:sz w:val="20"/>
        </w:rPr>
      </w:pPr>
      <w:bookmarkStart w:id="8" w:name="_Toc437436624"/>
      <w:r w:rsidRPr="00725DED">
        <w:rPr>
          <w:sz w:val="20"/>
        </w:rPr>
        <w:lastRenderedPageBreak/>
        <w:t xml:space="preserve">The projected populations for each </w:t>
      </w:r>
      <w:r w:rsidR="00452EF8" w:rsidRPr="00725DED">
        <w:rPr>
          <w:sz w:val="20"/>
        </w:rPr>
        <w:t xml:space="preserve">of </w:t>
      </w:r>
      <w:r w:rsidRPr="00725DED">
        <w:rPr>
          <w:sz w:val="20"/>
        </w:rPr>
        <w:t>Melbourne</w:t>
      </w:r>
      <w:r w:rsidR="00452EF8" w:rsidRPr="00725DED">
        <w:rPr>
          <w:sz w:val="20"/>
        </w:rPr>
        <w:t>’s</w:t>
      </w:r>
      <w:r w:rsidRPr="00725DED">
        <w:rPr>
          <w:sz w:val="20"/>
        </w:rPr>
        <w:t xml:space="preserve"> and </w:t>
      </w:r>
      <w:r w:rsidR="00D3280A" w:rsidRPr="00725DED">
        <w:rPr>
          <w:sz w:val="20"/>
        </w:rPr>
        <w:t>r</w:t>
      </w:r>
      <w:r w:rsidRPr="00725DED">
        <w:rPr>
          <w:sz w:val="20"/>
        </w:rPr>
        <w:t>egional Victoria’s LGAs up until 2031 are outlined below.</w:t>
      </w:r>
      <w:r w:rsidR="009B2D78" w:rsidRPr="00725DED">
        <w:rPr>
          <w:sz w:val="20"/>
        </w:rPr>
        <w:t xml:space="preserve"> As </w:t>
      </w:r>
      <w:r w:rsidR="00C83306" w:rsidRPr="00725DED">
        <w:rPr>
          <w:sz w:val="20"/>
        </w:rPr>
        <w:t xml:space="preserve">of </w:t>
      </w:r>
      <w:r w:rsidR="009B2D78" w:rsidRPr="00725DED">
        <w:rPr>
          <w:sz w:val="20"/>
        </w:rPr>
        <w:t>2031</w:t>
      </w:r>
      <w:r w:rsidR="002B250B" w:rsidRPr="00725DED">
        <w:rPr>
          <w:sz w:val="20"/>
        </w:rPr>
        <w:t>, Victoria is projected to have 7.7</w:t>
      </w:r>
      <w:r w:rsidR="00F51B05" w:rsidRPr="00725DED">
        <w:rPr>
          <w:sz w:val="20"/>
        </w:rPr>
        <w:t xml:space="preserve"> </w:t>
      </w:r>
      <w:r w:rsidR="002B250B" w:rsidRPr="00725DED">
        <w:rPr>
          <w:sz w:val="20"/>
        </w:rPr>
        <w:t>m</w:t>
      </w:r>
      <w:r w:rsidR="00F51B05" w:rsidRPr="00725DED">
        <w:rPr>
          <w:sz w:val="20"/>
        </w:rPr>
        <w:t>illion</w:t>
      </w:r>
      <w:r w:rsidR="002B250B" w:rsidRPr="00725DED">
        <w:rPr>
          <w:sz w:val="20"/>
        </w:rPr>
        <w:t xml:space="preserve"> people</w:t>
      </w:r>
      <w:r w:rsidR="00F51B05" w:rsidRPr="00725DED">
        <w:rPr>
          <w:sz w:val="20"/>
        </w:rPr>
        <w:t>,</w:t>
      </w:r>
      <w:r w:rsidR="002B250B" w:rsidRPr="00725DED">
        <w:rPr>
          <w:sz w:val="20"/>
        </w:rPr>
        <w:t xml:space="preserve"> with 5.9</w:t>
      </w:r>
      <w:r w:rsidR="00F51B05" w:rsidRPr="00725DED">
        <w:rPr>
          <w:sz w:val="20"/>
        </w:rPr>
        <w:t xml:space="preserve"> million</w:t>
      </w:r>
      <w:r w:rsidR="002B250B" w:rsidRPr="00725DED">
        <w:rPr>
          <w:sz w:val="20"/>
        </w:rPr>
        <w:t xml:space="preserve"> in metropolitan Melbourne (77%) and 1.8</w:t>
      </w:r>
      <w:r w:rsidR="00F51B05" w:rsidRPr="00725DED">
        <w:rPr>
          <w:sz w:val="20"/>
        </w:rPr>
        <w:t xml:space="preserve"> </w:t>
      </w:r>
      <w:r w:rsidR="002B250B" w:rsidRPr="00725DED">
        <w:rPr>
          <w:sz w:val="20"/>
        </w:rPr>
        <w:t>m</w:t>
      </w:r>
      <w:r w:rsidR="00F51B05" w:rsidRPr="00725DED">
        <w:rPr>
          <w:sz w:val="20"/>
        </w:rPr>
        <w:t>illion</w:t>
      </w:r>
      <w:r w:rsidR="002B250B" w:rsidRPr="00725DED">
        <w:rPr>
          <w:sz w:val="20"/>
        </w:rPr>
        <w:t xml:space="preserve"> in </w:t>
      </w:r>
      <w:r w:rsidR="00F51B05" w:rsidRPr="00725DED">
        <w:rPr>
          <w:sz w:val="20"/>
        </w:rPr>
        <w:t>r</w:t>
      </w:r>
      <w:r w:rsidR="002B250B" w:rsidRPr="00725DED">
        <w:rPr>
          <w:sz w:val="20"/>
        </w:rPr>
        <w:t xml:space="preserve">egional Victoria (23%). This </w:t>
      </w:r>
      <w:r w:rsidR="00D143F4" w:rsidRPr="00725DED">
        <w:rPr>
          <w:sz w:val="20"/>
        </w:rPr>
        <w:t>is a growth of 1.7</w:t>
      </w:r>
      <w:r w:rsidR="008A75EC" w:rsidRPr="00725DED">
        <w:rPr>
          <w:sz w:val="20"/>
        </w:rPr>
        <w:t xml:space="preserve"> </w:t>
      </w:r>
      <w:r w:rsidR="002B250B" w:rsidRPr="00725DED">
        <w:rPr>
          <w:sz w:val="20"/>
        </w:rPr>
        <w:t>m</w:t>
      </w:r>
      <w:r w:rsidR="008A75EC" w:rsidRPr="00725DED">
        <w:rPr>
          <w:sz w:val="20"/>
        </w:rPr>
        <w:t>illion</w:t>
      </w:r>
      <w:r w:rsidR="002B250B" w:rsidRPr="00725DED">
        <w:rPr>
          <w:sz w:val="20"/>
        </w:rPr>
        <w:t xml:space="preserve"> </w:t>
      </w:r>
      <w:r w:rsidR="009B2D78" w:rsidRPr="00725DED">
        <w:rPr>
          <w:sz w:val="20"/>
        </w:rPr>
        <w:t xml:space="preserve">people </w:t>
      </w:r>
      <w:r w:rsidR="002B250B" w:rsidRPr="00725DED">
        <w:rPr>
          <w:sz w:val="20"/>
        </w:rPr>
        <w:t>in</w:t>
      </w:r>
      <w:r w:rsidR="009B2D78" w:rsidRPr="00725DED">
        <w:rPr>
          <w:sz w:val="20"/>
        </w:rPr>
        <w:t xml:space="preserve"> metropolitan</w:t>
      </w:r>
      <w:r w:rsidR="002B250B" w:rsidRPr="00725DED">
        <w:rPr>
          <w:sz w:val="20"/>
        </w:rPr>
        <w:t xml:space="preserve"> Melbourne</w:t>
      </w:r>
      <w:r w:rsidR="00D143F4" w:rsidRPr="00725DED">
        <w:rPr>
          <w:sz w:val="20"/>
        </w:rPr>
        <w:t xml:space="preserve"> (84</w:t>
      </w:r>
      <w:r w:rsidR="009B2D78" w:rsidRPr="00725DED">
        <w:rPr>
          <w:sz w:val="20"/>
        </w:rPr>
        <w:t xml:space="preserve">% of the total </w:t>
      </w:r>
      <w:r w:rsidR="008A75EC" w:rsidRPr="00725DED">
        <w:rPr>
          <w:sz w:val="20"/>
        </w:rPr>
        <w:t>s</w:t>
      </w:r>
      <w:r w:rsidR="009B2D78" w:rsidRPr="00725DED">
        <w:rPr>
          <w:sz w:val="20"/>
        </w:rPr>
        <w:t>tate</w:t>
      </w:r>
      <w:r w:rsidR="008A75EC" w:rsidRPr="00725DED">
        <w:rPr>
          <w:sz w:val="20"/>
        </w:rPr>
        <w:t xml:space="preserve"> g</w:t>
      </w:r>
      <w:r w:rsidR="009B2D78" w:rsidRPr="00725DED">
        <w:rPr>
          <w:sz w:val="20"/>
        </w:rPr>
        <w:t>rowth)</w:t>
      </w:r>
      <w:r w:rsidR="00D143F4" w:rsidRPr="00725DED">
        <w:rPr>
          <w:sz w:val="20"/>
        </w:rPr>
        <w:t xml:space="preserve"> and 2</w:t>
      </w:r>
      <w:r w:rsidR="002B250B" w:rsidRPr="00725DED">
        <w:rPr>
          <w:sz w:val="20"/>
        </w:rPr>
        <w:t xml:space="preserve">70,000 in </w:t>
      </w:r>
      <w:r w:rsidR="008A75EC" w:rsidRPr="00725DED">
        <w:rPr>
          <w:sz w:val="20"/>
        </w:rPr>
        <w:t>r</w:t>
      </w:r>
      <w:r w:rsidR="002B250B" w:rsidRPr="00725DED">
        <w:rPr>
          <w:sz w:val="20"/>
        </w:rPr>
        <w:t>egional Victoria</w:t>
      </w:r>
      <w:r w:rsidR="00D143F4" w:rsidRPr="00725DED">
        <w:rPr>
          <w:sz w:val="20"/>
        </w:rPr>
        <w:t xml:space="preserve"> (16</w:t>
      </w:r>
      <w:r w:rsidR="009B2D78" w:rsidRPr="00725DED">
        <w:rPr>
          <w:sz w:val="20"/>
        </w:rPr>
        <w:t>% of</w:t>
      </w:r>
      <w:r w:rsidR="00D143F4" w:rsidRPr="00725DED">
        <w:rPr>
          <w:sz w:val="20"/>
        </w:rPr>
        <w:t xml:space="preserve"> </w:t>
      </w:r>
      <w:r w:rsidR="00543AE1" w:rsidRPr="00725DED">
        <w:rPr>
          <w:sz w:val="20"/>
        </w:rPr>
        <w:t>s</w:t>
      </w:r>
      <w:r w:rsidR="00D143F4" w:rsidRPr="00725DED">
        <w:rPr>
          <w:sz w:val="20"/>
        </w:rPr>
        <w:t>tate growth)</w:t>
      </w:r>
      <w:r w:rsidR="008A75EC" w:rsidRPr="00725DED">
        <w:rPr>
          <w:sz w:val="20"/>
        </w:rPr>
        <w:t>,</w:t>
      </w:r>
      <w:r w:rsidR="00D143F4" w:rsidRPr="00725DED">
        <w:rPr>
          <w:sz w:val="20"/>
        </w:rPr>
        <w:t xml:space="preserve"> of which over 250</w:t>
      </w:r>
      <w:r w:rsidR="009B2D78" w:rsidRPr="00725DED">
        <w:rPr>
          <w:sz w:val="20"/>
        </w:rPr>
        <w:t>,</w:t>
      </w:r>
      <w:r w:rsidR="00D143F4" w:rsidRPr="00725DED">
        <w:rPr>
          <w:sz w:val="20"/>
        </w:rPr>
        <w:t>000 (or 94</w:t>
      </w:r>
      <w:r w:rsidR="009B2D78" w:rsidRPr="00725DED">
        <w:rPr>
          <w:sz w:val="20"/>
        </w:rPr>
        <w:t xml:space="preserve">%) are in the 10 key </w:t>
      </w:r>
      <w:r w:rsidR="00917C55" w:rsidRPr="00725DED">
        <w:rPr>
          <w:sz w:val="20"/>
        </w:rPr>
        <w:t>r</w:t>
      </w:r>
      <w:r w:rsidR="009B2D78" w:rsidRPr="00725DED">
        <w:rPr>
          <w:sz w:val="20"/>
        </w:rPr>
        <w:t xml:space="preserve">egional </w:t>
      </w:r>
      <w:r w:rsidR="00917C55" w:rsidRPr="00725DED">
        <w:rPr>
          <w:sz w:val="20"/>
        </w:rPr>
        <w:t>c</w:t>
      </w:r>
      <w:r w:rsidR="009B2D78" w:rsidRPr="00725DED">
        <w:rPr>
          <w:sz w:val="20"/>
        </w:rPr>
        <w:t>entres</w:t>
      </w:r>
      <w:r w:rsidR="00C83306" w:rsidRPr="00725DED">
        <w:rPr>
          <w:sz w:val="20"/>
        </w:rPr>
        <w:t>,</w:t>
      </w:r>
      <w:r w:rsidR="009B2D78" w:rsidRPr="00725DED">
        <w:rPr>
          <w:sz w:val="20"/>
        </w:rPr>
        <w:t xml:space="preserve"> </w:t>
      </w:r>
      <w:r w:rsidR="00917C55" w:rsidRPr="00725DED">
        <w:rPr>
          <w:sz w:val="20"/>
        </w:rPr>
        <w:t>p</w:t>
      </w:r>
      <w:r w:rsidR="009B2D78" w:rsidRPr="00725DED">
        <w:rPr>
          <w:sz w:val="20"/>
        </w:rPr>
        <w:t>eri</w:t>
      </w:r>
      <w:r w:rsidR="009F7C5B" w:rsidRPr="00725DED">
        <w:rPr>
          <w:sz w:val="20"/>
        </w:rPr>
        <w:t>-</w:t>
      </w:r>
      <w:r w:rsidR="009B2D78" w:rsidRPr="00725DED">
        <w:rPr>
          <w:sz w:val="20"/>
        </w:rPr>
        <w:t>urban</w:t>
      </w:r>
      <w:r w:rsidR="00C83306" w:rsidRPr="00725DED">
        <w:rPr>
          <w:sz w:val="20"/>
        </w:rPr>
        <w:t xml:space="preserve"> </w:t>
      </w:r>
      <w:r w:rsidR="00AE4443" w:rsidRPr="00725DED">
        <w:rPr>
          <w:sz w:val="20"/>
        </w:rPr>
        <w:t xml:space="preserve">LGAs </w:t>
      </w:r>
      <w:r w:rsidR="009B2D78" w:rsidRPr="00725DED">
        <w:rPr>
          <w:sz w:val="20"/>
        </w:rPr>
        <w:t>and coastal areas</w:t>
      </w:r>
      <w:r w:rsidR="002B250B" w:rsidRPr="00725DED">
        <w:rPr>
          <w:sz w:val="20"/>
        </w:rPr>
        <w:t>.</w:t>
      </w:r>
    </w:p>
    <w:p w:rsidR="00055988" w:rsidRPr="00911E1B" w:rsidRDefault="00813EE9">
      <w:pPr>
        <w:rPr>
          <w:sz w:val="20"/>
          <w:highlight w:val="yellow"/>
        </w:rPr>
      </w:pPr>
      <w:r w:rsidRPr="00725DED">
        <w:rPr>
          <w:noProof/>
          <w:lang w:eastAsia="en-AU"/>
        </w:rPr>
        <w:drawing>
          <wp:inline distT="0" distB="0" distL="0" distR="0" wp14:anchorId="02AA01C7" wp14:editId="4F12E697">
            <wp:extent cx="6012180" cy="8374380"/>
            <wp:effectExtent l="0" t="0" r="762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5988" w:rsidRPr="00911E1B" w:rsidRDefault="00055988">
      <w:pPr>
        <w:rPr>
          <w:highlight w:val="yellow"/>
        </w:rPr>
      </w:pPr>
      <w:r w:rsidRPr="00911E1B">
        <w:rPr>
          <w:highlight w:val="yellow"/>
        </w:rPr>
        <w:br w:type="page"/>
      </w:r>
      <w:r w:rsidR="00D143F4" w:rsidRPr="00725DED">
        <w:rPr>
          <w:noProof/>
          <w:lang w:eastAsia="en-AU"/>
        </w:rPr>
        <w:lastRenderedPageBreak/>
        <w:drawing>
          <wp:inline distT="0" distB="0" distL="0" distR="0" wp14:anchorId="23250AA6" wp14:editId="5F1639FA">
            <wp:extent cx="6209665" cy="9250680"/>
            <wp:effectExtent l="0" t="0" r="635" b="762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F776B" w:rsidRPr="00911E1B">
        <w:rPr>
          <w:highlight w:val="yellow"/>
        </w:rPr>
        <w:t xml:space="preserve"> </w:t>
      </w:r>
      <w:r w:rsidRPr="00911E1B">
        <w:rPr>
          <w:highlight w:val="yellow"/>
        </w:rPr>
        <w:br w:type="page"/>
      </w:r>
    </w:p>
    <w:p w:rsidR="00E61CCB" w:rsidRPr="00725DED" w:rsidRDefault="00E61CCB" w:rsidP="0072166A">
      <w:pPr>
        <w:pStyle w:val="Heading2numbered"/>
        <w:rPr>
          <w:color w:val="002060"/>
        </w:rPr>
      </w:pPr>
      <w:bookmarkStart w:id="9" w:name="_Toc468972254"/>
      <w:r w:rsidRPr="00725DED">
        <w:rPr>
          <w:color w:val="002060"/>
        </w:rPr>
        <w:lastRenderedPageBreak/>
        <w:t>B</w:t>
      </w:r>
      <w:r w:rsidR="00385888" w:rsidRPr="00725DED">
        <w:rPr>
          <w:color w:val="002060"/>
        </w:rPr>
        <w:t>irths</w:t>
      </w:r>
      <w:bookmarkEnd w:id="8"/>
      <w:r w:rsidR="00571481" w:rsidRPr="00725DED">
        <w:rPr>
          <w:color w:val="002060"/>
        </w:rPr>
        <w:t xml:space="preserve"> by Local Government Area</w:t>
      </w:r>
      <w:bookmarkEnd w:id="9"/>
    </w:p>
    <w:p w:rsidR="009A7358" w:rsidRPr="00725DED" w:rsidRDefault="00973450" w:rsidP="00420840">
      <w:pPr>
        <w:jc w:val="both"/>
        <w:rPr>
          <w:sz w:val="20"/>
        </w:rPr>
      </w:pPr>
      <w:r w:rsidRPr="00725DED">
        <w:rPr>
          <w:sz w:val="20"/>
        </w:rPr>
        <w:t>Victoria had a total of 73</w:t>
      </w:r>
      <w:r w:rsidR="009A7358" w:rsidRPr="00725DED">
        <w:rPr>
          <w:sz w:val="20"/>
        </w:rPr>
        <w:t>,</w:t>
      </w:r>
      <w:r w:rsidRPr="00725DED">
        <w:rPr>
          <w:sz w:val="20"/>
        </w:rPr>
        <w:t>6</w:t>
      </w:r>
      <w:r w:rsidR="009A7358" w:rsidRPr="00725DED">
        <w:rPr>
          <w:sz w:val="20"/>
        </w:rPr>
        <w:t>00 births in 201</w:t>
      </w:r>
      <w:r w:rsidRPr="00725DED">
        <w:rPr>
          <w:sz w:val="20"/>
        </w:rPr>
        <w:t>5</w:t>
      </w:r>
      <w:r w:rsidR="009A7358" w:rsidRPr="00725DED">
        <w:rPr>
          <w:sz w:val="20"/>
        </w:rPr>
        <w:t>, 57,</w:t>
      </w:r>
      <w:r w:rsidRPr="00725DED">
        <w:rPr>
          <w:sz w:val="20"/>
        </w:rPr>
        <w:t>2</w:t>
      </w:r>
      <w:r w:rsidR="009A7358" w:rsidRPr="00725DED">
        <w:rPr>
          <w:sz w:val="20"/>
        </w:rPr>
        <w:t>00 of which were in metropolitan Melbourne (78%) and 16,</w:t>
      </w:r>
      <w:r w:rsidRPr="00725DED">
        <w:rPr>
          <w:sz w:val="20"/>
        </w:rPr>
        <w:t>200</w:t>
      </w:r>
      <w:r w:rsidR="000F7487" w:rsidRPr="00725DED">
        <w:rPr>
          <w:sz w:val="20"/>
        </w:rPr>
        <w:t xml:space="preserve"> of which were</w:t>
      </w:r>
      <w:r w:rsidR="009A7358" w:rsidRPr="00725DED">
        <w:rPr>
          <w:sz w:val="20"/>
        </w:rPr>
        <w:t xml:space="preserve"> in </w:t>
      </w:r>
      <w:r w:rsidR="001E3608" w:rsidRPr="00725DED">
        <w:rPr>
          <w:sz w:val="20"/>
        </w:rPr>
        <w:t>r</w:t>
      </w:r>
      <w:r w:rsidR="009A7358" w:rsidRPr="00725DED">
        <w:rPr>
          <w:sz w:val="20"/>
        </w:rPr>
        <w:t>egional Victoria (22%).</w:t>
      </w:r>
      <w:r w:rsidR="00725DED">
        <w:rPr>
          <w:sz w:val="20"/>
        </w:rPr>
        <w:t xml:space="preserve"> The final figure for births in 2016 will be available in late 2017. </w:t>
      </w:r>
    </w:p>
    <w:p w:rsidR="00F87F37" w:rsidRPr="00725DED" w:rsidRDefault="00F87F37" w:rsidP="00420840">
      <w:pPr>
        <w:jc w:val="both"/>
        <w:rPr>
          <w:sz w:val="20"/>
        </w:rPr>
      </w:pPr>
      <w:r w:rsidRPr="00725DED">
        <w:rPr>
          <w:sz w:val="20"/>
        </w:rPr>
        <w:t xml:space="preserve">By </w:t>
      </w:r>
      <w:r w:rsidR="001E3608" w:rsidRPr="00725DED">
        <w:rPr>
          <w:sz w:val="20"/>
        </w:rPr>
        <w:t>L</w:t>
      </w:r>
      <w:r w:rsidRPr="00725DED">
        <w:rPr>
          <w:sz w:val="20"/>
        </w:rPr>
        <w:t xml:space="preserve">ocal </w:t>
      </w:r>
      <w:r w:rsidR="001E3608" w:rsidRPr="00725DED">
        <w:rPr>
          <w:sz w:val="20"/>
        </w:rPr>
        <w:t>G</w:t>
      </w:r>
      <w:r w:rsidRPr="00725DED">
        <w:rPr>
          <w:sz w:val="20"/>
        </w:rPr>
        <w:t xml:space="preserve">overnment </w:t>
      </w:r>
      <w:r w:rsidR="001E3608" w:rsidRPr="00725DED">
        <w:rPr>
          <w:sz w:val="20"/>
        </w:rPr>
        <w:t>A</w:t>
      </w:r>
      <w:r w:rsidRPr="00725DED">
        <w:rPr>
          <w:sz w:val="20"/>
        </w:rPr>
        <w:t>rea</w:t>
      </w:r>
      <w:r w:rsidR="001E3608" w:rsidRPr="00725DED">
        <w:rPr>
          <w:sz w:val="20"/>
        </w:rPr>
        <w:t xml:space="preserve"> (LGA)</w:t>
      </w:r>
      <w:r w:rsidRPr="00725DED">
        <w:rPr>
          <w:sz w:val="20"/>
        </w:rPr>
        <w:t>, the City of Casey had the most births</w:t>
      </w:r>
      <w:r w:rsidR="001E3608" w:rsidRPr="00725DED">
        <w:rPr>
          <w:sz w:val="20"/>
        </w:rPr>
        <w:t>,</w:t>
      </w:r>
      <w:r w:rsidR="00973450" w:rsidRPr="00725DED">
        <w:rPr>
          <w:sz w:val="20"/>
        </w:rPr>
        <w:t xml:space="preserve"> with 4,389</w:t>
      </w:r>
      <w:r w:rsidRPr="00725DED">
        <w:rPr>
          <w:sz w:val="20"/>
        </w:rPr>
        <w:t xml:space="preserve"> babies born</w:t>
      </w:r>
      <w:r w:rsidR="001E3608" w:rsidRPr="00725DED">
        <w:rPr>
          <w:sz w:val="20"/>
        </w:rPr>
        <w:t>,</w:t>
      </w:r>
      <w:r w:rsidRPr="00725DED">
        <w:rPr>
          <w:sz w:val="20"/>
        </w:rPr>
        <w:t xml:space="preserve"> followed by other Greenfield </w:t>
      </w:r>
      <w:r w:rsidR="001E3608" w:rsidRPr="00725DED">
        <w:rPr>
          <w:sz w:val="20"/>
        </w:rPr>
        <w:t xml:space="preserve">LGAs, </w:t>
      </w:r>
      <w:r w:rsidR="00543AE1" w:rsidRPr="00725DED">
        <w:rPr>
          <w:sz w:val="20"/>
        </w:rPr>
        <w:t xml:space="preserve">including </w:t>
      </w:r>
      <w:r w:rsidR="00973450" w:rsidRPr="00725DED">
        <w:rPr>
          <w:sz w:val="20"/>
        </w:rPr>
        <w:t>Wyndham (4,058), Whittlesea (3,065) and Hume (2</w:t>
      </w:r>
      <w:r w:rsidR="001B6126" w:rsidRPr="00725DED">
        <w:rPr>
          <w:sz w:val="20"/>
        </w:rPr>
        <w:t>,</w:t>
      </w:r>
      <w:r w:rsidR="00973450" w:rsidRPr="00725DED">
        <w:rPr>
          <w:sz w:val="20"/>
        </w:rPr>
        <w:t>987</w:t>
      </w:r>
      <w:r w:rsidR="001B6126" w:rsidRPr="00725DED">
        <w:rPr>
          <w:sz w:val="20"/>
        </w:rPr>
        <w:t>).</w:t>
      </w:r>
    </w:p>
    <w:p w:rsidR="00587425" w:rsidRPr="00725DED" w:rsidRDefault="001B6126" w:rsidP="00420840">
      <w:pPr>
        <w:jc w:val="both"/>
        <w:rPr>
          <w:sz w:val="20"/>
        </w:rPr>
      </w:pPr>
      <w:r w:rsidRPr="00725DED">
        <w:rPr>
          <w:sz w:val="20"/>
        </w:rPr>
        <w:t xml:space="preserve">In </w:t>
      </w:r>
      <w:r w:rsidR="00A72AF4" w:rsidRPr="00725DED">
        <w:rPr>
          <w:sz w:val="20"/>
        </w:rPr>
        <w:t>r</w:t>
      </w:r>
      <w:r w:rsidRPr="00725DED">
        <w:rPr>
          <w:sz w:val="20"/>
        </w:rPr>
        <w:t>egional Victoria, Greater Geelong had 2,7</w:t>
      </w:r>
      <w:r w:rsidR="002D2C81" w:rsidRPr="00725DED">
        <w:rPr>
          <w:sz w:val="20"/>
        </w:rPr>
        <w:t>89</w:t>
      </w:r>
      <w:r w:rsidRPr="00725DED">
        <w:rPr>
          <w:sz w:val="20"/>
        </w:rPr>
        <w:t xml:space="preserve"> births and Bendigo and Ballarat both ha</w:t>
      </w:r>
      <w:r w:rsidR="00932482" w:rsidRPr="00725DED">
        <w:rPr>
          <w:sz w:val="20"/>
        </w:rPr>
        <w:t xml:space="preserve">d </w:t>
      </w:r>
      <w:r w:rsidRPr="00725DED">
        <w:rPr>
          <w:sz w:val="20"/>
        </w:rPr>
        <w:t>more than 1,000</w:t>
      </w:r>
      <w:r w:rsidR="00932482" w:rsidRPr="00725DED">
        <w:rPr>
          <w:sz w:val="20"/>
        </w:rPr>
        <w:t xml:space="preserve"> newborns</w:t>
      </w:r>
      <w:r w:rsidRPr="00725DED">
        <w:rPr>
          <w:sz w:val="20"/>
        </w:rPr>
        <w:t xml:space="preserve">.  </w:t>
      </w:r>
      <w:r w:rsidR="002D2C81" w:rsidRPr="00725DED">
        <w:rPr>
          <w:sz w:val="20"/>
        </w:rPr>
        <w:t>Ano</w:t>
      </w:r>
      <w:r w:rsidRPr="00725DED">
        <w:rPr>
          <w:sz w:val="20"/>
        </w:rPr>
        <w:t>ther interest</w:t>
      </w:r>
      <w:r w:rsidR="00932482" w:rsidRPr="00725DED">
        <w:rPr>
          <w:sz w:val="20"/>
        </w:rPr>
        <w:t>ing</w:t>
      </w:r>
      <w:r w:rsidRPr="00725DED">
        <w:rPr>
          <w:sz w:val="20"/>
        </w:rPr>
        <w:t xml:space="preserve"> result w</w:t>
      </w:r>
      <w:r w:rsidR="002D2C81" w:rsidRPr="00725DED">
        <w:rPr>
          <w:sz w:val="20"/>
        </w:rPr>
        <w:t>as</w:t>
      </w:r>
      <w:r w:rsidRPr="00725DED">
        <w:rPr>
          <w:sz w:val="20"/>
        </w:rPr>
        <w:t xml:space="preserve"> recorded in Baw </w:t>
      </w:r>
      <w:proofErr w:type="spellStart"/>
      <w:r w:rsidRPr="00725DED">
        <w:rPr>
          <w:sz w:val="20"/>
        </w:rPr>
        <w:t>Baw</w:t>
      </w:r>
      <w:proofErr w:type="spellEnd"/>
      <w:r w:rsidRPr="00725DED">
        <w:rPr>
          <w:sz w:val="20"/>
        </w:rPr>
        <w:t xml:space="preserve"> </w:t>
      </w:r>
      <w:r w:rsidR="002D2C81" w:rsidRPr="00725DED">
        <w:rPr>
          <w:sz w:val="20"/>
        </w:rPr>
        <w:t>with more than 500 babies</w:t>
      </w:r>
      <w:r w:rsidR="000F7487" w:rsidRPr="00725DED">
        <w:rPr>
          <w:sz w:val="20"/>
        </w:rPr>
        <w:t xml:space="preserve"> born</w:t>
      </w:r>
      <w:r w:rsidR="00587425" w:rsidRPr="00725DED">
        <w:rPr>
          <w:sz w:val="20"/>
        </w:rPr>
        <w:t xml:space="preserve">, the fastest growing peri-urban LGA. </w:t>
      </w:r>
    </w:p>
    <w:p w:rsidR="002F348B" w:rsidRPr="00725DED" w:rsidRDefault="002F348B" w:rsidP="00420840">
      <w:pPr>
        <w:jc w:val="both"/>
        <w:rPr>
          <w:sz w:val="20"/>
        </w:rPr>
      </w:pPr>
      <w:r w:rsidRPr="00725DED">
        <w:rPr>
          <w:sz w:val="20"/>
        </w:rPr>
        <w:t xml:space="preserve">Appendix 2 of this </w:t>
      </w:r>
      <w:r w:rsidR="002D2C81" w:rsidRPr="00725DED">
        <w:rPr>
          <w:sz w:val="20"/>
        </w:rPr>
        <w:t>report contains maps of the 2015</w:t>
      </w:r>
      <w:r w:rsidRPr="00725DED">
        <w:rPr>
          <w:sz w:val="20"/>
        </w:rPr>
        <w:t xml:space="preserve"> Births. </w:t>
      </w:r>
    </w:p>
    <w:p w:rsidR="00F87F37" w:rsidRPr="00911E1B" w:rsidRDefault="002D2C81">
      <w:pPr>
        <w:rPr>
          <w:sz w:val="20"/>
          <w:highlight w:val="yellow"/>
        </w:rPr>
      </w:pPr>
      <w:r w:rsidRPr="00204184">
        <w:rPr>
          <w:noProof/>
          <w:lang w:eastAsia="en-AU"/>
        </w:rPr>
        <w:drawing>
          <wp:inline distT="0" distB="0" distL="0" distR="0" wp14:anchorId="72BB0415" wp14:editId="0B9898C9">
            <wp:extent cx="6080760" cy="725805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4456" w:rsidRPr="00911E1B" w:rsidRDefault="002D2C81">
      <w:pPr>
        <w:rPr>
          <w:b/>
          <w:sz w:val="20"/>
          <w:highlight w:val="yellow"/>
        </w:rPr>
      </w:pPr>
      <w:r w:rsidRPr="000722BA">
        <w:rPr>
          <w:noProof/>
          <w:lang w:eastAsia="en-AU"/>
        </w:rPr>
        <w:lastRenderedPageBreak/>
        <w:drawing>
          <wp:inline distT="0" distB="0" distL="0" distR="0" wp14:anchorId="782A13EF" wp14:editId="014BAB85">
            <wp:extent cx="6176010" cy="9311640"/>
            <wp:effectExtent l="0" t="0" r="0" b="381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10" w:name="_Toc437436625"/>
      <w:r w:rsidR="00FD4456" w:rsidRPr="00911E1B">
        <w:rPr>
          <w:b/>
          <w:sz w:val="20"/>
          <w:highlight w:val="yellow"/>
        </w:rPr>
        <w:br w:type="page"/>
      </w:r>
    </w:p>
    <w:p w:rsidR="001B6126" w:rsidRPr="000722BA" w:rsidRDefault="001B6126" w:rsidP="0072166A">
      <w:pPr>
        <w:pStyle w:val="Heading2numbered"/>
        <w:rPr>
          <w:color w:val="002060"/>
        </w:rPr>
      </w:pPr>
      <w:bookmarkStart w:id="11" w:name="_Toc468972255"/>
      <w:r w:rsidRPr="000722BA">
        <w:rPr>
          <w:color w:val="002060"/>
        </w:rPr>
        <w:lastRenderedPageBreak/>
        <w:t>Deaths</w:t>
      </w:r>
      <w:bookmarkEnd w:id="10"/>
      <w:bookmarkEnd w:id="11"/>
      <w:r w:rsidRPr="000722BA">
        <w:rPr>
          <w:color w:val="002060"/>
        </w:rPr>
        <w:t xml:space="preserve"> </w:t>
      </w:r>
    </w:p>
    <w:p w:rsidR="001B6126" w:rsidRPr="000722BA" w:rsidRDefault="00CC302C" w:rsidP="00420840">
      <w:pPr>
        <w:jc w:val="both"/>
        <w:rPr>
          <w:sz w:val="20"/>
        </w:rPr>
      </w:pPr>
      <w:r w:rsidRPr="000722BA">
        <w:rPr>
          <w:sz w:val="20"/>
        </w:rPr>
        <w:t>In 201</w:t>
      </w:r>
      <w:r w:rsidR="00587425" w:rsidRPr="000722BA">
        <w:rPr>
          <w:sz w:val="20"/>
        </w:rPr>
        <w:t>5</w:t>
      </w:r>
      <w:r w:rsidRPr="000722BA">
        <w:rPr>
          <w:sz w:val="20"/>
        </w:rPr>
        <w:t xml:space="preserve">, </w:t>
      </w:r>
      <w:r w:rsidR="00587425" w:rsidRPr="000722BA">
        <w:rPr>
          <w:sz w:val="20"/>
        </w:rPr>
        <w:t>39</w:t>
      </w:r>
      <w:r w:rsidRPr="000722BA">
        <w:rPr>
          <w:sz w:val="20"/>
        </w:rPr>
        <w:t>,9</w:t>
      </w:r>
      <w:r w:rsidR="00587425" w:rsidRPr="000722BA">
        <w:rPr>
          <w:sz w:val="20"/>
        </w:rPr>
        <w:t>04</w:t>
      </w:r>
      <w:r w:rsidRPr="000722BA">
        <w:rPr>
          <w:sz w:val="20"/>
        </w:rPr>
        <w:t xml:space="preserve"> people died in Victoria</w:t>
      </w:r>
      <w:r w:rsidR="00932482" w:rsidRPr="000722BA">
        <w:rPr>
          <w:sz w:val="20"/>
        </w:rPr>
        <w:t xml:space="preserve">, a large increase compared to </w:t>
      </w:r>
      <w:r w:rsidR="00622648" w:rsidRPr="000722BA">
        <w:rPr>
          <w:sz w:val="20"/>
        </w:rPr>
        <w:t>201</w:t>
      </w:r>
      <w:r w:rsidR="00587425" w:rsidRPr="000722BA">
        <w:rPr>
          <w:sz w:val="20"/>
        </w:rPr>
        <w:t>4</w:t>
      </w:r>
      <w:r w:rsidR="00622648" w:rsidRPr="000722BA">
        <w:rPr>
          <w:sz w:val="20"/>
        </w:rPr>
        <w:t xml:space="preserve">, when only </w:t>
      </w:r>
      <w:r w:rsidR="00587425" w:rsidRPr="000722BA">
        <w:rPr>
          <w:sz w:val="20"/>
        </w:rPr>
        <w:t>37</w:t>
      </w:r>
      <w:r w:rsidRPr="000722BA">
        <w:rPr>
          <w:sz w:val="20"/>
        </w:rPr>
        <w:t>,9</w:t>
      </w:r>
      <w:r w:rsidR="00587425" w:rsidRPr="000722BA">
        <w:rPr>
          <w:sz w:val="20"/>
        </w:rPr>
        <w:t>58</w:t>
      </w:r>
      <w:r w:rsidRPr="000722BA">
        <w:rPr>
          <w:sz w:val="20"/>
        </w:rPr>
        <w:t xml:space="preserve"> people died. </w:t>
      </w:r>
      <w:r w:rsidR="009A7358" w:rsidRPr="000722BA">
        <w:rPr>
          <w:sz w:val="20"/>
        </w:rPr>
        <w:t>Of those</w:t>
      </w:r>
      <w:r w:rsidR="005501FD" w:rsidRPr="000722BA">
        <w:rPr>
          <w:sz w:val="20"/>
        </w:rPr>
        <w:t xml:space="preserve"> who</w:t>
      </w:r>
      <w:r w:rsidR="00EF5716" w:rsidRPr="000722BA">
        <w:rPr>
          <w:sz w:val="20"/>
        </w:rPr>
        <w:t xml:space="preserve"> died, 26</w:t>
      </w:r>
      <w:r w:rsidR="009A7358" w:rsidRPr="000722BA">
        <w:rPr>
          <w:sz w:val="20"/>
        </w:rPr>
        <w:t>,7</w:t>
      </w:r>
      <w:r w:rsidR="00EF5716" w:rsidRPr="000722BA">
        <w:rPr>
          <w:sz w:val="20"/>
        </w:rPr>
        <w:t>20</w:t>
      </w:r>
      <w:r w:rsidR="009A7358" w:rsidRPr="000722BA">
        <w:rPr>
          <w:sz w:val="20"/>
        </w:rPr>
        <w:t xml:space="preserve"> were </w:t>
      </w:r>
      <w:r w:rsidR="005501FD" w:rsidRPr="000722BA">
        <w:rPr>
          <w:sz w:val="20"/>
        </w:rPr>
        <w:t>from</w:t>
      </w:r>
      <w:r w:rsidR="009A7358" w:rsidRPr="000722BA">
        <w:rPr>
          <w:sz w:val="20"/>
        </w:rPr>
        <w:t xml:space="preserve"> met</w:t>
      </w:r>
      <w:r w:rsidR="00EF5716" w:rsidRPr="000722BA">
        <w:rPr>
          <w:sz w:val="20"/>
        </w:rPr>
        <w:t>ropolitan Melbourne (67%) and 13</w:t>
      </w:r>
      <w:r w:rsidR="009A7358" w:rsidRPr="000722BA">
        <w:rPr>
          <w:sz w:val="20"/>
        </w:rPr>
        <w:t>,1</w:t>
      </w:r>
      <w:r w:rsidR="00EF5716" w:rsidRPr="000722BA">
        <w:rPr>
          <w:sz w:val="20"/>
        </w:rPr>
        <w:t>04</w:t>
      </w:r>
      <w:r w:rsidR="009A7358" w:rsidRPr="000722BA">
        <w:rPr>
          <w:sz w:val="20"/>
        </w:rPr>
        <w:t xml:space="preserve"> were </w:t>
      </w:r>
      <w:r w:rsidR="005501FD" w:rsidRPr="000722BA">
        <w:rPr>
          <w:sz w:val="20"/>
        </w:rPr>
        <w:t>from r</w:t>
      </w:r>
      <w:r w:rsidR="009A7358" w:rsidRPr="000722BA">
        <w:rPr>
          <w:sz w:val="20"/>
        </w:rPr>
        <w:t>egional Victoria (33%)</w:t>
      </w:r>
      <w:r w:rsidR="0053025E" w:rsidRPr="000722BA">
        <w:rPr>
          <w:sz w:val="20"/>
        </w:rPr>
        <w:t>.</w:t>
      </w:r>
      <w:r w:rsidR="00EF5716" w:rsidRPr="000722BA">
        <w:rPr>
          <w:sz w:val="20"/>
        </w:rPr>
        <w:t xml:space="preserve"> </w:t>
      </w:r>
    </w:p>
    <w:p w:rsidR="00CC302C" w:rsidRPr="000722BA" w:rsidRDefault="00A76857" w:rsidP="00420840">
      <w:pPr>
        <w:jc w:val="both"/>
        <w:rPr>
          <w:sz w:val="20"/>
        </w:rPr>
      </w:pPr>
      <w:r w:rsidRPr="000722BA">
        <w:rPr>
          <w:sz w:val="20"/>
        </w:rPr>
        <w:t xml:space="preserve">LGAs </w:t>
      </w:r>
      <w:r w:rsidR="00CC302C" w:rsidRPr="000722BA">
        <w:rPr>
          <w:sz w:val="20"/>
        </w:rPr>
        <w:t>with younger populations tended to have fewer deaths than older</w:t>
      </w:r>
      <w:r w:rsidRPr="000722BA">
        <w:rPr>
          <w:sz w:val="20"/>
        </w:rPr>
        <w:t>,</w:t>
      </w:r>
      <w:r w:rsidR="00CC302C" w:rsidRPr="000722BA">
        <w:rPr>
          <w:sz w:val="20"/>
        </w:rPr>
        <w:t xml:space="preserve"> more established areas.</w:t>
      </w:r>
      <w:r w:rsidR="00EF5716" w:rsidRPr="000722BA">
        <w:rPr>
          <w:sz w:val="20"/>
        </w:rPr>
        <w:t xml:space="preserve"> The number of deaths has been increasing with the rising population.</w:t>
      </w:r>
      <w:r w:rsidR="00CC302C" w:rsidRPr="000722BA">
        <w:rPr>
          <w:sz w:val="20"/>
        </w:rPr>
        <w:t xml:space="preserve"> </w:t>
      </w:r>
    </w:p>
    <w:p w:rsidR="00E61CCB" w:rsidRPr="000722BA" w:rsidRDefault="00EF5716">
      <w:pPr>
        <w:rPr>
          <w:sz w:val="20"/>
        </w:rPr>
      </w:pPr>
      <w:r w:rsidRPr="000722BA">
        <w:rPr>
          <w:noProof/>
          <w:lang w:eastAsia="en-AU"/>
        </w:rPr>
        <w:drawing>
          <wp:inline distT="0" distB="0" distL="0" distR="0" wp14:anchorId="4EFFABD0" wp14:editId="416F21A1">
            <wp:extent cx="5844540" cy="7924800"/>
            <wp:effectExtent l="0" t="0" r="381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35C3" w:rsidRPr="00311777" w:rsidRDefault="00EF5716" w:rsidP="001C35C3">
      <w:pPr>
        <w:pStyle w:val="Heading1"/>
        <w:rPr>
          <w:color w:val="002060"/>
          <w:sz w:val="48"/>
        </w:rPr>
      </w:pPr>
      <w:bookmarkStart w:id="12" w:name="_Toc468972256"/>
      <w:bookmarkStart w:id="13" w:name="_Toc437436630"/>
      <w:r w:rsidRPr="000722BA">
        <w:rPr>
          <w:noProof/>
          <w:lang w:eastAsia="en-AU"/>
        </w:rPr>
        <w:lastRenderedPageBreak/>
        <w:drawing>
          <wp:inline distT="0" distB="0" distL="0" distR="0" wp14:anchorId="7672D03C" wp14:editId="2DAB7426">
            <wp:extent cx="6195060" cy="9197340"/>
            <wp:effectExtent l="0" t="0" r="0" b="381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D71EC" w:rsidRPr="000722BA">
        <w:rPr>
          <w:b w:val="0"/>
          <w:sz w:val="20"/>
        </w:rPr>
        <w:br w:type="page"/>
      </w:r>
      <w:bookmarkStart w:id="14" w:name="_Toc462905419"/>
      <w:bookmarkStart w:id="15" w:name="_Toc468959236"/>
      <w:r w:rsidR="001C35C3" w:rsidRPr="00311777">
        <w:rPr>
          <w:color w:val="002060"/>
          <w:sz w:val="48"/>
        </w:rPr>
        <w:lastRenderedPageBreak/>
        <w:t>DEVELOPMENT ACTIVITY</w:t>
      </w:r>
      <w:bookmarkEnd w:id="12"/>
      <w:bookmarkEnd w:id="14"/>
      <w:bookmarkEnd w:id="15"/>
    </w:p>
    <w:p w:rsidR="000D03DC" w:rsidRPr="00311777" w:rsidRDefault="000D03DC" w:rsidP="0072166A">
      <w:pPr>
        <w:pStyle w:val="Heading2numbered"/>
        <w:rPr>
          <w:color w:val="002060"/>
        </w:rPr>
      </w:pPr>
      <w:bookmarkStart w:id="16" w:name="_Toc468972257"/>
      <w:r w:rsidRPr="00311777">
        <w:rPr>
          <w:color w:val="002060"/>
        </w:rPr>
        <w:t>Building Approvals</w:t>
      </w:r>
      <w:bookmarkEnd w:id="13"/>
      <w:bookmarkEnd w:id="16"/>
    </w:p>
    <w:p w:rsidR="007D4D11" w:rsidRPr="00311777" w:rsidRDefault="007D4D11" w:rsidP="007D4D11">
      <w:pPr>
        <w:rPr>
          <w:sz w:val="20"/>
        </w:rPr>
      </w:pPr>
      <w:r w:rsidRPr="00311777">
        <w:rPr>
          <w:sz w:val="20"/>
        </w:rPr>
        <w:t xml:space="preserve">For the </w:t>
      </w:r>
      <w:r w:rsidR="00932482" w:rsidRPr="00311777">
        <w:rPr>
          <w:sz w:val="20"/>
        </w:rPr>
        <w:t xml:space="preserve">2015/16 </w:t>
      </w:r>
      <w:r w:rsidRPr="00311777">
        <w:rPr>
          <w:sz w:val="20"/>
        </w:rPr>
        <w:t>f</w:t>
      </w:r>
      <w:r w:rsidR="00A066EC" w:rsidRPr="00311777">
        <w:rPr>
          <w:sz w:val="20"/>
        </w:rPr>
        <w:t xml:space="preserve">inancial year, there was </w:t>
      </w:r>
      <w:r w:rsidR="00543AE1" w:rsidRPr="00311777">
        <w:rPr>
          <w:sz w:val="20"/>
        </w:rPr>
        <w:t xml:space="preserve">a </w:t>
      </w:r>
      <w:r w:rsidR="00A066EC" w:rsidRPr="00311777">
        <w:rPr>
          <w:sz w:val="20"/>
        </w:rPr>
        <w:t>total of $30</w:t>
      </w:r>
      <w:r w:rsidRPr="00311777">
        <w:rPr>
          <w:sz w:val="20"/>
        </w:rPr>
        <w:t>.</w:t>
      </w:r>
      <w:r w:rsidR="00A066EC" w:rsidRPr="00311777">
        <w:rPr>
          <w:sz w:val="20"/>
        </w:rPr>
        <w:t>95</w:t>
      </w:r>
      <w:r w:rsidRPr="00311777">
        <w:rPr>
          <w:sz w:val="20"/>
        </w:rPr>
        <w:t xml:space="preserve"> billion worth of building approvals in Victoria</w:t>
      </w:r>
      <w:r w:rsidR="00CB7202" w:rsidRPr="00311777">
        <w:rPr>
          <w:sz w:val="20"/>
        </w:rPr>
        <w:t>.</w:t>
      </w:r>
      <w:r w:rsidR="00A066EC" w:rsidRPr="00311777">
        <w:rPr>
          <w:sz w:val="20"/>
        </w:rPr>
        <w:t xml:space="preserve"> </w:t>
      </w:r>
      <w:r w:rsidR="004D0CCD" w:rsidRPr="00311777">
        <w:rPr>
          <w:sz w:val="20"/>
        </w:rPr>
        <w:t xml:space="preserve"> The vast majority (72%) of building approvals </w:t>
      </w:r>
      <w:r w:rsidR="00543AE1" w:rsidRPr="00311777">
        <w:rPr>
          <w:sz w:val="20"/>
        </w:rPr>
        <w:t>were</w:t>
      </w:r>
      <w:r w:rsidR="004D0CCD" w:rsidRPr="00311777">
        <w:rPr>
          <w:sz w:val="20"/>
        </w:rPr>
        <w:t xml:space="preserve"> for residential dwellings of all types.</w:t>
      </w:r>
    </w:p>
    <w:p w:rsidR="007147BA" w:rsidRPr="00911E1B" w:rsidRDefault="007147BA" w:rsidP="007D4D11">
      <w:pPr>
        <w:pStyle w:val="ListParagraph"/>
        <w:ind w:left="360"/>
        <w:jc w:val="center"/>
        <w:rPr>
          <w:sz w:val="20"/>
          <w:highlight w:val="yellow"/>
        </w:rPr>
      </w:pPr>
    </w:p>
    <w:p w:rsidR="007D4D11" w:rsidRPr="00311777" w:rsidRDefault="00A066EC" w:rsidP="007D4D11">
      <w:pPr>
        <w:pStyle w:val="ListParagraph"/>
        <w:ind w:left="360"/>
        <w:jc w:val="center"/>
        <w:rPr>
          <w:sz w:val="20"/>
        </w:rPr>
      </w:pPr>
      <w:r w:rsidRPr="00311777">
        <w:rPr>
          <w:noProof/>
          <w:lang w:eastAsia="en-AU"/>
        </w:rPr>
        <w:drawing>
          <wp:inline distT="0" distB="0" distL="0" distR="0" wp14:anchorId="34BC1B62" wp14:editId="2F734629">
            <wp:extent cx="4991100" cy="2773680"/>
            <wp:effectExtent l="0" t="0" r="0" b="762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47BA" w:rsidRPr="00311777" w:rsidRDefault="007147BA" w:rsidP="007D4D11">
      <w:pPr>
        <w:pStyle w:val="ListParagraph"/>
        <w:ind w:left="360"/>
        <w:jc w:val="center"/>
        <w:rPr>
          <w:sz w:val="20"/>
        </w:rPr>
      </w:pPr>
    </w:p>
    <w:p w:rsidR="007147BA" w:rsidRPr="00311777" w:rsidRDefault="00311777" w:rsidP="007147BA">
      <w:pPr>
        <w:rPr>
          <w:sz w:val="20"/>
        </w:rPr>
      </w:pPr>
      <w:r w:rsidRPr="00311777">
        <w:rPr>
          <w:sz w:val="20"/>
        </w:rPr>
        <w:t xml:space="preserve">In the first nine months </w:t>
      </w:r>
      <w:r w:rsidR="00394760" w:rsidRPr="00311777">
        <w:rPr>
          <w:sz w:val="20"/>
        </w:rPr>
        <w:t>of</w:t>
      </w:r>
      <w:r w:rsidR="007147BA" w:rsidRPr="00311777">
        <w:rPr>
          <w:sz w:val="20"/>
        </w:rPr>
        <w:t xml:space="preserve"> 2016</w:t>
      </w:r>
      <w:r w:rsidRPr="00311777">
        <w:rPr>
          <w:sz w:val="20"/>
        </w:rPr>
        <w:t>-17</w:t>
      </w:r>
      <w:r w:rsidR="007147BA" w:rsidRPr="00311777">
        <w:rPr>
          <w:sz w:val="20"/>
        </w:rPr>
        <w:t>, there was a total of $</w:t>
      </w:r>
      <w:r w:rsidRPr="00311777">
        <w:rPr>
          <w:sz w:val="20"/>
        </w:rPr>
        <w:t>26</w:t>
      </w:r>
      <w:r w:rsidR="007147BA" w:rsidRPr="00311777">
        <w:rPr>
          <w:sz w:val="20"/>
        </w:rPr>
        <w:t>.</w:t>
      </w:r>
      <w:r w:rsidRPr="00311777">
        <w:rPr>
          <w:sz w:val="20"/>
        </w:rPr>
        <w:t>2</w:t>
      </w:r>
      <w:r w:rsidR="007147BA" w:rsidRPr="00311777">
        <w:rPr>
          <w:sz w:val="20"/>
        </w:rPr>
        <w:t xml:space="preserve"> billion in approvals in Victoria. Residential approvals accounted for 6</w:t>
      </w:r>
      <w:r w:rsidRPr="00311777">
        <w:rPr>
          <w:sz w:val="20"/>
        </w:rPr>
        <w:t>7</w:t>
      </w:r>
      <w:r w:rsidR="007147BA" w:rsidRPr="00311777">
        <w:rPr>
          <w:sz w:val="20"/>
        </w:rPr>
        <w:t xml:space="preserve">% of the approvals, </w:t>
      </w:r>
      <w:r w:rsidR="004D0CCD" w:rsidRPr="00311777">
        <w:rPr>
          <w:sz w:val="20"/>
        </w:rPr>
        <w:t xml:space="preserve">due to </w:t>
      </w:r>
      <w:r w:rsidR="007147BA" w:rsidRPr="00311777">
        <w:rPr>
          <w:sz w:val="20"/>
        </w:rPr>
        <w:t xml:space="preserve">some major commercial projects </w:t>
      </w:r>
      <w:r w:rsidR="00D3280A" w:rsidRPr="00311777">
        <w:rPr>
          <w:sz w:val="20"/>
        </w:rPr>
        <w:t xml:space="preserve">that were </w:t>
      </w:r>
      <w:r w:rsidR="007147BA" w:rsidRPr="00311777">
        <w:rPr>
          <w:sz w:val="20"/>
        </w:rPr>
        <w:t>approved.</w:t>
      </w:r>
    </w:p>
    <w:p w:rsidR="007147BA" w:rsidRPr="00311777" w:rsidRDefault="00311777" w:rsidP="007D4D11">
      <w:pPr>
        <w:pStyle w:val="ListParagraph"/>
        <w:ind w:left="360"/>
        <w:jc w:val="center"/>
        <w:rPr>
          <w:sz w:val="20"/>
        </w:rPr>
      </w:pPr>
      <w:r w:rsidRPr="00311777">
        <w:rPr>
          <w:noProof/>
          <w:lang w:eastAsia="en-AU"/>
        </w:rPr>
        <w:drawing>
          <wp:inline distT="0" distB="0" distL="0" distR="0" wp14:anchorId="70187654" wp14:editId="233EEDF9">
            <wp:extent cx="4695825" cy="31051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72CE" w:rsidRPr="00311777" w:rsidRDefault="00A672CE">
      <w:pPr>
        <w:rPr>
          <w:sz w:val="20"/>
        </w:rPr>
      </w:pPr>
      <w:bookmarkStart w:id="17" w:name="_Toc437436631"/>
      <w:r w:rsidRPr="00311777">
        <w:rPr>
          <w:sz w:val="20"/>
        </w:rPr>
        <w:t xml:space="preserve">The various </w:t>
      </w:r>
      <w:r w:rsidR="00932482" w:rsidRPr="00311777">
        <w:rPr>
          <w:sz w:val="20"/>
        </w:rPr>
        <w:t>categories of building approval</w:t>
      </w:r>
      <w:r w:rsidRPr="00311777">
        <w:rPr>
          <w:sz w:val="20"/>
        </w:rPr>
        <w:t xml:space="preserve"> </w:t>
      </w:r>
      <w:r w:rsidR="00C223D0" w:rsidRPr="00311777">
        <w:rPr>
          <w:sz w:val="20"/>
        </w:rPr>
        <w:t xml:space="preserve">numbers and </w:t>
      </w:r>
      <w:r w:rsidRPr="00311777">
        <w:rPr>
          <w:sz w:val="20"/>
        </w:rPr>
        <w:t xml:space="preserve">values for both </w:t>
      </w:r>
      <w:r w:rsidR="00EB7F21" w:rsidRPr="00311777">
        <w:rPr>
          <w:sz w:val="20"/>
        </w:rPr>
        <w:t>m</w:t>
      </w:r>
      <w:r w:rsidRPr="00311777">
        <w:rPr>
          <w:sz w:val="20"/>
        </w:rPr>
        <w:t xml:space="preserve">etropolitan Melbourne and </w:t>
      </w:r>
      <w:r w:rsidR="00EB7F21" w:rsidRPr="00311777">
        <w:rPr>
          <w:sz w:val="20"/>
        </w:rPr>
        <w:t>r</w:t>
      </w:r>
      <w:r w:rsidRPr="00311777">
        <w:rPr>
          <w:sz w:val="20"/>
        </w:rPr>
        <w:t>egional LGAs are presented in the following charts, including</w:t>
      </w:r>
      <w:r w:rsidR="00543AE1" w:rsidRPr="00311777">
        <w:rPr>
          <w:sz w:val="20"/>
        </w:rPr>
        <w:t>:</w:t>
      </w:r>
    </w:p>
    <w:p w:rsidR="00A672CE" w:rsidRPr="00311777" w:rsidRDefault="00C223D0" w:rsidP="00452EF8">
      <w:pPr>
        <w:pStyle w:val="ListParagraph"/>
        <w:numPr>
          <w:ilvl w:val="0"/>
          <w:numId w:val="14"/>
        </w:numPr>
        <w:rPr>
          <w:sz w:val="20"/>
        </w:rPr>
      </w:pPr>
      <w:r w:rsidRPr="00311777">
        <w:rPr>
          <w:sz w:val="20"/>
        </w:rPr>
        <w:t>Residential Dwellings Numbers</w:t>
      </w:r>
    </w:p>
    <w:p w:rsidR="00C223D0" w:rsidRPr="00311777" w:rsidRDefault="00C223D0" w:rsidP="00452EF8">
      <w:pPr>
        <w:pStyle w:val="ListParagraph"/>
        <w:numPr>
          <w:ilvl w:val="0"/>
          <w:numId w:val="14"/>
        </w:numPr>
        <w:rPr>
          <w:sz w:val="20"/>
        </w:rPr>
      </w:pPr>
      <w:r w:rsidRPr="00311777">
        <w:rPr>
          <w:sz w:val="20"/>
        </w:rPr>
        <w:t>Overall Value of all Building Approval Types</w:t>
      </w:r>
    </w:p>
    <w:p w:rsidR="00C223D0" w:rsidRPr="00311777" w:rsidRDefault="00C223D0" w:rsidP="00452EF8">
      <w:pPr>
        <w:pStyle w:val="ListParagraph"/>
        <w:numPr>
          <w:ilvl w:val="0"/>
          <w:numId w:val="14"/>
        </w:numPr>
        <w:rPr>
          <w:sz w:val="20"/>
        </w:rPr>
      </w:pPr>
      <w:r w:rsidRPr="00311777">
        <w:rPr>
          <w:sz w:val="20"/>
        </w:rPr>
        <w:t>Commercial Buildings</w:t>
      </w:r>
    </w:p>
    <w:p w:rsidR="00C223D0" w:rsidRPr="00311777" w:rsidRDefault="00C223D0" w:rsidP="00452EF8">
      <w:pPr>
        <w:pStyle w:val="ListParagraph"/>
        <w:numPr>
          <w:ilvl w:val="0"/>
          <w:numId w:val="14"/>
        </w:numPr>
        <w:rPr>
          <w:sz w:val="20"/>
        </w:rPr>
      </w:pPr>
      <w:r w:rsidRPr="00311777">
        <w:rPr>
          <w:sz w:val="20"/>
        </w:rPr>
        <w:t>Industrial Buildings</w:t>
      </w:r>
    </w:p>
    <w:p w:rsidR="00C223D0" w:rsidRPr="00980327" w:rsidRDefault="00C223D0" w:rsidP="00452EF8">
      <w:pPr>
        <w:pStyle w:val="ListParagraph"/>
        <w:numPr>
          <w:ilvl w:val="0"/>
          <w:numId w:val="14"/>
        </w:numPr>
        <w:rPr>
          <w:sz w:val="20"/>
        </w:rPr>
      </w:pPr>
      <w:r w:rsidRPr="00980327">
        <w:rPr>
          <w:sz w:val="20"/>
        </w:rPr>
        <w:t>Other Non-residential Buildings</w:t>
      </w:r>
    </w:p>
    <w:p w:rsidR="00A066EC" w:rsidRPr="00980327" w:rsidRDefault="00A066EC">
      <w:pPr>
        <w:rPr>
          <w:sz w:val="20"/>
        </w:rPr>
      </w:pPr>
    </w:p>
    <w:p w:rsidR="000174C5" w:rsidRPr="00980327" w:rsidRDefault="000174C5" w:rsidP="000174C5">
      <w:pPr>
        <w:pStyle w:val="Heading3list"/>
        <w:ind w:left="426" w:hanging="426"/>
        <w:rPr>
          <w:color w:val="002060"/>
        </w:rPr>
      </w:pPr>
      <w:bookmarkStart w:id="18" w:name="_Toc468972258"/>
      <w:r w:rsidRPr="00980327">
        <w:rPr>
          <w:color w:val="002060"/>
        </w:rPr>
        <w:t>Residential Dwelling Approvals</w:t>
      </w:r>
      <w:bookmarkEnd w:id="18"/>
    </w:p>
    <w:p w:rsidR="000174C5" w:rsidRPr="00980327" w:rsidRDefault="000174C5" w:rsidP="00420840">
      <w:pPr>
        <w:jc w:val="both"/>
        <w:rPr>
          <w:sz w:val="20"/>
        </w:rPr>
      </w:pPr>
      <w:r w:rsidRPr="00980327">
        <w:rPr>
          <w:sz w:val="20"/>
        </w:rPr>
        <w:t xml:space="preserve">The latest building approvals </w:t>
      </w:r>
      <w:r w:rsidR="00A066EC" w:rsidRPr="00980327">
        <w:rPr>
          <w:sz w:val="20"/>
        </w:rPr>
        <w:t>(</w:t>
      </w:r>
      <w:r w:rsidR="00980327" w:rsidRPr="00980327">
        <w:rPr>
          <w:sz w:val="20"/>
        </w:rPr>
        <w:t xml:space="preserve">March </w:t>
      </w:r>
      <w:r w:rsidRPr="00980327">
        <w:rPr>
          <w:sz w:val="20"/>
        </w:rPr>
        <w:t>201</w:t>
      </w:r>
      <w:r w:rsidR="00980327" w:rsidRPr="00980327">
        <w:rPr>
          <w:sz w:val="20"/>
        </w:rPr>
        <w:t>7</w:t>
      </w:r>
      <w:r w:rsidRPr="00980327">
        <w:rPr>
          <w:sz w:val="20"/>
        </w:rPr>
        <w:t xml:space="preserve">) show that in the past </w:t>
      </w:r>
      <w:r w:rsidR="00F1313E" w:rsidRPr="00980327">
        <w:rPr>
          <w:sz w:val="20"/>
        </w:rPr>
        <w:t>12</w:t>
      </w:r>
      <w:r w:rsidRPr="00980327">
        <w:rPr>
          <w:sz w:val="20"/>
        </w:rPr>
        <w:t xml:space="preserve"> months </w:t>
      </w:r>
      <w:r w:rsidR="00543006" w:rsidRPr="00980327">
        <w:rPr>
          <w:sz w:val="20"/>
        </w:rPr>
        <w:t>3</w:t>
      </w:r>
      <w:r w:rsidR="007147BA" w:rsidRPr="00980327">
        <w:rPr>
          <w:sz w:val="20"/>
        </w:rPr>
        <w:t>6</w:t>
      </w:r>
      <w:r w:rsidR="00543006" w:rsidRPr="00980327">
        <w:rPr>
          <w:sz w:val="20"/>
        </w:rPr>
        <w:t>,</w:t>
      </w:r>
      <w:r w:rsidR="00980327" w:rsidRPr="00980327">
        <w:rPr>
          <w:sz w:val="20"/>
        </w:rPr>
        <w:t>245</w:t>
      </w:r>
      <w:r w:rsidR="00543006" w:rsidRPr="00980327">
        <w:rPr>
          <w:sz w:val="20"/>
        </w:rPr>
        <w:t xml:space="preserve"> </w:t>
      </w:r>
      <w:r w:rsidR="00F1313E" w:rsidRPr="00980327">
        <w:rPr>
          <w:sz w:val="20"/>
        </w:rPr>
        <w:t>d</w:t>
      </w:r>
      <w:r w:rsidR="00543006" w:rsidRPr="00980327">
        <w:rPr>
          <w:sz w:val="20"/>
        </w:rPr>
        <w:t xml:space="preserve">etached </w:t>
      </w:r>
      <w:r w:rsidR="00F1313E" w:rsidRPr="00980327">
        <w:rPr>
          <w:sz w:val="20"/>
        </w:rPr>
        <w:t>h</w:t>
      </w:r>
      <w:r w:rsidR="00543006" w:rsidRPr="00980327">
        <w:rPr>
          <w:sz w:val="20"/>
        </w:rPr>
        <w:t>ouses and 3</w:t>
      </w:r>
      <w:r w:rsidR="00980327" w:rsidRPr="00980327">
        <w:rPr>
          <w:sz w:val="20"/>
        </w:rPr>
        <w:t>2</w:t>
      </w:r>
      <w:r w:rsidR="00543006" w:rsidRPr="00980327">
        <w:rPr>
          <w:sz w:val="20"/>
        </w:rPr>
        <w:t>,</w:t>
      </w:r>
      <w:r w:rsidR="00980327" w:rsidRPr="00980327">
        <w:rPr>
          <w:sz w:val="20"/>
        </w:rPr>
        <w:t>055</w:t>
      </w:r>
      <w:r w:rsidR="00543006" w:rsidRPr="00980327">
        <w:rPr>
          <w:sz w:val="20"/>
        </w:rPr>
        <w:t xml:space="preserve"> other residential dwellings </w:t>
      </w:r>
      <w:r w:rsidR="000F7487" w:rsidRPr="00980327">
        <w:rPr>
          <w:sz w:val="20"/>
        </w:rPr>
        <w:t>were</w:t>
      </w:r>
      <w:r w:rsidR="00543006" w:rsidRPr="00980327">
        <w:rPr>
          <w:sz w:val="20"/>
        </w:rPr>
        <w:t xml:space="preserve"> approved across the state. Historical</w:t>
      </w:r>
      <w:r w:rsidR="002378AD" w:rsidRPr="00980327">
        <w:rPr>
          <w:sz w:val="20"/>
        </w:rPr>
        <w:t>ly</w:t>
      </w:r>
      <w:r w:rsidR="000F7487" w:rsidRPr="00980327">
        <w:rPr>
          <w:sz w:val="20"/>
        </w:rPr>
        <w:t>,</w:t>
      </w:r>
      <w:r w:rsidR="00543006" w:rsidRPr="00980327">
        <w:rPr>
          <w:sz w:val="20"/>
        </w:rPr>
        <w:t xml:space="preserve"> detached houses have been the dominant type of residential construction in Victoria. However, in the past</w:t>
      </w:r>
      <w:r w:rsidR="00394760" w:rsidRPr="00980327">
        <w:rPr>
          <w:sz w:val="20"/>
        </w:rPr>
        <w:t xml:space="preserve"> few</w:t>
      </w:r>
      <w:r w:rsidR="00543006" w:rsidRPr="00980327">
        <w:rPr>
          <w:sz w:val="20"/>
        </w:rPr>
        <w:t xml:space="preserve"> year</w:t>
      </w:r>
      <w:r w:rsidR="00394760" w:rsidRPr="00980327">
        <w:rPr>
          <w:sz w:val="20"/>
        </w:rPr>
        <w:t>s</w:t>
      </w:r>
      <w:r w:rsidR="00543006" w:rsidRPr="00980327">
        <w:rPr>
          <w:sz w:val="20"/>
        </w:rPr>
        <w:t>, the number of other residential dwellings approved has been almost the same as detached houses. It is yet to be determined if this is a permanent trend or a short</w:t>
      </w:r>
      <w:r w:rsidR="00EC385D" w:rsidRPr="00980327">
        <w:rPr>
          <w:sz w:val="20"/>
        </w:rPr>
        <w:t>-</w:t>
      </w:r>
      <w:r w:rsidR="00420840" w:rsidRPr="00980327">
        <w:rPr>
          <w:sz w:val="20"/>
        </w:rPr>
        <w:t>term approbation.</w:t>
      </w:r>
    </w:p>
    <w:p w:rsidR="00A672CE" w:rsidRPr="00911E1B" w:rsidRDefault="00980327">
      <w:pPr>
        <w:rPr>
          <w:sz w:val="20"/>
          <w:highlight w:val="yellow"/>
        </w:rPr>
      </w:pPr>
      <w:r>
        <w:rPr>
          <w:noProof/>
          <w:lang w:eastAsia="en-AU"/>
        </w:rPr>
        <w:drawing>
          <wp:inline distT="0" distB="0" distL="0" distR="0" wp14:anchorId="290AB090" wp14:editId="09593955">
            <wp:extent cx="6209665" cy="4939665"/>
            <wp:effectExtent l="0" t="0" r="63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74C5" w:rsidRPr="00AC5460" w:rsidRDefault="00F02BAB" w:rsidP="00420840">
      <w:pPr>
        <w:jc w:val="both"/>
        <w:rPr>
          <w:sz w:val="20"/>
        </w:rPr>
      </w:pPr>
      <w:r w:rsidRPr="00AC5460">
        <w:rPr>
          <w:sz w:val="20"/>
        </w:rPr>
        <w:t>In the</w:t>
      </w:r>
      <w:r w:rsidR="00394760" w:rsidRPr="00AC5460">
        <w:rPr>
          <w:sz w:val="20"/>
        </w:rPr>
        <w:t xml:space="preserve"> </w:t>
      </w:r>
      <w:r w:rsidR="00AC5460" w:rsidRPr="00AC5460">
        <w:rPr>
          <w:sz w:val="20"/>
        </w:rPr>
        <w:t>nine months to March 2017</w:t>
      </w:r>
      <w:r w:rsidR="00394760" w:rsidRPr="00AC5460">
        <w:rPr>
          <w:sz w:val="20"/>
        </w:rPr>
        <w:t xml:space="preserve">, there were </w:t>
      </w:r>
      <w:r w:rsidR="00AC5460" w:rsidRPr="00AC5460">
        <w:rPr>
          <w:sz w:val="20"/>
        </w:rPr>
        <w:t>26,725</w:t>
      </w:r>
      <w:r w:rsidRPr="00AC5460">
        <w:rPr>
          <w:sz w:val="20"/>
        </w:rPr>
        <w:t xml:space="preserve"> detached houses approved and </w:t>
      </w:r>
      <w:r w:rsidR="00AC5460" w:rsidRPr="00AC5460">
        <w:rPr>
          <w:sz w:val="20"/>
        </w:rPr>
        <w:t>23</w:t>
      </w:r>
      <w:r w:rsidRPr="00AC5460">
        <w:rPr>
          <w:sz w:val="20"/>
        </w:rPr>
        <w:t>,</w:t>
      </w:r>
      <w:r w:rsidR="00AC5460" w:rsidRPr="00AC5460">
        <w:rPr>
          <w:sz w:val="20"/>
        </w:rPr>
        <w:t>566</w:t>
      </w:r>
      <w:r w:rsidR="00744190" w:rsidRPr="00AC5460">
        <w:rPr>
          <w:sz w:val="20"/>
        </w:rPr>
        <w:t xml:space="preserve"> </w:t>
      </w:r>
      <w:r w:rsidRPr="00AC5460">
        <w:rPr>
          <w:sz w:val="20"/>
        </w:rPr>
        <w:t>other dwellings approved.  W</w:t>
      </w:r>
      <w:r w:rsidR="00A066EC" w:rsidRPr="00AC5460">
        <w:rPr>
          <w:sz w:val="20"/>
        </w:rPr>
        <w:t xml:space="preserve">ithin the </w:t>
      </w:r>
      <w:r w:rsidR="00EC385D" w:rsidRPr="00AC5460">
        <w:rPr>
          <w:sz w:val="20"/>
        </w:rPr>
        <w:t>‘</w:t>
      </w:r>
      <w:r w:rsidR="00A066EC" w:rsidRPr="00AC5460">
        <w:rPr>
          <w:sz w:val="20"/>
        </w:rPr>
        <w:t>other dwellings</w:t>
      </w:r>
      <w:r w:rsidR="00EC385D" w:rsidRPr="00AC5460">
        <w:rPr>
          <w:sz w:val="20"/>
        </w:rPr>
        <w:t>’</w:t>
      </w:r>
      <w:r w:rsidR="00A066EC" w:rsidRPr="00AC5460">
        <w:rPr>
          <w:sz w:val="20"/>
        </w:rPr>
        <w:t xml:space="preserve"> category</w:t>
      </w:r>
      <w:r w:rsidRPr="00AC5460">
        <w:rPr>
          <w:sz w:val="20"/>
        </w:rPr>
        <w:t xml:space="preserve"> in the quarter</w:t>
      </w:r>
      <w:r w:rsidR="000174C5" w:rsidRPr="00AC5460">
        <w:rPr>
          <w:sz w:val="20"/>
        </w:rPr>
        <w:t xml:space="preserve">, </w:t>
      </w:r>
      <w:r w:rsidRPr="00AC5460">
        <w:rPr>
          <w:sz w:val="20"/>
        </w:rPr>
        <w:t xml:space="preserve">there were </w:t>
      </w:r>
      <w:r w:rsidR="00AC5460" w:rsidRPr="00AC5460">
        <w:rPr>
          <w:sz w:val="20"/>
        </w:rPr>
        <w:t>8</w:t>
      </w:r>
      <w:r w:rsidR="00744190" w:rsidRPr="00AC5460">
        <w:rPr>
          <w:sz w:val="20"/>
        </w:rPr>
        <w:t>,</w:t>
      </w:r>
      <w:r w:rsidR="00AC5460" w:rsidRPr="00AC5460">
        <w:rPr>
          <w:sz w:val="20"/>
        </w:rPr>
        <w:t>331</w:t>
      </w:r>
      <w:r w:rsidR="00744190" w:rsidRPr="00AC5460">
        <w:rPr>
          <w:sz w:val="20"/>
        </w:rPr>
        <w:t xml:space="preserve"> </w:t>
      </w:r>
      <w:r w:rsidRPr="00AC5460">
        <w:rPr>
          <w:sz w:val="20"/>
        </w:rPr>
        <w:t xml:space="preserve">semi-detached dwellings and </w:t>
      </w:r>
      <w:r w:rsidR="00744190" w:rsidRPr="00AC5460">
        <w:rPr>
          <w:sz w:val="20"/>
        </w:rPr>
        <w:t>1</w:t>
      </w:r>
      <w:r w:rsidR="00AC5460" w:rsidRPr="00AC5460">
        <w:rPr>
          <w:sz w:val="20"/>
        </w:rPr>
        <w:t>5</w:t>
      </w:r>
      <w:r w:rsidR="00744190" w:rsidRPr="00AC5460">
        <w:rPr>
          <w:sz w:val="20"/>
        </w:rPr>
        <w:t>,</w:t>
      </w:r>
      <w:r w:rsidR="00AC5460" w:rsidRPr="00AC5460">
        <w:rPr>
          <w:sz w:val="20"/>
        </w:rPr>
        <w:t>235</w:t>
      </w:r>
      <w:r w:rsidR="000174C5" w:rsidRPr="00AC5460">
        <w:rPr>
          <w:sz w:val="20"/>
        </w:rPr>
        <w:t xml:space="preserve"> apartments and flats, of</w:t>
      </w:r>
      <w:r w:rsidR="00744190" w:rsidRPr="00AC5460">
        <w:rPr>
          <w:sz w:val="20"/>
        </w:rPr>
        <w:t xml:space="preserve"> which </w:t>
      </w:r>
      <w:r w:rsidR="00AC5460" w:rsidRPr="00AC5460">
        <w:rPr>
          <w:sz w:val="20"/>
        </w:rPr>
        <w:t xml:space="preserve">almost </w:t>
      </w:r>
      <w:r w:rsidR="00744190" w:rsidRPr="00AC5460">
        <w:rPr>
          <w:sz w:val="20"/>
        </w:rPr>
        <w:t>90</w:t>
      </w:r>
      <w:r w:rsidR="000174C5" w:rsidRPr="00AC5460">
        <w:rPr>
          <w:sz w:val="20"/>
        </w:rPr>
        <w:t xml:space="preserve">% were in buildings four storeys or more. The majority of </w:t>
      </w:r>
      <w:r w:rsidR="00A066EC" w:rsidRPr="00AC5460">
        <w:rPr>
          <w:sz w:val="20"/>
        </w:rPr>
        <w:t>these high</w:t>
      </w:r>
      <w:r w:rsidR="00EC385D" w:rsidRPr="00AC5460">
        <w:rPr>
          <w:sz w:val="20"/>
        </w:rPr>
        <w:t>-</w:t>
      </w:r>
      <w:r w:rsidR="00A066EC" w:rsidRPr="00AC5460">
        <w:rPr>
          <w:sz w:val="20"/>
        </w:rPr>
        <w:t>rise apartments</w:t>
      </w:r>
      <w:r w:rsidR="000174C5" w:rsidRPr="00AC5460">
        <w:rPr>
          <w:sz w:val="20"/>
        </w:rPr>
        <w:t xml:space="preserve"> were </w:t>
      </w:r>
      <w:r w:rsidR="00A066EC" w:rsidRPr="00AC5460">
        <w:rPr>
          <w:sz w:val="20"/>
        </w:rPr>
        <w:t xml:space="preserve">approved </w:t>
      </w:r>
      <w:r w:rsidR="000174C5" w:rsidRPr="00AC5460">
        <w:rPr>
          <w:sz w:val="20"/>
        </w:rPr>
        <w:t>in the Melbourne central subregion</w:t>
      </w:r>
      <w:r w:rsidR="00A066EC" w:rsidRPr="00AC5460">
        <w:rPr>
          <w:sz w:val="20"/>
        </w:rPr>
        <w:t xml:space="preserve">, although </w:t>
      </w:r>
      <w:r w:rsidR="00744190" w:rsidRPr="00AC5460">
        <w:rPr>
          <w:sz w:val="20"/>
        </w:rPr>
        <w:t>many suburban local government areas</w:t>
      </w:r>
      <w:r w:rsidR="003D2B97" w:rsidRPr="00AC5460">
        <w:rPr>
          <w:sz w:val="20"/>
        </w:rPr>
        <w:t xml:space="preserve"> have had significant numbers</w:t>
      </w:r>
      <w:r w:rsidR="00AC5460" w:rsidRPr="00AC5460">
        <w:rPr>
          <w:sz w:val="20"/>
        </w:rPr>
        <w:t xml:space="preserve"> in the past </w:t>
      </w:r>
      <w:r w:rsidR="00205994">
        <w:rPr>
          <w:sz w:val="20"/>
        </w:rPr>
        <w:t>nine</w:t>
      </w:r>
      <w:r w:rsidR="00744190" w:rsidRPr="00AC5460">
        <w:rPr>
          <w:sz w:val="20"/>
        </w:rPr>
        <w:t xml:space="preserve"> months</w:t>
      </w:r>
      <w:r w:rsidR="000174C5" w:rsidRPr="00AC5460">
        <w:rPr>
          <w:sz w:val="20"/>
        </w:rPr>
        <w:t>.</w:t>
      </w:r>
      <w:r w:rsidR="003D2B97" w:rsidRPr="00AC5460">
        <w:rPr>
          <w:sz w:val="20"/>
        </w:rPr>
        <w:t xml:space="preserve"> </w:t>
      </w:r>
      <w:r w:rsidR="000174C5" w:rsidRPr="00AC5460">
        <w:rPr>
          <w:sz w:val="20"/>
        </w:rPr>
        <w:t>There were no high</w:t>
      </w:r>
      <w:r w:rsidR="00EC385D" w:rsidRPr="00AC5460">
        <w:rPr>
          <w:sz w:val="20"/>
        </w:rPr>
        <w:t>-</w:t>
      </w:r>
      <w:r w:rsidR="000174C5" w:rsidRPr="00AC5460">
        <w:rPr>
          <w:sz w:val="20"/>
        </w:rPr>
        <w:t xml:space="preserve">rise apartments approved in </w:t>
      </w:r>
      <w:r w:rsidR="00EC385D" w:rsidRPr="00AC5460">
        <w:rPr>
          <w:sz w:val="20"/>
        </w:rPr>
        <w:t>r</w:t>
      </w:r>
      <w:r w:rsidR="000174C5" w:rsidRPr="00AC5460">
        <w:rPr>
          <w:sz w:val="20"/>
        </w:rPr>
        <w:t xml:space="preserve">egional Victoria. </w:t>
      </w:r>
    </w:p>
    <w:p w:rsidR="00A672CE" w:rsidRPr="00911E1B" w:rsidRDefault="00744190" w:rsidP="00E064D4">
      <w:pPr>
        <w:rPr>
          <w:sz w:val="20"/>
          <w:highlight w:val="yellow"/>
        </w:rPr>
      </w:pPr>
      <w:r w:rsidRPr="00AC5460">
        <w:rPr>
          <w:sz w:val="20"/>
        </w:rPr>
        <w:t xml:space="preserve">The northern </w:t>
      </w:r>
      <w:r w:rsidR="00F02BAB" w:rsidRPr="00AC5460">
        <w:rPr>
          <w:sz w:val="20"/>
        </w:rPr>
        <w:t xml:space="preserve">subregion had more </w:t>
      </w:r>
      <w:r w:rsidR="003D2B97" w:rsidRPr="00AC5460">
        <w:rPr>
          <w:sz w:val="20"/>
        </w:rPr>
        <w:t>semi</w:t>
      </w:r>
      <w:r w:rsidRPr="00AC5460">
        <w:rPr>
          <w:sz w:val="20"/>
        </w:rPr>
        <w:t xml:space="preserve">-detached dwellings approved </w:t>
      </w:r>
      <w:r w:rsidR="00F02BAB" w:rsidRPr="00AC5460">
        <w:rPr>
          <w:sz w:val="20"/>
        </w:rPr>
        <w:t>than other subregions</w:t>
      </w:r>
      <w:r w:rsidR="003D2B97" w:rsidRPr="00AC5460">
        <w:rPr>
          <w:sz w:val="20"/>
        </w:rPr>
        <w:t xml:space="preserve">. </w:t>
      </w:r>
      <w:r w:rsidR="00A672CE" w:rsidRPr="00911E1B">
        <w:rPr>
          <w:sz w:val="20"/>
          <w:highlight w:val="yellow"/>
        </w:rPr>
        <w:br w:type="page"/>
      </w:r>
    </w:p>
    <w:bookmarkEnd w:id="17"/>
    <w:p w:rsidR="00A101BA" w:rsidRPr="00911E1B" w:rsidRDefault="00AC5460" w:rsidP="00362941">
      <w:pPr>
        <w:rPr>
          <w:sz w:val="20"/>
          <w:highlight w:val="yellow"/>
        </w:rPr>
      </w:pPr>
      <w:r>
        <w:rPr>
          <w:noProof/>
          <w:lang w:eastAsia="en-AU"/>
        </w:rPr>
        <w:lastRenderedPageBreak/>
        <w:drawing>
          <wp:inline distT="0" distB="0" distL="0" distR="0" wp14:anchorId="1BB8D276" wp14:editId="53081CA8">
            <wp:extent cx="6296025" cy="914400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52C9" w:rsidRPr="00911E1B" w:rsidRDefault="00AC5460">
      <w:pPr>
        <w:rPr>
          <w:b/>
          <w:sz w:val="20"/>
          <w:highlight w:val="yellow"/>
        </w:rPr>
      </w:pPr>
      <w:bookmarkStart w:id="19" w:name="_Toc437436632"/>
      <w:r>
        <w:rPr>
          <w:noProof/>
          <w:lang w:eastAsia="en-AU"/>
        </w:rPr>
        <w:lastRenderedPageBreak/>
        <w:drawing>
          <wp:inline distT="0" distB="0" distL="0" distR="0" wp14:anchorId="7B7FB552" wp14:editId="6ADED170">
            <wp:extent cx="6391275" cy="9115425"/>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052C9" w:rsidRPr="00911E1B">
        <w:rPr>
          <w:b/>
          <w:sz w:val="20"/>
          <w:highlight w:val="yellow"/>
        </w:rPr>
        <w:br w:type="page"/>
      </w:r>
    </w:p>
    <w:p w:rsidR="00182660" w:rsidRPr="00A35E5C" w:rsidRDefault="003565F0" w:rsidP="0072166A">
      <w:pPr>
        <w:pStyle w:val="Heading3list"/>
        <w:rPr>
          <w:color w:val="002060"/>
        </w:rPr>
      </w:pPr>
      <w:bookmarkStart w:id="20" w:name="_Toc468972259"/>
      <w:r w:rsidRPr="00A35E5C">
        <w:rPr>
          <w:color w:val="002060"/>
        </w:rPr>
        <w:lastRenderedPageBreak/>
        <w:t>Value of Approvals</w:t>
      </w:r>
      <w:bookmarkEnd w:id="19"/>
      <w:bookmarkEnd w:id="20"/>
    </w:p>
    <w:p w:rsidR="008E16FC" w:rsidRPr="00A35E5C" w:rsidRDefault="00D052C9" w:rsidP="007169B3">
      <w:pPr>
        <w:ind w:left="426"/>
        <w:rPr>
          <w:sz w:val="20"/>
        </w:rPr>
      </w:pPr>
      <w:r w:rsidRPr="00A35E5C">
        <w:rPr>
          <w:sz w:val="20"/>
        </w:rPr>
        <w:t>The C</w:t>
      </w:r>
      <w:r w:rsidR="00F9033F" w:rsidRPr="00A35E5C">
        <w:rPr>
          <w:sz w:val="20"/>
        </w:rPr>
        <w:t xml:space="preserve">ity of Melbourne had the largest value of building approvals </w:t>
      </w:r>
      <w:r w:rsidR="00A35E5C" w:rsidRPr="00A35E5C">
        <w:rPr>
          <w:sz w:val="20"/>
        </w:rPr>
        <w:t xml:space="preserve">in the first nine months </w:t>
      </w:r>
      <w:r w:rsidR="00211644" w:rsidRPr="00A35E5C">
        <w:rPr>
          <w:sz w:val="20"/>
        </w:rPr>
        <w:t>of 2016</w:t>
      </w:r>
      <w:r w:rsidR="00A35E5C" w:rsidRPr="00A35E5C">
        <w:rPr>
          <w:sz w:val="20"/>
        </w:rPr>
        <w:t>-17</w:t>
      </w:r>
      <w:r w:rsidR="009F7C5B" w:rsidRPr="00A35E5C">
        <w:rPr>
          <w:sz w:val="20"/>
        </w:rPr>
        <w:t>,</w:t>
      </w:r>
      <w:r w:rsidR="00F02BAB" w:rsidRPr="00A35E5C">
        <w:rPr>
          <w:sz w:val="20"/>
        </w:rPr>
        <w:t xml:space="preserve"> </w:t>
      </w:r>
      <w:r w:rsidR="00211644" w:rsidRPr="00A35E5C">
        <w:rPr>
          <w:sz w:val="20"/>
        </w:rPr>
        <w:t>totalling almost</w:t>
      </w:r>
      <w:r w:rsidR="00670F1F" w:rsidRPr="00A35E5C">
        <w:rPr>
          <w:sz w:val="20"/>
        </w:rPr>
        <w:t xml:space="preserve"> </w:t>
      </w:r>
      <w:r w:rsidR="00F02BAB" w:rsidRPr="00A35E5C">
        <w:rPr>
          <w:sz w:val="20"/>
        </w:rPr>
        <w:t>$</w:t>
      </w:r>
      <w:r w:rsidR="00A35E5C" w:rsidRPr="00A35E5C">
        <w:rPr>
          <w:sz w:val="20"/>
        </w:rPr>
        <w:t>4</w:t>
      </w:r>
      <w:r w:rsidR="00211644" w:rsidRPr="00A35E5C">
        <w:rPr>
          <w:sz w:val="20"/>
        </w:rPr>
        <w:t>.</w:t>
      </w:r>
      <w:r w:rsidR="00A35E5C" w:rsidRPr="00A35E5C">
        <w:rPr>
          <w:sz w:val="20"/>
        </w:rPr>
        <w:t>6</w:t>
      </w:r>
      <w:r w:rsidR="00F02BAB" w:rsidRPr="00A35E5C">
        <w:rPr>
          <w:sz w:val="20"/>
        </w:rPr>
        <w:t xml:space="preserve"> bi</w:t>
      </w:r>
      <w:r w:rsidR="008E16FC" w:rsidRPr="00A35E5C">
        <w:rPr>
          <w:sz w:val="20"/>
        </w:rPr>
        <w:t>llion</w:t>
      </w:r>
      <w:r w:rsidR="00670F1F" w:rsidRPr="00A35E5C">
        <w:rPr>
          <w:sz w:val="20"/>
        </w:rPr>
        <w:t>.</w:t>
      </w:r>
      <w:r w:rsidR="009F7C5B" w:rsidRPr="00A35E5C">
        <w:rPr>
          <w:sz w:val="20"/>
        </w:rPr>
        <w:t xml:space="preserve"> </w:t>
      </w:r>
      <w:r w:rsidR="00211644" w:rsidRPr="00A35E5C">
        <w:rPr>
          <w:sz w:val="20"/>
        </w:rPr>
        <w:t>Wyndham</w:t>
      </w:r>
      <w:r w:rsidR="00A35E5C" w:rsidRPr="00A35E5C">
        <w:rPr>
          <w:sz w:val="20"/>
        </w:rPr>
        <w:t xml:space="preserve">, Casey, </w:t>
      </w:r>
      <w:proofErr w:type="spellStart"/>
      <w:r w:rsidR="00A35E5C" w:rsidRPr="00A35E5C">
        <w:rPr>
          <w:sz w:val="20"/>
        </w:rPr>
        <w:t>Boroondara</w:t>
      </w:r>
      <w:proofErr w:type="spellEnd"/>
      <w:r w:rsidR="00A35E5C" w:rsidRPr="00A35E5C">
        <w:rPr>
          <w:sz w:val="20"/>
        </w:rPr>
        <w:t xml:space="preserve"> and </w:t>
      </w:r>
      <w:proofErr w:type="spellStart"/>
      <w:r w:rsidR="00A35E5C" w:rsidRPr="00A35E5C">
        <w:rPr>
          <w:sz w:val="20"/>
        </w:rPr>
        <w:t>Stonnington</w:t>
      </w:r>
      <w:proofErr w:type="spellEnd"/>
      <w:r w:rsidR="00A35E5C" w:rsidRPr="00A35E5C">
        <w:rPr>
          <w:sz w:val="20"/>
        </w:rPr>
        <w:t xml:space="preserve"> each had over a billion dollars’ worth of building</w:t>
      </w:r>
      <w:r w:rsidR="00211644" w:rsidRPr="00A35E5C">
        <w:rPr>
          <w:sz w:val="20"/>
        </w:rPr>
        <w:t xml:space="preserve"> in the same</w:t>
      </w:r>
      <w:r w:rsidR="00A35E5C" w:rsidRPr="00A35E5C">
        <w:rPr>
          <w:sz w:val="20"/>
        </w:rPr>
        <w:t xml:space="preserve"> time period</w:t>
      </w:r>
      <w:r w:rsidR="00211644" w:rsidRPr="00A35E5C">
        <w:rPr>
          <w:sz w:val="20"/>
        </w:rPr>
        <w:t xml:space="preserve">. </w:t>
      </w:r>
    </w:p>
    <w:p w:rsidR="00742B73" w:rsidRPr="00A35E5C" w:rsidRDefault="00F9033F" w:rsidP="007169B3">
      <w:pPr>
        <w:ind w:left="426"/>
        <w:rPr>
          <w:sz w:val="20"/>
        </w:rPr>
      </w:pPr>
      <w:r w:rsidRPr="00A35E5C">
        <w:rPr>
          <w:sz w:val="20"/>
        </w:rPr>
        <w:t xml:space="preserve">In </w:t>
      </w:r>
      <w:r w:rsidR="004569EC" w:rsidRPr="00A35E5C">
        <w:rPr>
          <w:sz w:val="20"/>
        </w:rPr>
        <w:t>r</w:t>
      </w:r>
      <w:r w:rsidRPr="00A35E5C">
        <w:rPr>
          <w:sz w:val="20"/>
        </w:rPr>
        <w:t>egional Victoria, the highest value of approvals were in Greater Geelon</w:t>
      </w:r>
      <w:r w:rsidR="00211644" w:rsidRPr="00A35E5C">
        <w:rPr>
          <w:sz w:val="20"/>
        </w:rPr>
        <w:t>g, Ballarat, Greater Bendigo and the Surf Coast</w:t>
      </w:r>
      <w:r w:rsidRPr="00A35E5C">
        <w:rPr>
          <w:sz w:val="20"/>
        </w:rPr>
        <w:t xml:space="preserve">.  </w:t>
      </w:r>
    </w:p>
    <w:p w:rsidR="003565F0" w:rsidRPr="00911E1B" w:rsidRDefault="00A35E5C" w:rsidP="007169B3">
      <w:pPr>
        <w:ind w:left="426"/>
        <w:rPr>
          <w:sz w:val="20"/>
          <w:highlight w:val="yellow"/>
        </w:rPr>
      </w:pPr>
      <w:r>
        <w:rPr>
          <w:noProof/>
          <w:lang w:eastAsia="en-AU"/>
        </w:rPr>
        <w:drawing>
          <wp:inline distT="0" distB="0" distL="0" distR="0" wp14:anchorId="1C584206" wp14:editId="2ACD4874">
            <wp:extent cx="6010275" cy="7810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052C9" w:rsidRPr="00911E1B" w:rsidRDefault="00A35E5C" w:rsidP="003571BF">
      <w:pPr>
        <w:ind w:left="426"/>
        <w:rPr>
          <w:b/>
          <w:sz w:val="20"/>
          <w:highlight w:val="yellow"/>
        </w:rPr>
      </w:pPr>
      <w:bookmarkStart w:id="21" w:name="_Toc437436633"/>
      <w:r>
        <w:rPr>
          <w:noProof/>
          <w:lang w:eastAsia="en-AU"/>
        </w:rPr>
        <w:lastRenderedPageBreak/>
        <w:drawing>
          <wp:inline distT="0" distB="0" distL="0" distR="0" wp14:anchorId="571253DD" wp14:editId="50F73179">
            <wp:extent cx="5946775" cy="92106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052C9" w:rsidRPr="00911E1B">
        <w:rPr>
          <w:b/>
          <w:sz w:val="20"/>
          <w:highlight w:val="yellow"/>
        </w:rPr>
        <w:br w:type="page"/>
      </w:r>
    </w:p>
    <w:p w:rsidR="00362941" w:rsidRPr="00D4673A" w:rsidRDefault="00362941" w:rsidP="003C4829">
      <w:pPr>
        <w:pStyle w:val="Heading4list"/>
        <w:rPr>
          <w:color w:val="002060"/>
        </w:rPr>
      </w:pPr>
      <w:bookmarkStart w:id="22" w:name="_Toc468972260"/>
      <w:r w:rsidRPr="00D4673A">
        <w:rPr>
          <w:color w:val="002060"/>
        </w:rPr>
        <w:lastRenderedPageBreak/>
        <w:t>Commercial Buildings</w:t>
      </w:r>
      <w:bookmarkEnd w:id="21"/>
      <w:bookmarkEnd w:id="22"/>
    </w:p>
    <w:p w:rsidR="008E16FC" w:rsidRPr="00D4673A" w:rsidRDefault="00923D42" w:rsidP="007169B3">
      <w:pPr>
        <w:ind w:left="851"/>
        <w:rPr>
          <w:sz w:val="20"/>
        </w:rPr>
      </w:pPr>
      <w:r w:rsidRPr="00D4673A">
        <w:rPr>
          <w:sz w:val="20"/>
        </w:rPr>
        <w:t xml:space="preserve">In the </w:t>
      </w:r>
      <w:r w:rsidR="00D4673A" w:rsidRPr="00D4673A">
        <w:rPr>
          <w:sz w:val="20"/>
        </w:rPr>
        <w:t>first 9 months</w:t>
      </w:r>
      <w:r w:rsidRPr="00D4673A">
        <w:rPr>
          <w:sz w:val="20"/>
        </w:rPr>
        <w:t xml:space="preserve"> of 2016</w:t>
      </w:r>
      <w:r w:rsidR="00D4673A" w:rsidRPr="00D4673A">
        <w:rPr>
          <w:sz w:val="20"/>
        </w:rPr>
        <w:t>-17</w:t>
      </w:r>
      <w:r w:rsidR="00F1749B" w:rsidRPr="00D4673A">
        <w:rPr>
          <w:sz w:val="20"/>
        </w:rPr>
        <w:t>,</w:t>
      </w:r>
      <w:r w:rsidR="008E16FC" w:rsidRPr="00D4673A">
        <w:rPr>
          <w:sz w:val="20"/>
        </w:rPr>
        <w:t xml:space="preserve"> </w:t>
      </w:r>
      <w:r w:rsidR="008C7BD8" w:rsidRPr="00D4673A">
        <w:rPr>
          <w:sz w:val="20"/>
        </w:rPr>
        <w:t>t</w:t>
      </w:r>
      <w:r w:rsidR="00C06567" w:rsidRPr="00D4673A">
        <w:rPr>
          <w:sz w:val="20"/>
        </w:rPr>
        <w:t xml:space="preserve">he City of Melbourne had the greatest value of </w:t>
      </w:r>
      <w:r w:rsidR="00223957" w:rsidRPr="00D4673A">
        <w:rPr>
          <w:sz w:val="20"/>
        </w:rPr>
        <w:t>c</w:t>
      </w:r>
      <w:r w:rsidR="00C06567" w:rsidRPr="00D4673A">
        <w:rPr>
          <w:sz w:val="20"/>
        </w:rPr>
        <w:t>ommercial buildings approved</w:t>
      </w:r>
      <w:r w:rsidR="00D4673A" w:rsidRPr="00D4673A">
        <w:rPr>
          <w:sz w:val="20"/>
        </w:rPr>
        <w:t xml:space="preserve"> (44</w:t>
      </w:r>
      <w:r w:rsidR="008E16FC" w:rsidRPr="00D4673A">
        <w:rPr>
          <w:sz w:val="20"/>
        </w:rPr>
        <w:t xml:space="preserve">% of the </w:t>
      </w:r>
      <w:r w:rsidR="00F1749B" w:rsidRPr="00D4673A">
        <w:rPr>
          <w:sz w:val="20"/>
        </w:rPr>
        <w:t>s</w:t>
      </w:r>
      <w:r w:rsidR="008E16FC" w:rsidRPr="00D4673A">
        <w:rPr>
          <w:sz w:val="20"/>
        </w:rPr>
        <w:t xml:space="preserve">tate </w:t>
      </w:r>
      <w:r w:rsidR="00F1749B" w:rsidRPr="00D4673A">
        <w:rPr>
          <w:sz w:val="20"/>
        </w:rPr>
        <w:t>t</w:t>
      </w:r>
      <w:r w:rsidR="008E16FC" w:rsidRPr="00D4673A">
        <w:rPr>
          <w:sz w:val="20"/>
        </w:rPr>
        <w:t>otal)</w:t>
      </w:r>
      <w:r w:rsidR="00C06567" w:rsidRPr="00D4673A">
        <w:rPr>
          <w:sz w:val="20"/>
        </w:rPr>
        <w:t>, with the majority being offices</w:t>
      </w:r>
      <w:r w:rsidR="008E16FC" w:rsidRPr="00D4673A">
        <w:rPr>
          <w:sz w:val="20"/>
        </w:rPr>
        <w:t xml:space="preserve"> after some major projects were approved</w:t>
      </w:r>
      <w:r w:rsidR="00C06567" w:rsidRPr="00D4673A">
        <w:rPr>
          <w:sz w:val="20"/>
        </w:rPr>
        <w:t>.</w:t>
      </w:r>
      <w:r w:rsidR="00C223D0" w:rsidRPr="00D4673A">
        <w:rPr>
          <w:sz w:val="20"/>
        </w:rPr>
        <w:t xml:space="preserve"> </w:t>
      </w:r>
      <w:r w:rsidR="00DF261F" w:rsidRPr="00D4673A">
        <w:rPr>
          <w:sz w:val="20"/>
        </w:rPr>
        <w:t xml:space="preserve"> The majority of </w:t>
      </w:r>
      <w:r w:rsidR="00304506" w:rsidRPr="00D4673A">
        <w:rPr>
          <w:sz w:val="20"/>
        </w:rPr>
        <w:t xml:space="preserve">work approved </w:t>
      </w:r>
      <w:r w:rsidR="00DF261F" w:rsidRPr="00D4673A">
        <w:rPr>
          <w:sz w:val="20"/>
        </w:rPr>
        <w:t>across the</w:t>
      </w:r>
      <w:r w:rsidRPr="00D4673A">
        <w:rPr>
          <w:sz w:val="20"/>
        </w:rPr>
        <w:t xml:space="preserve"> rest of</w:t>
      </w:r>
      <w:r w:rsidR="002378AD" w:rsidRPr="00D4673A">
        <w:rPr>
          <w:sz w:val="20"/>
        </w:rPr>
        <w:t xml:space="preserve"> the</w:t>
      </w:r>
      <w:r w:rsidR="00DF261F" w:rsidRPr="00D4673A">
        <w:rPr>
          <w:sz w:val="20"/>
        </w:rPr>
        <w:t xml:space="preserve"> m</w:t>
      </w:r>
      <w:r w:rsidR="00304506" w:rsidRPr="00D4673A">
        <w:rPr>
          <w:sz w:val="20"/>
        </w:rPr>
        <w:t>etropolitan</w:t>
      </w:r>
      <w:r w:rsidR="00DF261F" w:rsidRPr="00D4673A">
        <w:rPr>
          <w:sz w:val="20"/>
        </w:rPr>
        <w:t xml:space="preserve"> </w:t>
      </w:r>
      <w:r w:rsidR="00304506" w:rsidRPr="00D4673A">
        <w:rPr>
          <w:sz w:val="20"/>
        </w:rPr>
        <w:t xml:space="preserve">Melbourne </w:t>
      </w:r>
      <w:r w:rsidR="00DF261F" w:rsidRPr="00D4673A">
        <w:rPr>
          <w:sz w:val="20"/>
        </w:rPr>
        <w:t xml:space="preserve">area </w:t>
      </w:r>
      <w:r w:rsidR="00304506" w:rsidRPr="00D4673A">
        <w:rPr>
          <w:sz w:val="20"/>
        </w:rPr>
        <w:t xml:space="preserve">was for </w:t>
      </w:r>
      <w:r w:rsidR="00DF261F" w:rsidRPr="00D4673A">
        <w:rPr>
          <w:sz w:val="20"/>
        </w:rPr>
        <w:t>r</w:t>
      </w:r>
      <w:r w:rsidR="00304506" w:rsidRPr="00D4673A">
        <w:rPr>
          <w:sz w:val="20"/>
        </w:rPr>
        <w:t xml:space="preserve">etail buildings. </w:t>
      </w:r>
    </w:p>
    <w:p w:rsidR="003565F0" w:rsidRPr="00D4673A" w:rsidRDefault="00304506" w:rsidP="007169B3">
      <w:pPr>
        <w:ind w:left="851"/>
        <w:rPr>
          <w:sz w:val="20"/>
        </w:rPr>
      </w:pPr>
      <w:r w:rsidRPr="00D4673A">
        <w:rPr>
          <w:sz w:val="20"/>
        </w:rPr>
        <w:t xml:space="preserve">In </w:t>
      </w:r>
      <w:r w:rsidR="008C7BD8" w:rsidRPr="00D4673A">
        <w:rPr>
          <w:sz w:val="20"/>
        </w:rPr>
        <w:t>r</w:t>
      </w:r>
      <w:r w:rsidRPr="00D4673A">
        <w:rPr>
          <w:sz w:val="20"/>
        </w:rPr>
        <w:t>egional Victoria, outside a few of the major regional cities, there w</w:t>
      </w:r>
      <w:r w:rsidR="008C7BD8" w:rsidRPr="00D4673A">
        <w:rPr>
          <w:sz w:val="20"/>
        </w:rPr>
        <w:t>ere</w:t>
      </w:r>
      <w:r w:rsidRPr="00D4673A">
        <w:rPr>
          <w:sz w:val="20"/>
        </w:rPr>
        <w:t xml:space="preserve"> virtually no commercial buildings approved</w:t>
      </w:r>
      <w:r w:rsidR="00BE237F" w:rsidRPr="00D4673A">
        <w:rPr>
          <w:sz w:val="20"/>
        </w:rPr>
        <w:t xml:space="preserve"> except for approximately</w:t>
      </w:r>
      <w:r w:rsidR="00923D42" w:rsidRPr="00D4673A">
        <w:rPr>
          <w:sz w:val="20"/>
        </w:rPr>
        <w:t xml:space="preserve"> $19 million worth of retail in Colac-Otway</w:t>
      </w:r>
      <w:r w:rsidR="00D4673A">
        <w:rPr>
          <w:sz w:val="20"/>
        </w:rPr>
        <w:t xml:space="preserve"> and $14 million worth of Offices in Baw </w:t>
      </w:r>
      <w:proofErr w:type="spellStart"/>
      <w:r w:rsidR="00D4673A">
        <w:rPr>
          <w:sz w:val="20"/>
        </w:rPr>
        <w:t>Baw</w:t>
      </w:r>
      <w:proofErr w:type="spellEnd"/>
      <w:r w:rsidRPr="00D4673A">
        <w:rPr>
          <w:sz w:val="20"/>
        </w:rPr>
        <w:t xml:space="preserve">. </w:t>
      </w:r>
    </w:p>
    <w:p w:rsidR="003565F0" w:rsidRPr="00911E1B" w:rsidRDefault="00D4673A" w:rsidP="007169B3">
      <w:pPr>
        <w:ind w:left="851"/>
        <w:rPr>
          <w:sz w:val="20"/>
          <w:highlight w:val="yellow"/>
        </w:rPr>
      </w:pPr>
      <w:r>
        <w:rPr>
          <w:noProof/>
          <w:lang w:eastAsia="en-AU"/>
        </w:rPr>
        <w:drawing>
          <wp:inline distT="0" distB="0" distL="0" distR="0" wp14:anchorId="1543C638" wp14:editId="70C8A1B4">
            <wp:extent cx="5882640" cy="7848600"/>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23D0" w:rsidRPr="00911E1B" w:rsidRDefault="00C223D0" w:rsidP="00F071C8">
      <w:pPr>
        <w:ind w:left="426"/>
        <w:rPr>
          <w:b/>
          <w:sz w:val="20"/>
          <w:highlight w:val="yellow"/>
        </w:rPr>
      </w:pPr>
      <w:bookmarkStart w:id="23" w:name="_Toc437436634"/>
      <w:r w:rsidRPr="00911E1B">
        <w:rPr>
          <w:b/>
          <w:sz w:val="20"/>
          <w:highlight w:val="yellow"/>
        </w:rPr>
        <w:br w:type="page"/>
      </w:r>
      <w:r w:rsidR="00D4673A">
        <w:rPr>
          <w:noProof/>
          <w:lang w:eastAsia="en-AU"/>
        </w:rPr>
        <w:lastRenderedPageBreak/>
        <w:drawing>
          <wp:inline distT="0" distB="0" distL="0" distR="0" wp14:anchorId="54016868" wp14:editId="2F9AC19D">
            <wp:extent cx="5819775" cy="92297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01BA" w:rsidRPr="00D4673A" w:rsidRDefault="00A101BA" w:rsidP="003C4829">
      <w:pPr>
        <w:pStyle w:val="Heading4list"/>
        <w:rPr>
          <w:color w:val="002060"/>
        </w:rPr>
      </w:pPr>
      <w:bookmarkStart w:id="24" w:name="_Toc468972261"/>
      <w:r w:rsidRPr="00D4673A">
        <w:rPr>
          <w:color w:val="002060"/>
        </w:rPr>
        <w:lastRenderedPageBreak/>
        <w:t>Industrial buildings</w:t>
      </w:r>
      <w:bookmarkEnd w:id="23"/>
      <w:bookmarkEnd w:id="24"/>
    </w:p>
    <w:p w:rsidR="00A101BA" w:rsidRPr="00E84FDD" w:rsidRDefault="00D4673A" w:rsidP="003750D7">
      <w:pPr>
        <w:ind w:left="851"/>
        <w:jc w:val="both"/>
        <w:rPr>
          <w:sz w:val="20"/>
        </w:rPr>
      </w:pPr>
      <w:r w:rsidRPr="00D4673A">
        <w:rPr>
          <w:sz w:val="20"/>
        </w:rPr>
        <w:t>Over 70</w:t>
      </w:r>
      <w:r w:rsidR="00F071C8" w:rsidRPr="00D4673A">
        <w:rPr>
          <w:sz w:val="20"/>
        </w:rPr>
        <w:t xml:space="preserve">% </w:t>
      </w:r>
      <w:r w:rsidR="00A101BA" w:rsidRPr="00D4673A">
        <w:rPr>
          <w:sz w:val="20"/>
        </w:rPr>
        <w:t>of indus</w:t>
      </w:r>
      <w:r w:rsidR="00F071C8" w:rsidRPr="00D4673A">
        <w:rPr>
          <w:sz w:val="20"/>
        </w:rPr>
        <w:t xml:space="preserve">trial buildings approved in </w:t>
      </w:r>
      <w:r w:rsidR="00923D42" w:rsidRPr="00D4673A">
        <w:rPr>
          <w:sz w:val="20"/>
        </w:rPr>
        <w:t xml:space="preserve">the </w:t>
      </w:r>
      <w:r w:rsidRPr="00D4673A">
        <w:rPr>
          <w:sz w:val="20"/>
        </w:rPr>
        <w:t xml:space="preserve">first nine months </w:t>
      </w:r>
      <w:r w:rsidR="00923D42" w:rsidRPr="00D4673A">
        <w:rPr>
          <w:sz w:val="20"/>
        </w:rPr>
        <w:t>of</w:t>
      </w:r>
      <w:r w:rsidR="00304506" w:rsidRPr="00D4673A">
        <w:rPr>
          <w:sz w:val="20"/>
        </w:rPr>
        <w:t xml:space="preserve"> 2016</w:t>
      </w:r>
      <w:r w:rsidRPr="00D4673A">
        <w:rPr>
          <w:sz w:val="20"/>
        </w:rPr>
        <w:t>-17</w:t>
      </w:r>
      <w:r w:rsidR="00304506" w:rsidRPr="00D4673A">
        <w:rPr>
          <w:sz w:val="20"/>
        </w:rPr>
        <w:t xml:space="preserve"> </w:t>
      </w:r>
      <w:r w:rsidR="00F071C8" w:rsidRPr="00D4673A">
        <w:rPr>
          <w:sz w:val="20"/>
        </w:rPr>
        <w:t>w</w:t>
      </w:r>
      <w:r w:rsidR="00A101BA" w:rsidRPr="00D4673A">
        <w:rPr>
          <w:sz w:val="20"/>
        </w:rPr>
        <w:t xml:space="preserve">ere warehouses and </w:t>
      </w:r>
      <w:r w:rsidR="00F1749B" w:rsidRPr="00D4673A">
        <w:rPr>
          <w:sz w:val="20"/>
        </w:rPr>
        <w:t xml:space="preserve">a </w:t>
      </w:r>
      <w:r w:rsidR="00304506" w:rsidRPr="00D4673A">
        <w:rPr>
          <w:sz w:val="20"/>
        </w:rPr>
        <w:t xml:space="preserve">vast </w:t>
      </w:r>
      <w:r w:rsidR="00304506" w:rsidRPr="00E84FDD">
        <w:rPr>
          <w:sz w:val="20"/>
        </w:rPr>
        <w:t>majority</w:t>
      </w:r>
      <w:r w:rsidR="00A101BA" w:rsidRPr="00E84FDD">
        <w:rPr>
          <w:sz w:val="20"/>
        </w:rPr>
        <w:t xml:space="preserve"> were located in the </w:t>
      </w:r>
      <w:r w:rsidR="00590D0A" w:rsidRPr="00E84FDD">
        <w:rPr>
          <w:sz w:val="20"/>
        </w:rPr>
        <w:t>m</w:t>
      </w:r>
      <w:r w:rsidR="00A101BA" w:rsidRPr="00E84FDD">
        <w:rPr>
          <w:sz w:val="20"/>
        </w:rPr>
        <w:t xml:space="preserve">etropolitan </w:t>
      </w:r>
      <w:r w:rsidR="00590D0A" w:rsidRPr="00E84FDD">
        <w:rPr>
          <w:sz w:val="20"/>
        </w:rPr>
        <w:t>a</w:t>
      </w:r>
      <w:r w:rsidR="00A101BA" w:rsidRPr="00E84FDD">
        <w:rPr>
          <w:sz w:val="20"/>
        </w:rPr>
        <w:t>rea.</w:t>
      </w:r>
      <w:r w:rsidR="00966CC5" w:rsidRPr="00E84FDD">
        <w:rPr>
          <w:sz w:val="20"/>
        </w:rPr>
        <w:t xml:space="preserve"> </w:t>
      </w:r>
      <w:r w:rsidR="00304506" w:rsidRPr="00E84FDD">
        <w:rPr>
          <w:sz w:val="20"/>
        </w:rPr>
        <w:t>There were only $</w:t>
      </w:r>
      <w:r w:rsidRPr="00E84FDD">
        <w:rPr>
          <w:sz w:val="20"/>
        </w:rPr>
        <w:t>117</w:t>
      </w:r>
      <w:r w:rsidR="00304506" w:rsidRPr="00E84FDD">
        <w:rPr>
          <w:sz w:val="20"/>
        </w:rPr>
        <w:t xml:space="preserve"> million worth of factories and other production buildings across the whole state</w:t>
      </w:r>
      <w:r w:rsidRPr="00E84FDD">
        <w:rPr>
          <w:sz w:val="20"/>
        </w:rPr>
        <w:t xml:space="preserve"> for the same period</w:t>
      </w:r>
      <w:r w:rsidR="00304506" w:rsidRPr="00E84FDD">
        <w:rPr>
          <w:sz w:val="20"/>
        </w:rPr>
        <w:t xml:space="preserve">.  </w:t>
      </w:r>
    </w:p>
    <w:p w:rsidR="00A101BA" w:rsidRPr="00E84FDD" w:rsidRDefault="00A101BA" w:rsidP="003750D7">
      <w:pPr>
        <w:ind w:left="851"/>
        <w:jc w:val="both"/>
        <w:rPr>
          <w:sz w:val="20"/>
        </w:rPr>
      </w:pPr>
      <w:r w:rsidRPr="00E84FDD">
        <w:rPr>
          <w:sz w:val="20"/>
        </w:rPr>
        <w:t xml:space="preserve">In </w:t>
      </w:r>
      <w:r w:rsidR="00F071C8" w:rsidRPr="00E84FDD">
        <w:rPr>
          <w:sz w:val="20"/>
        </w:rPr>
        <w:t xml:space="preserve">regional Victoria, </w:t>
      </w:r>
      <w:r w:rsidR="00D4673A" w:rsidRPr="00E84FDD">
        <w:rPr>
          <w:sz w:val="20"/>
        </w:rPr>
        <w:t>the most interest</w:t>
      </w:r>
      <w:r w:rsidR="00E275A5">
        <w:rPr>
          <w:sz w:val="20"/>
        </w:rPr>
        <w:t>ing</w:t>
      </w:r>
      <w:r w:rsidR="00D4673A" w:rsidRPr="00E84FDD">
        <w:rPr>
          <w:sz w:val="20"/>
        </w:rPr>
        <w:t xml:space="preserve"> event was the approval for a very large hydroponics</w:t>
      </w:r>
      <w:r w:rsidR="00E275A5">
        <w:rPr>
          <w:sz w:val="20"/>
        </w:rPr>
        <w:t xml:space="preserve"> farm</w:t>
      </w:r>
      <w:r w:rsidR="00D4673A" w:rsidRPr="00E84FDD">
        <w:rPr>
          <w:sz w:val="20"/>
        </w:rPr>
        <w:t xml:space="preserve"> in Northern Grampians</w:t>
      </w:r>
      <w:r w:rsidR="00E275A5">
        <w:rPr>
          <w:sz w:val="20"/>
        </w:rPr>
        <w:t xml:space="preserve"> announced in January 2017</w:t>
      </w:r>
      <w:r w:rsidR="00D4673A" w:rsidRPr="00E84FDD">
        <w:rPr>
          <w:sz w:val="20"/>
        </w:rPr>
        <w:t>.    </w:t>
      </w:r>
    </w:p>
    <w:p w:rsidR="00A101BA" w:rsidRPr="00E84FDD" w:rsidRDefault="00F05FFC" w:rsidP="00F071C8">
      <w:pPr>
        <w:ind w:left="426"/>
        <w:rPr>
          <w:sz w:val="20"/>
        </w:rPr>
      </w:pPr>
      <w:r w:rsidRPr="00E84FDD">
        <w:rPr>
          <w:noProof/>
          <w:lang w:eastAsia="en-AU"/>
        </w:rPr>
        <w:drawing>
          <wp:inline distT="0" distB="0" distL="0" distR="0" wp14:anchorId="574D0DBD" wp14:editId="14FBA962">
            <wp:extent cx="5915025" cy="7781925"/>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23D0" w:rsidRPr="00E84FDD" w:rsidRDefault="00D4673A" w:rsidP="00F071C8">
      <w:pPr>
        <w:ind w:left="426"/>
        <w:rPr>
          <w:b/>
          <w:sz w:val="20"/>
        </w:rPr>
      </w:pPr>
      <w:bookmarkStart w:id="25" w:name="_Toc437436635"/>
      <w:r w:rsidRPr="00E84FDD">
        <w:rPr>
          <w:noProof/>
          <w:lang w:eastAsia="en-AU"/>
        </w:rPr>
        <w:lastRenderedPageBreak/>
        <w:drawing>
          <wp:inline distT="0" distB="0" distL="0" distR="0" wp14:anchorId="3B09F6F5" wp14:editId="2A149742">
            <wp:extent cx="5676900" cy="934148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223D0" w:rsidRPr="00E84FDD">
        <w:rPr>
          <w:b/>
          <w:sz w:val="20"/>
        </w:rPr>
        <w:br w:type="page"/>
      </w:r>
    </w:p>
    <w:p w:rsidR="00362941" w:rsidRPr="00E84FDD" w:rsidRDefault="00362941" w:rsidP="003C4829">
      <w:pPr>
        <w:pStyle w:val="Heading4list"/>
        <w:rPr>
          <w:color w:val="002060"/>
        </w:rPr>
      </w:pPr>
      <w:bookmarkStart w:id="26" w:name="_Toc468972262"/>
      <w:r w:rsidRPr="00E84FDD">
        <w:rPr>
          <w:color w:val="002060"/>
        </w:rPr>
        <w:lastRenderedPageBreak/>
        <w:t>Other Non-Residential Buildings</w:t>
      </w:r>
      <w:bookmarkEnd w:id="25"/>
      <w:bookmarkEnd w:id="26"/>
      <w:r w:rsidRPr="00E84FDD">
        <w:rPr>
          <w:color w:val="002060"/>
        </w:rPr>
        <w:t xml:space="preserve"> </w:t>
      </w:r>
    </w:p>
    <w:p w:rsidR="00385326" w:rsidRPr="00E84FDD" w:rsidRDefault="0009388B" w:rsidP="007169B3">
      <w:pPr>
        <w:ind w:left="851"/>
        <w:rPr>
          <w:sz w:val="20"/>
        </w:rPr>
      </w:pPr>
      <w:r w:rsidRPr="00E84FDD">
        <w:rPr>
          <w:sz w:val="20"/>
        </w:rPr>
        <w:t xml:space="preserve">In </w:t>
      </w:r>
      <w:r w:rsidR="00426DC1">
        <w:rPr>
          <w:sz w:val="20"/>
        </w:rPr>
        <w:t>the first three</w:t>
      </w:r>
      <w:r w:rsidR="00163F22" w:rsidRPr="00E84FDD">
        <w:rPr>
          <w:sz w:val="20"/>
        </w:rPr>
        <w:t xml:space="preserve"> quarters </w:t>
      </w:r>
      <w:r w:rsidRPr="00E84FDD">
        <w:rPr>
          <w:sz w:val="20"/>
        </w:rPr>
        <w:t>of 2016</w:t>
      </w:r>
      <w:r w:rsidR="00163F22" w:rsidRPr="00E84FDD">
        <w:rPr>
          <w:sz w:val="20"/>
        </w:rPr>
        <w:t>-17</w:t>
      </w:r>
      <w:r w:rsidR="00304506" w:rsidRPr="00E84FDD">
        <w:rPr>
          <w:sz w:val="20"/>
        </w:rPr>
        <w:t>, p</w:t>
      </w:r>
      <w:r w:rsidR="00385326" w:rsidRPr="00E84FDD">
        <w:rPr>
          <w:sz w:val="20"/>
        </w:rPr>
        <w:t>oints of interest</w:t>
      </w:r>
      <w:r w:rsidR="00932482" w:rsidRPr="00E84FDD">
        <w:rPr>
          <w:sz w:val="20"/>
        </w:rPr>
        <w:t xml:space="preserve"> in the other non-residential </w:t>
      </w:r>
      <w:r w:rsidR="00385326" w:rsidRPr="00E84FDD">
        <w:rPr>
          <w:sz w:val="20"/>
        </w:rPr>
        <w:t>buildin</w:t>
      </w:r>
      <w:r w:rsidR="00A05044" w:rsidRPr="00E84FDD">
        <w:rPr>
          <w:sz w:val="20"/>
        </w:rPr>
        <w:t>g approvals were the short</w:t>
      </w:r>
      <w:r w:rsidR="000D543A" w:rsidRPr="00E84FDD">
        <w:rPr>
          <w:sz w:val="20"/>
        </w:rPr>
        <w:t>-</w:t>
      </w:r>
      <w:r w:rsidR="00A05044" w:rsidRPr="00E84FDD">
        <w:rPr>
          <w:sz w:val="20"/>
        </w:rPr>
        <w:t>term accommodation appro</w:t>
      </w:r>
      <w:r w:rsidR="008C7BD8" w:rsidRPr="00E84FDD">
        <w:rPr>
          <w:sz w:val="20"/>
        </w:rPr>
        <w:t>vals</w:t>
      </w:r>
      <w:r w:rsidR="00A05044" w:rsidRPr="00E84FDD">
        <w:rPr>
          <w:sz w:val="20"/>
        </w:rPr>
        <w:t xml:space="preserve"> in </w:t>
      </w:r>
      <w:r w:rsidR="00304506" w:rsidRPr="00E84FDD">
        <w:rPr>
          <w:sz w:val="20"/>
        </w:rPr>
        <w:t>Melbourne</w:t>
      </w:r>
      <w:r w:rsidR="00A05044" w:rsidRPr="00E84FDD">
        <w:rPr>
          <w:sz w:val="20"/>
        </w:rPr>
        <w:t xml:space="preserve">, </w:t>
      </w:r>
      <w:r w:rsidR="000D543A" w:rsidRPr="00E84FDD">
        <w:rPr>
          <w:sz w:val="20"/>
        </w:rPr>
        <w:t>e</w:t>
      </w:r>
      <w:r w:rsidR="00A05044" w:rsidRPr="00E84FDD">
        <w:rPr>
          <w:sz w:val="20"/>
        </w:rPr>
        <w:t>ducational buildings in</w:t>
      </w:r>
      <w:r w:rsidR="00163F22" w:rsidRPr="00E84FDD">
        <w:rPr>
          <w:sz w:val="20"/>
        </w:rPr>
        <w:t xml:space="preserve"> Monash and Geelong</w:t>
      </w:r>
      <w:r w:rsidR="00A05044" w:rsidRPr="00E84FDD">
        <w:rPr>
          <w:sz w:val="20"/>
        </w:rPr>
        <w:t xml:space="preserve">, </w:t>
      </w:r>
      <w:r w:rsidR="000D543A" w:rsidRPr="00E84FDD">
        <w:rPr>
          <w:sz w:val="20"/>
        </w:rPr>
        <w:t>e</w:t>
      </w:r>
      <w:r w:rsidR="00A05044" w:rsidRPr="00E84FDD">
        <w:rPr>
          <w:sz w:val="20"/>
        </w:rPr>
        <w:t>ntertainment building</w:t>
      </w:r>
      <w:r w:rsidR="00982AF4" w:rsidRPr="00E84FDD">
        <w:rPr>
          <w:sz w:val="20"/>
        </w:rPr>
        <w:t>s</w:t>
      </w:r>
      <w:r w:rsidR="00A05044" w:rsidRPr="00E84FDD">
        <w:rPr>
          <w:sz w:val="20"/>
        </w:rPr>
        <w:t xml:space="preserve"> in </w:t>
      </w:r>
      <w:r w:rsidR="00304506" w:rsidRPr="00E84FDD">
        <w:rPr>
          <w:sz w:val="20"/>
        </w:rPr>
        <w:t>Ballar</w:t>
      </w:r>
      <w:r w:rsidR="0095724D" w:rsidRPr="00E84FDD">
        <w:rPr>
          <w:sz w:val="20"/>
        </w:rPr>
        <w:t>a</w:t>
      </w:r>
      <w:r w:rsidR="00163F22" w:rsidRPr="00E84FDD">
        <w:rPr>
          <w:sz w:val="20"/>
        </w:rPr>
        <w:t>t and Bendigo</w:t>
      </w:r>
      <w:r w:rsidR="00982AF4" w:rsidRPr="00E84FDD">
        <w:rPr>
          <w:sz w:val="20"/>
        </w:rPr>
        <w:t>,</w:t>
      </w:r>
      <w:r w:rsidR="00932482" w:rsidRPr="00E84FDD">
        <w:rPr>
          <w:sz w:val="20"/>
        </w:rPr>
        <w:t xml:space="preserve"> and </w:t>
      </w:r>
      <w:r w:rsidR="000D543A" w:rsidRPr="00E84FDD">
        <w:rPr>
          <w:sz w:val="20"/>
        </w:rPr>
        <w:t>h</w:t>
      </w:r>
      <w:r w:rsidR="00932482" w:rsidRPr="00E84FDD">
        <w:rPr>
          <w:sz w:val="20"/>
        </w:rPr>
        <w:t>ealth b</w:t>
      </w:r>
      <w:r w:rsidR="00C223D0" w:rsidRPr="00E84FDD">
        <w:rPr>
          <w:sz w:val="20"/>
        </w:rPr>
        <w:t>uilding</w:t>
      </w:r>
      <w:r w:rsidR="00932482" w:rsidRPr="00E84FDD">
        <w:rPr>
          <w:sz w:val="20"/>
        </w:rPr>
        <w:t>s</w:t>
      </w:r>
      <w:r w:rsidR="00C223D0" w:rsidRPr="00E84FDD">
        <w:rPr>
          <w:sz w:val="20"/>
        </w:rPr>
        <w:t xml:space="preserve"> approved</w:t>
      </w:r>
      <w:r w:rsidR="00A05044" w:rsidRPr="00E84FDD">
        <w:rPr>
          <w:sz w:val="20"/>
        </w:rPr>
        <w:t xml:space="preserve"> in</w:t>
      </w:r>
      <w:r w:rsidR="00304506" w:rsidRPr="00E84FDD">
        <w:rPr>
          <w:sz w:val="20"/>
        </w:rPr>
        <w:t xml:space="preserve"> </w:t>
      </w:r>
      <w:proofErr w:type="spellStart"/>
      <w:r w:rsidR="00304506" w:rsidRPr="00E84FDD">
        <w:rPr>
          <w:sz w:val="20"/>
        </w:rPr>
        <w:t>Brimbank</w:t>
      </w:r>
      <w:proofErr w:type="spellEnd"/>
      <w:r w:rsidR="00163F22" w:rsidRPr="00E84FDD">
        <w:rPr>
          <w:sz w:val="20"/>
        </w:rPr>
        <w:t>, Casey</w:t>
      </w:r>
      <w:r w:rsidRPr="00E84FDD">
        <w:rPr>
          <w:sz w:val="20"/>
        </w:rPr>
        <w:t xml:space="preserve"> and Wyndham</w:t>
      </w:r>
      <w:r w:rsidR="00A05044" w:rsidRPr="00E84FDD">
        <w:rPr>
          <w:sz w:val="20"/>
        </w:rPr>
        <w:t xml:space="preserve">. </w:t>
      </w:r>
    </w:p>
    <w:p w:rsidR="003565F0" w:rsidRPr="00E84FDD" w:rsidRDefault="00163F22" w:rsidP="00163F22">
      <w:pPr>
        <w:rPr>
          <w:sz w:val="20"/>
        </w:rPr>
      </w:pPr>
      <w:r w:rsidRPr="00E84FDD">
        <w:rPr>
          <w:noProof/>
          <w:lang w:eastAsia="en-AU"/>
        </w:rPr>
        <w:drawing>
          <wp:inline distT="0" distB="0" distL="0" distR="0" wp14:anchorId="42B29398" wp14:editId="37B6C3EC">
            <wp:extent cx="6229350" cy="828675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223D0" w:rsidRPr="00E84FDD" w:rsidRDefault="00163F22" w:rsidP="00163F22">
      <w:pPr>
        <w:ind w:left="567"/>
        <w:rPr>
          <w:b/>
          <w:sz w:val="20"/>
        </w:rPr>
      </w:pPr>
      <w:bookmarkStart w:id="27" w:name="_Toc437436626"/>
      <w:r w:rsidRPr="00E84FDD">
        <w:rPr>
          <w:noProof/>
          <w:lang w:eastAsia="en-AU"/>
        </w:rPr>
        <w:lastRenderedPageBreak/>
        <w:drawing>
          <wp:inline distT="0" distB="0" distL="0" distR="0" wp14:anchorId="4A79CA18" wp14:editId="65D08A48">
            <wp:extent cx="5743575" cy="934148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C223D0" w:rsidRPr="00E84FDD">
        <w:rPr>
          <w:b/>
          <w:sz w:val="20"/>
        </w:rPr>
        <w:br w:type="page"/>
      </w:r>
    </w:p>
    <w:p w:rsidR="00316E36" w:rsidRPr="00E84FDD" w:rsidRDefault="00316E36" w:rsidP="00316E36">
      <w:pPr>
        <w:pStyle w:val="Heading2numbered"/>
        <w:rPr>
          <w:color w:val="002060"/>
        </w:rPr>
      </w:pPr>
      <w:bookmarkStart w:id="28" w:name="_Toc468972263"/>
      <w:bookmarkStart w:id="29" w:name="_Toc437436627"/>
      <w:bookmarkEnd w:id="27"/>
      <w:r w:rsidRPr="00E84FDD">
        <w:rPr>
          <w:color w:val="002060"/>
        </w:rPr>
        <w:lastRenderedPageBreak/>
        <w:t>Crane Counts</w:t>
      </w:r>
      <w:bookmarkEnd w:id="28"/>
      <w:r w:rsidRPr="00E84FDD">
        <w:rPr>
          <w:color w:val="002060"/>
        </w:rPr>
        <w:t xml:space="preserve"> </w:t>
      </w:r>
    </w:p>
    <w:p w:rsidR="00316E36" w:rsidRPr="008F2638" w:rsidRDefault="00316E36" w:rsidP="00420CBD">
      <w:pPr>
        <w:pStyle w:val="NoSpacing"/>
        <w:rPr>
          <w:b/>
          <w:sz w:val="20"/>
          <w:szCs w:val="20"/>
        </w:rPr>
      </w:pPr>
      <w:bookmarkStart w:id="30" w:name="_Toc449703737"/>
      <w:bookmarkStart w:id="31" w:name="_Toc450204662"/>
      <w:r w:rsidRPr="008F2638">
        <w:rPr>
          <w:sz w:val="20"/>
          <w:szCs w:val="20"/>
        </w:rPr>
        <w:t xml:space="preserve">Rider </w:t>
      </w:r>
      <w:proofErr w:type="spellStart"/>
      <w:r w:rsidRPr="008F2638">
        <w:rPr>
          <w:sz w:val="20"/>
          <w:szCs w:val="20"/>
        </w:rPr>
        <w:t>Levett</w:t>
      </w:r>
      <w:proofErr w:type="spellEnd"/>
      <w:r w:rsidRPr="008F2638">
        <w:rPr>
          <w:sz w:val="20"/>
          <w:szCs w:val="20"/>
        </w:rPr>
        <w:t xml:space="preserve"> </w:t>
      </w:r>
      <w:proofErr w:type="spellStart"/>
      <w:r w:rsidRPr="008F2638">
        <w:rPr>
          <w:sz w:val="20"/>
          <w:szCs w:val="20"/>
        </w:rPr>
        <w:t>Bucknall</w:t>
      </w:r>
      <w:proofErr w:type="spellEnd"/>
      <w:r w:rsidRPr="008F2638">
        <w:rPr>
          <w:sz w:val="20"/>
          <w:szCs w:val="20"/>
        </w:rPr>
        <w:t xml:space="preserve"> publishes a biannual </w:t>
      </w:r>
      <w:r w:rsidR="00253E13" w:rsidRPr="008F2638">
        <w:rPr>
          <w:sz w:val="20"/>
          <w:szCs w:val="20"/>
        </w:rPr>
        <w:t>C</w:t>
      </w:r>
      <w:r w:rsidRPr="008F2638">
        <w:rPr>
          <w:sz w:val="20"/>
          <w:szCs w:val="20"/>
        </w:rPr>
        <w:t>rane Index. The Crane Index tracks the number of cranes in the key mainland cities in Australia. This is a useful proxy for major construction work.</w:t>
      </w:r>
      <w:bookmarkEnd w:id="30"/>
      <w:bookmarkEnd w:id="31"/>
      <w:r w:rsidRPr="008F2638">
        <w:rPr>
          <w:sz w:val="20"/>
          <w:szCs w:val="20"/>
        </w:rPr>
        <w:t xml:space="preserve">   </w:t>
      </w:r>
    </w:p>
    <w:p w:rsidR="00444778" w:rsidRPr="008F2638" w:rsidRDefault="00444778" w:rsidP="00420CBD">
      <w:pPr>
        <w:pStyle w:val="NoSpacing"/>
        <w:rPr>
          <w:b/>
          <w:sz w:val="20"/>
          <w:szCs w:val="20"/>
        </w:rPr>
      </w:pPr>
    </w:p>
    <w:p w:rsidR="00444778" w:rsidRPr="008F2638" w:rsidRDefault="00444778" w:rsidP="00420CBD">
      <w:pPr>
        <w:pStyle w:val="NoSpacing"/>
        <w:rPr>
          <w:sz w:val="20"/>
          <w:szCs w:val="20"/>
        </w:rPr>
      </w:pPr>
      <w:bookmarkStart w:id="32" w:name="_Toc449703738"/>
      <w:bookmarkStart w:id="33" w:name="_Toc450204663"/>
      <w:bookmarkStart w:id="34" w:name="_Toc458413657"/>
      <w:r w:rsidRPr="008F2638">
        <w:rPr>
          <w:sz w:val="20"/>
          <w:szCs w:val="20"/>
        </w:rPr>
        <w:t>Across Melbourne</w:t>
      </w:r>
      <w:r w:rsidR="00253E13" w:rsidRPr="008F2638">
        <w:rPr>
          <w:sz w:val="20"/>
          <w:szCs w:val="20"/>
        </w:rPr>
        <w:t>,</w:t>
      </w:r>
      <w:r w:rsidR="008F2638" w:rsidRPr="008F2638">
        <w:rPr>
          <w:sz w:val="20"/>
          <w:szCs w:val="20"/>
        </w:rPr>
        <w:t xml:space="preserve"> there were 14</w:t>
      </w:r>
      <w:r w:rsidR="00820F2C" w:rsidRPr="008F2638">
        <w:rPr>
          <w:sz w:val="20"/>
          <w:szCs w:val="20"/>
        </w:rPr>
        <w:t>8</w:t>
      </w:r>
      <w:r w:rsidRPr="008F2638">
        <w:rPr>
          <w:sz w:val="20"/>
          <w:szCs w:val="20"/>
        </w:rPr>
        <w:t xml:space="preserve"> cranes on si</w:t>
      </w:r>
      <w:r w:rsidR="00820F2C" w:rsidRPr="008F2638">
        <w:rPr>
          <w:sz w:val="20"/>
          <w:szCs w:val="20"/>
        </w:rPr>
        <w:t xml:space="preserve">tes at the start of the </w:t>
      </w:r>
      <w:r w:rsidR="008F2638" w:rsidRPr="008F2638">
        <w:rPr>
          <w:sz w:val="20"/>
          <w:szCs w:val="20"/>
        </w:rPr>
        <w:t xml:space="preserve">second </w:t>
      </w:r>
      <w:r w:rsidR="008C7BD8" w:rsidRPr="008F2638">
        <w:rPr>
          <w:sz w:val="20"/>
          <w:szCs w:val="20"/>
        </w:rPr>
        <w:t>q</w:t>
      </w:r>
      <w:r w:rsidR="008F2638" w:rsidRPr="008F2638">
        <w:rPr>
          <w:sz w:val="20"/>
          <w:szCs w:val="20"/>
        </w:rPr>
        <w:t>uarter 2017</w:t>
      </w:r>
      <w:r w:rsidR="00820F2C" w:rsidRPr="008F2638">
        <w:rPr>
          <w:sz w:val="20"/>
          <w:szCs w:val="20"/>
        </w:rPr>
        <w:t xml:space="preserve">. There </w:t>
      </w:r>
      <w:r w:rsidR="00BE237F" w:rsidRPr="008F2638">
        <w:rPr>
          <w:sz w:val="20"/>
          <w:szCs w:val="20"/>
        </w:rPr>
        <w:t xml:space="preserve">have </w:t>
      </w:r>
      <w:r w:rsidR="00820F2C" w:rsidRPr="008F2638">
        <w:rPr>
          <w:sz w:val="20"/>
          <w:szCs w:val="20"/>
        </w:rPr>
        <w:t xml:space="preserve">been </w:t>
      </w:r>
      <w:r w:rsidR="008F2638" w:rsidRPr="008F2638">
        <w:rPr>
          <w:sz w:val="20"/>
          <w:szCs w:val="20"/>
        </w:rPr>
        <w:t>92</w:t>
      </w:r>
      <w:r w:rsidR="00F1749B" w:rsidRPr="008F2638">
        <w:rPr>
          <w:sz w:val="20"/>
          <w:szCs w:val="20"/>
        </w:rPr>
        <w:t xml:space="preserve"> </w:t>
      </w:r>
      <w:r w:rsidRPr="008F2638">
        <w:rPr>
          <w:sz w:val="20"/>
          <w:szCs w:val="20"/>
        </w:rPr>
        <w:t xml:space="preserve">new cranes </w:t>
      </w:r>
      <w:r w:rsidR="008F2638" w:rsidRPr="008F2638">
        <w:rPr>
          <w:sz w:val="20"/>
          <w:szCs w:val="20"/>
        </w:rPr>
        <w:t>erected and 77</w:t>
      </w:r>
      <w:r w:rsidRPr="008F2638">
        <w:rPr>
          <w:sz w:val="20"/>
          <w:szCs w:val="20"/>
        </w:rPr>
        <w:t xml:space="preserve"> dismantled in the past six months. The vast majority of these were on residential project</w:t>
      </w:r>
      <w:r w:rsidR="00F1749B" w:rsidRPr="008F2638">
        <w:rPr>
          <w:sz w:val="20"/>
          <w:szCs w:val="20"/>
        </w:rPr>
        <w:t xml:space="preserve"> sites</w:t>
      </w:r>
      <w:r w:rsidRPr="008F2638">
        <w:rPr>
          <w:sz w:val="20"/>
          <w:szCs w:val="20"/>
        </w:rPr>
        <w:t>.</w:t>
      </w:r>
      <w:bookmarkEnd w:id="32"/>
      <w:bookmarkEnd w:id="33"/>
      <w:bookmarkEnd w:id="34"/>
      <w:r w:rsidRPr="008F2638">
        <w:rPr>
          <w:sz w:val="20"/>
          <w:szCs w:val="20"/>
        </w:rPr>
        <w:t xml:space="preserve"> </w:t>
      </w:r>
    </w:p>
    <w:p w:rsidR="00C322A7" w:rsidRPr="008F2638" w:rsidRDefault="008F2638" w:rsidP="00420CBD">
      <w:pPr>
        <w:pStyle w:val="NoSpacing"/>
        <w:rPr>
          <w:b/>
          <w:sz w:val="20"/>
          <w:szCs w:val="20"/>
        </w:rPr>
      </w:pPr>
      <w:r w:rsidRPr="008F2638">
        <w:rPr>
          <w:noProof/>
          <w:lang w:eastAsia="en-AU"/>
        </w:rPr>
        <w:drawing>
          <wp:inline distT="0" distB="0" distL="0" distR="0" wp14:anchorId="054806D7" wp14:editId="7F4BF155">
            <wp:extent cx="6209665" cy="3640455"/>
            <wp:effectExtent l="0" t="0" r="63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0ADA" w:rsidRPr="008F2638" w:rsidRDefault="008F2638" w:rsidP="00420CBD">
      <w:pPr>
        <w:pStyle w:val="NoSpacing"/>
        <w:rPr>
          <w:b/>
          <w:sz w:val="20"/>
          <w:szCs w:val="20"/>
        </w:rPr>
      </w:pPr>
      <w:bookmarkStart w:id="35" w:name="_Toc449703740"/>
      <w:bookmarkStart w:id="36" w:name="_Toc450204665"/>
      <w:r w:rsidRPr="008F2638">
        <w:rPr>
          <w:sz w:val="20"/>
          <w:szCs w:val="20"/>
        </w:rPr>
        <w:t>Over 30%</w:t>
      </w:r>
      <w:r w:rsidR="00850ADA" w:rsidRPr="008F2638">
        <w:rPr>
          <w:sz w:val="20"/>
          <w:szCs w:val="20"/>
        </w:rPr>
        <w:t xml:space="preserve"> of the cranes in Melbourne were located in the CBD, Docklands and Southbank but </w:t>
      </w:r>
      <w:r w:rsidRPr="008F2638">
        <w:rPr>
          <w:sz w:val="20"/>
          <w:szCs w:val="20"/>
        </w:rPr>
        <w:t>the remainder were spread across the rest of Melbourne</w:t>
      </w:r>
      <w:r w:rsidR="00850ADA" w:rsidRPr="008F2638">
        <w:rPr>
          <w:sz w:val="20"/>
          <w:szCs w:val="20"/>
        </w:rPr>
        <w:t>.</w:t>
      </w:r>
      <w:bookmarkEnd w:id="35"/>
      <w:bookmarkEnd w:id="36"/>
    </w:p>
    <w:p w:rsidR="00850ADA" w:rsidRPr="00911E1B" w:rsidRDefault="00850ADA" w:rsidP="00420CBD">
      <w:pPr>
        <w:pStyle w:val="NoSpacing"/>
        <w:rPr>
          <w:b/>
          <w:sz w:val="20"/>
          <w:szCs w:val="20"/>
          <w:highlight w:val="yellow"/>
        </w:rPr>
      </w:pPr>
    </w:p>
    <w:p w:rsidR="00850ADA" w:rsidRPr="008F2638" w:rsidRDefault="00850ADA" w:rsidP="00420CBD">
      <w:pPr>
        <w:pStyle w:val="NoSpacing"/>
        <w:rPr>
          <w:b/>
          <w:sz w:val="20"/>
          <w:szCs w:val="20"/>
        </w:rPr>
      </w:pPr>
      <w:bookmarkStart w:id="37" w:name="_Toc449703741"/>
      <w:bookmarkStart w:id="38" w:name="_Toc450204666"/>
      <w:r w:rsidRPr="008F2638">
        <w:rPr>
          <w:sz w:val="20"/>
          <w:szCs w:val="20"/>
        </w:rPr>
        <w:t>Melbourne had the second highest number of cranes in Australia. Sydney had the greatest number</w:t>
      </w:r>
      <w:r w:rsidR="00D72D9D" w:rsidRPr="008F2638">
        <w:rPr>
          <w:sz w:val="20"/>
          <w:szCs w:val="20"/>
        </w:rPr>
        <w:t xml:space="preserve"> of cranes, possibly as a result o</w:t>
      </w:r>
      <w:r w:rsidRPr="008F2638">
        <w:rPr>
          <w:sz w:val="20"/>
          <w:szCs w:val="20"/>
        </w:rPr>
        <w:t>f Sydney’s lack of</w:t>
      </w:r>
      <w:r w:rsidR="0090544B" w:rsidRPr="008F2638">
        <w:rPr>
          <w:sz w:val="20"/>
          <w:szCs w:val="20"/>
        </w:rPr>
        <w:t xml:space="preserve"> </w:t>
      </w:r>
      <w:r w:rsidR="00BE237F" w:rsidRPr="008F2638">
        <w:rPr>
          <w:sz w:val="20"/>
          <w:szCs w:val="20"/>
        </w:rPr>
        <w:t>G</w:t>
      </w:r>
      <w:r w:rsidRPr="008F2638">
        <w:rPr>
          <w:sz w:val="20"/>
          <w:szCs w:val="20"/>
        </w:rPr>
        <w:t>reenfield growth</w:t>
      </w:r>
      <w:r w:rsidR="002513C6" w:rsidRPr="008F2638">
        <w:rPr>
          <w:sz w:val="20"/>
          <w:szCs w:val="20"/>
        </w:rPr>
        <w:t>,</w:t>
      </w:r>
      <w:r w:rsidR="00D72D9D" w:rsidRPr="008F2638">
        <w:rPr>
          <w:sz w:val="20"/>
          <w:szCs w:val="20"/>
        </w:rPr>
        <w:t xml:space="preserve"> forcing multi-level residential development</w:t>
      </w:r>
      <w:r w:rsidR="00820F2C" w:rsidRPr="008F2638">
        <w:rPr>
          <w:sz w:val="20"/>
          <w:szCs w:val="20"/>
        </w:rPr>
        <w:t xml:space="preserve"> </w:t>
      </w:r>
      <w:r w:rsidR="00215649" w:rsidRPr="008F2638">
        <w:rPr>
          <w:sz w:val="20"/>
          <w:szCs w:val="20"/>
        </w:rPr>
        <w:t>to</w:t>
      </w:r>
      <w:r w:rsidR="00820F2C" w:rsidRPr="008F2638">
        <w:rPr>
          <w:sz w:val="20"/>
          <w:szCs w:val="20"/>
        </w:rPr>
        <w:t xml:space="preserve"> meet dwelling requirements</w:t>
      </w:r>
      <w:r w:rsidR="00D72D9D" w:rsidRPr="008F2638">
        <w:rPr>
          <w:sz w:val="20"/>
          <w:szCs w:val="20"/>
        </w:rPr>
        <w:t>.</w:t>
      </w:r>
      <w:bookmarkEnd w:id="37"/>
      <w:bookmarkEnd w:id="38"/>
      <w:r w:rsidRPr="008F2638">
        <w:rPr>
          <w:sz w:val="20"/>
          <w:szCs w:val="20"/>
        </w:rPr>
        <w:t xml:space="preserve"> </w:t>
      </w:r>
    </w:p>
    <w:p w:rsidR="00D72D9D" w:rsidRPr="00911E1B" w:rsidRDefault="00D72D9D" w:rsidP="00420CBD">
      <w:pPr>
        <w:pStyle w:val="NoSpacing"/>
        <w:rPr>
          <w:b/>
          <w:sz w:val="20"/>
          <w:szCs w:val="20"/>
          <w:highlight w:val="yellow"/>
        </w:rPr>
      </w:pPr>
    </w:p>
    <w:p w:rsidR="00850ADA" w:rsidRPr="00911E1B" w:rsidRDefault="008F2638" w:rsidP="00420CBD">
      <w:pPr>
        <w:pStyle w:val="NoSpacing"/>
        <w:rPr>
          <w:b/>
          <w:highlight w:val="yellow"/>
        </w:rPr>
      </w:pPr>
      <w:r>
        <w:rPr>
          <w:noProof/>
          <w:lang w:eastAsia="en-AU"/>
        </w:rPr>
        <w:drawing>
          <wp:inline distT="0" distB="0" distL="0" distR="0" wp14:anchorId="25DB6CDA" wp14:editId="753245C0">
            <wp:extent cx="6229350" cy="32004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50ADA" w:rsidRPr="00911E1B">
        <w:rPr>
          <w:highlight w:val="yellow"/>
        </w:rPr>
        <w:t xml:space="preserve"> </w:t>
      </w:r>
    </w:p>
    <w:p w:rsidR="00C322A7" w:rsidRPr="00911E1B" w:rsidRDefault="00C322A7">
      <w:pPr>
        <w:rPr>
          <w:rFonts w:asciiTheme="majorHAnsi" w:hAnsiTheme="majorHAnsi"/>
          <w:b/>
          <w:color w:val="002060"/>
          <w:sz w:val="24"/>
          <w:highlight w:val="yellow"/>
        </w:rPr>
      </w:pPr>
      <w:r w:rsidRPr="00911E1B">
        <w:rPr>
          <w:color w:val="002060"/>
          <w:highlight w:val="yellow"/>
        </w:rPr>
        <w:br w:type="page"/>
      </w:r>
    </w:p>
    <w:p w:rsidR="00896431" w:rsidRPr="00F236D8" w:rsidRDefault="00896431" w:rsidP="00896431">
      <w:pPr>
        <w:pStyle w:val="Heading2numbered"/>
        <w:rPr>
          <w:color w:val="002060"/>
        </w:rPr>
      </w:pPr>
      <w:bookmarkStart w:id="39" w:name="_Toc468972264"/>
      <w:r w:rsidRPr="00F236D8">
        <w:rPr>
          <w:color w:val="002060"/>
        </w:rPr>
        <w:lastRenderedPageBreak/>
        <w:t>Construction Pipeline</w:t>
      </w:r>
      <w:bookmarkEnd w:id="39"/>
    </w:p>
    <w:p w:rsidR="00896431" w:rsidRPr="00F236D8" w:rsidRDefault="00896431" w:rsidP="00420CBD">
      <w:pPr>
        <w:pStyle w:val="NoSpacing"/>
        <w:rPr>
          <w:b/>
          <w:sz w:val="20"/>
          <w:szCs w:val="20"/>
        </w:rPr>
      </w:pPr>
      <w:bookmarkStart w:id="40" w:name="_Toc450204669"/>
      <w:r w:rsidRPr="00F236D8">
        <w:rPr>
          <w:sz w:val="20"/>
          <w:szCs w:val="20"/>
        </w:rPr>
        <w:t xml:space="preserve">Cordell </w:t>
      </w:r>
      <w:r w:rsidR="00CB7F22" w:rsidRPr="00F236D8">
        <w:rPr>
          <w:sz w:val="20"/>
          <w:szCs w:val="20"/>
        </w:rPr>
        <w:t>Connect collects information for their database on most construction projects across Australia</w:t>
      </w:r>
      <w:r w:rsidR="002513C6" w:rsidRPr="00F236D8">
        <w:rPr>
          <w:sz w:val="20"/>
          <w:szCs w:val="20"/>
        </w:rPr>
        <w:t>,</w:t>
      </w:r>
      <w:r w:rsidR="00CB7F22" w:rsidRPr="00F236D8">
        <w:rPr>
          <w:sz w:val="20"/>
          <w:szCs w:val="20"/>
        </w:rPr>
        <w:t xml:space="preserve"> with the exception of single dwelling construction. This information is used across the construction industry.</w:t>
      </w:r>
      <w:bookmarkEnd w:id="40"/>
      <w:r w:rsidR="00CB7F22" w:rsidRPr="00F236D8">
        <w:rPr>
          <w:sz w:val="20"/>
          <w:szCs w:val="20"/>
        </w:rPr>
        <w:t xml:space="preserve"> </w:t>
      </w:r>
    </w:p>
    <w:p w:rsidR="00CB7F22" w:rsidRPr="00F236D8" w:rsidRDefault="00CB7F22" w:rsidP="00420CBD">
      <w:pPr>
        <w:pStyle w:val="NoSpacing"/>
        <w:rPr>
          <w:b/>
          <w:sz w:val="20"/>
          <w:szCs w:val="20"/>
        </w:rPr>
      </w:pPr>
    </w:p>
    <w:p w:rsidR="00CB7F22" w:rsidRPr="00F236D8" w:rsidRDefault="00CB7F22" w:rsidP="00420CBD">
      <w:pPr>
        <w:pStyle w:val="NoSpacing"/>
        <w:rPr>
          <w:sz w:val="20"/>
          <w:szCs w:val="20"/>
        </w:rPr>
      </w:pPr>
      <w:bookmarkStart w:id="41" w:name="_Toc450204670"/>
      <w:r w:rsidRPr="00F236D8">
        <w:rPr>
          <w:sz w:val="20"/>
          <w:szCs w:val="20"/>
        </w:rPr>
        <w:t xml:space="preserve">In Victoria, the Cordell database currently has around </w:t>
      </w:r>
      <w:r w:rsidR="00F236D8" w:rsidRPr="00F236D8">
        <w:rPr>
          <w:sz w:val="20"/>
          <w:szCs w:val="20"/>
        </w:rPr>
        <w:t>23,132</w:t>
      </w:r>
      <w:r w:rsidRPr="00F236D8">
        <w:rPr>
          <w:sz w:val="20"/>
          <w:szCs w:val="20"/>
        </w:rPr>
        <w:t xml:space="preserve"> active projects. The majority of these projects are in the early</w:t>
      </w:r>
      <w:r w:rsidR="007545C6" w:rsidRPr="00F236D8">
        <w:rPr>
          <w:sz w:val="20"/>
          <w:szCs w:val="20"/>
        </w:rPr>
        <w:t xml:space="preserve"> or possible</w:t>
      </w:r>
      <w:r w:rsidRPr="00F236D8">
        <w:rPr>
          <w:sz w:val="20"/>
          <w:szCs w:val="20"/>
        </w:rPr>
        <w:t xml:space="preserve"> stages</w:t>
      </w:r>
      <w:r w:rsidR="002513C6" w:rsidRPr="00F236D8">
        <w:rPr>
          <w:sz w:val="20"/>
          <w:szCs w:val="20"/>
        </w:rPr>
        <w:t>,</w:t>
      </w:r>
      <w:r w:rsidRPr="00F236D8">
        <w:rPr>
          <w:sz w:val="20"/>
          <w:szCs w:val="20"/>
        </w:rPr>
        <w:t xml:space="preserve"> </w:t>
      </w:r>
      <w:r w:rsidR="007545C6" w:rsidRPr="00F236D8">
        <w:rPr>
          <w:sz w:val="20"/>
          <w:szCs w:val="20"/>
        </w:rPr>
        <w:t>with only about 2</w:t>
      </w:r>
      <w:r w:rsidR="00364839" w:rsidRPr="00F236D8">
        <w:rPr>
          <w:sz w:val="20"/>
          <w:szCs w:val="20"/>
        </w:rPr>
        <w:t>5</w:t>
      </w:r>
      <w:r w:rsidR="007545C6" w:rsidRPr="00F236D8">
        <w:rPr>
          <w:sz w:val="20"/>
          <w:szCs w:val="20"/>
        </w:rPr>
        <w:t>% currently underway.</w:t>
      </w:r>
      <w:bookmarkEnd w:id="41"/>
    </w:p>
    <w:p w:rsidR="00C322A7" w:rsidRPr="00911E1B" w:rsidRDefault="00C322A7" w:rsidP="00420CBD">
      <w:pPr>
        <w:pStyle w:val="NoSpacing"/>
        <w:rPr>
          <w:sz w:val="20"/>
          <w:szCs w:val="20"/>
          <w:highlight w:val="yellow"/>
        </w:rPr>
      </w:pPr>
    </w:p>
    <w:p w:rsidR="00CB7F22" w:rsidRPr="003D7127" w:rsidRDefault="00F236D8" w:rsidP="00E91BCF">
      <w:pPr>
        <w:pStyle w:val="NoSpacing"/>
        <w:jc w:val="center"/>
      </w:pPr>
      <w:r w:rsidRPr="003D7127">
        <w:rPr>
          <w:noProof/>
          <w:lang w:eastAsia="en-AU"/>
        </w:rPr>
        <w:drawing>
          <wp:inline distT="0" distB="0" distL="0" distR="0" wp14:anchorId="4DC1AE89" wp14:editId="3C927585">
            <wp:extent cx="4819650" cy="30194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22A7" w:rsidRPr="003D7127" w:rsidRDefault="00C322A7" w:rsidP="00420CBD">
      <w:pPr>
        <w:pStyle w:val="NoSpacing"/>
        <w:rPr>
          <w:sz w:val="20"/>
          <w:szCs w:val="20"/>
        </w:rPr>
      </w:pPr>
      <w:bookmarkStart w:id="42" w:name="_Toc450204672"/>
    </w:p>
    <w:p w:rsidR="007545C6" w:rsidRPr="003D7127" w:rsidRDefault="007545C6" w:rsidP="00420CBD">
      <w:pPr>
        <w:pStyle w:val="NoSpacing"/>
        <w:rPr>
          <w:sz w:val="20"/>
          <w:szCs w:val="20"/>
        </w:rPr>
      </w:pPr>
      <w:r w:rsidRPr="003D7127">
        <w:rPr>
          <w:sz w:val="20"/>
          <w:szCs w:val="20"/>
        </w:rPr>
        <w:t>In terms of value, even</w:t>
      </w:r>
      <w:r w:rsidR="002513C6" w:rsidRPr="003D7127">
        <w:rPr>
          <w:sz w:val="20"/>
          <w:szCs w:val="20"/>
        </w:rPr>
        <w:t xml:space="preserve"> fewer </w:t>
      </w:r>
      <w:r w:rsidRPr="003D7127">
        <w:rPr>
          <w:sz w:val="20"/>
          <w:szCs w:val="20"/>
        </w:rPr>
        <w:t>of the works are currently underway or firm</w:t>
      </w:r>
      <w:r w:rsidR="002513C6" w:rsidRPr="003D7127">
        <w:rPr>
          <w:sz w:val="20"/>
          <w:szCs w:val="20"/>
        </w:rPr>
        <w:t>, with</w:t>
      </w:r>
      <w:r w:rsidRPr="003D7127">
        <w:rPr>
          <w:sz w:val="20"/>
          <w:szCs w:val="20"/>
        </w:rPr>
        <w:t xml:space="preserve"> over $100 billion worth of projects in the early or possible stages.</w:t>
      </w:r>
      <w:bookmarkEnd w:id="42"/>
      <w:r w:rsidRPr="003D7127">
        <w:rPr>
          <w:sz w:val="20"/>
          <w:szCs w:val="20"/>
        </w:rPr>
        <w:t xml:space="preserve"> </w:t>
      </w:r>
    </w:p>
    <w:p w:rsidR="00C322A7" w:rsidRPr="003D7127" w:rsidRDefault="00C322A7" w:rsidP="00420CBD">
      <w:pPr>
        <w:pStyle w:val="NoSpacing"/>
        <w:rPr>
          <w:b/>
          <w:sz w:val="20"/>
          <w:szCs w:val="20"/>
        </w:rPr>
      </w:pPr>
    </w:p>
    <w:p w:rsidR="00316E36" w:rsidRPr="003D7127" w:rsidRDefault="00F236D8" w:rsidP="00E91BCF">
      <w:pPr>
        <w:pStyle w:val="NoSpacing"/>
        <w:jc w:val="center"/>
      </w:pPr>
      <w:r w:rsidRPr="003D7127">
        <w:rPr>
          <w:noProof/>
          <w:lang w:eastAsia="en-AU"/>
        </w:rPr>
        <w:drawing>
          <wp:inline distT="0" distB="0" distL="0" distR="0" wp14:anchorId="6134D518" wp14:editId="5CE6675E">
            <wp:extent cx="4930140" cy="28575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40CD2" w:rsidRPr="003D7127" w:rsidRDefault="00E40CD2" w:rsidP="00F310A8">
      <w:pPr>
        <w:pStyle w:val="NoSpacing"/>
        <w:rPr>
          <w:sz w:val="20"/>
          <w:szCs w:val="20"/>
        </w:rPr>
      </w:pPr>
    </w:p>
    <w:p w:rsidR="00C322A7" w:rsidRPr="003D7127" w:rsidRDefault="00C322A7" w:rsidP="00F310A8">
      <w:pPr>
        <w:pStyle w:val="NoSpacing"/>
        <w:rPr>
          <w:sz w:val="20"/>
          <w:szCs w:val="20"/>
        </w:rPr>
      </w:pPr>
    </w:p>
    <w:p w:rsidR="00E40CD2" w:rsidRPr="003D7127" w:rsidRDefault="00E40CD2" w:rsidP="00F310A8">
      <w:pPr>
        <w:pStyle w:val="NoSpacing"/>
        <w:rPr>
          <w:sz w:val="20"/>
          <w:szCs w:val="20"/>
        </w:rPr>
      </w:pPr>
      <w:r w:rsidRPr="003D7127">
        <w:rPr>
          <w:sz w:val="20"/>
          <w:szCs w:val="20"/>
        </w:rPr>
        <w:t>Many of</w:t>
      </w:r>
      <w:r w:rsidR="002378AD" w:rsidRPr="003D7127">
        <w:rPr>
          <w:sz w:val="20"/>
          <w:szCs w:val="20"/>
        </w:rPr>
        <w:t xml:space="preserve"> the</w:t>
      </w:r>
      <w:r w:rsidRPr="003D7127">
        <w:rPr>
          <w:sz w:val="20"/>
          <w:szCs w:val="20"/>
        </w:rPr>
        <w:t xml:space="preserve"> projects at the </w:t>
      </w:r>
      <w:r w:rsidR="00B36733" w:rsidRPr="003D7127">
        <w:rPr>
          <w:sz w:val="20"/>
          <w:szCs w:val="20"/>
        </w:rPr>
        <w:t>r</w:t>
      </w:r>
      <w:r w:rsidRPr="003D7127">
        <w:rPr>
          <w:sz w:val="20"/>
          <w:szCs w:val="20"/>
        </w:rPr>
        <w:t>egistration phase are large government projects</w:t>
      </w:r>
      <w:r w:rsidR="00364839" w:rsidRPr="003D7127">
        <w:rPr>
          <w:sz w:val="20"/>
          <w:szCs w:val="20"/>
        </w:rPr>
        <w:t xml:space="preserve"> like E-gate</w:t>
      </w:r>
      <w:r w:rsidRPr="003D7127">
        <w:rPr>
          <w:sz w:val="20"/>
          <w:szCs w:val="20"/>
        </w:rPr>
        <w:t>.</w:t>
      </w:r>
      <w:r w:rsidR="00364839" w:rsidRPr="003D7127">
        <w:rPr>
          <w:sz w:val="20"/>
          <w:szCs w:val="20"/>
        </w:rPr>
        <w:t xml:space="preserve"> Other large government projects have been added to the firm stage</w:t>
      </w:r>
      <w:r w:rsidR="00215649" w:rsidRPr="003D7127">
        <w:rPr>
          <w:sz w:val="20"/>
          <w:szCs w:val="20"/>
        </w:rPr>
        <w:t>,</w:t>
      </w:r>
      <w:r w:rsidR="00364839" w:rsidRPr="003D7127">
        <w:rPr>
          <w:sz w:val="20"/>
          <w:szCs w:val="20"/>
        </w:rPr>
        <w:t xml:space="preserve"> like </w:t>
      </w:r>
      <w:r w:rsidR="00215649" w:rsidRPr="003D7127">
        <w:rPr>
          <w:sz w:val="20"/>
          <w:szCs w:val="20"/>
        </w:rPr>
        <w:t>the Metro Tunnel.</w:t>
      </w:r>
    </w:p>
    <w:p w:rsidR="001C35C3" w:rsidRPr="00803F7A" w:rsidRDefault="005F6535" w:rsidP="001C35C3">
      <w:pPr>
        <w:pStyle w:val="Heading1"/>
        <w:rPr>
          <w:color w:val="002060"/>
          <w:sz w:val="48"/>
        </w:rPr>
      </w:pPr>
      <w:bookmarkStart w:id="43" w:name="_Toc468972265"/>
      <w:r w:rsidRPr="003D7127">
        <w:rPr>
          <w:sz w:val="20"/>
          <w:szCs w:val="20"/>
        </w:rPr>
        <w:t xml:space="preserve">Tables of number and value of Projects by LGA can be found in the </w:t>
      </w:r>
      <w:r w:rsidR="00B36733" w:rsidRPr="003D7127">
        <w:rPr>
          <w:sz w:val="20"/>
          <w:szCs w:val="20"/>
        </w:rPr>
        <w:t>a</w:t>
      </w:r>
      <w:r w:rsidRPr="003D7127">
        <w:rPr>
          <w:sz w:val="20"/>
          <w:szCs w:val="20"/>
        </w:rPr>
        <w:t xml:space="preserve">ppendices. </w:t>
      </w:r>
      <w:r w:rsidR="00896431" w:rsidRPr="00911E1B">
        <w:rPr>
          <w:highlight w:val="yellow"/>
        </w:rPr>
        <w:br w:type="page"/>
      </w:r>
      <w:bookmarkStart w:id="44" w:name="_Toc462905428"/>
      <w:bookmarkStart w:id="45" w:name="_Toc468959245"/>
      <w:r w:rsidR="001C35C3" w:rsidRPr="00803F7A">
        <w:rPr>
          <w:color w:val="002060"/>
          <w:sz w:val="48"/>
        </w:rPr>
        <w:lastRenderedPageBreak/>
        <w:t>HOUSING – PRICES AND SUPPLY</w:t>
      </w:r>
      <w:bookmarkEnd w:id="43"/>
      <w:bookmarkEnd w:id="44"/>
      <w:bookmarkEnd w:id="45"/>
    </w:p>
    <w:p w:rsidR="00316E36" w:rsidRPr="00803F7A" w:rsidRDefault="00316E36" w:rsidP="00316E36">
      <w:pPr>
        <w:pStyle w:val="Heading2numbered"/>
        <w:rPr>
          <w:color w:val="002060"/>
        </w:rPr>
      </w:pPr>
      <w:bookmarkStart w:id="46" w:name="_Toc468972266"/>
      <w:r w:rsidRPr="00803F7A">
        <w:rPr>
          <w:color w:val="002060"/>
        </w:rPr>
        <w:t>Greenfields Developments in Melbourne’s Outer Growth Areas</w:t>
      </w:r>
      <w:bookmarkEnd w:id="46"/>
    </w:p>
    <w:p w:rsidR="007D4D11" w:rsidRPr="00803F7A" w:rsidRDefault="00BF22E9" w:rsidP="003C4829">
      <w:pPr>
        <w:pStyle w:val="Heading3list"/>
        <w:rPr>
          <w:color w:val="002060"/>
        </w:rPr>
      </w:pPr>
      <w:bookmarkStart w:id="47" w:name="_Toc468972267"/>
      <w:r w:rsidRPr="00803F7A">
        <w:rPr>
          <w:color w:val="002060"/>
        </w:rPr>
        <w:t>Sales R</w:t>
      </w:r>
      <w:r w:rsidR="007D4D11" w:rsidRPr="00803F7A">
        <w:rPr>
          <w:color w:val="002060"/>
        </w:rPr>
        <w:t>ates</w:t>
      </w:r>
      <w:bookmarkEnd w:id="29"/>
      <w:bookmarkEnd w:id="47"/>
    </w:p>
    <w:p w:rsidR="00EB6895" w:rsidRDefault="00803F7A" w:rsidP="00803F7A">
      <w:pPr>
        <w:ind w:left="426"/>
        <w:rPr>
          <w:sz w:val="20"/>
        </w:rPr>
      </w:pPr>
      <w:bookmarkStart w:id="48" w:name="_Toc437436628"/>
      <w:r w:rsidRPr="00CB5AD3">
        <w:rPr>
          <w:sz w:val="20"/>
        </w:rPr>
        <w:t xml:space="preserve">In the recent quarters, the </w:t>
      </w:r>
      <w:r w:rsidR="00EB6895">
        <w:rPr>
          <w:sz w:val="20"/>
        </w:rPr>
        <w:t>G</w:t>
      </w:r>
      <w:r w:rsidRPr="00CB5AD3">
        <w:rPr>
          <w:sz w:val="20"/>
        </w:rPr>
        <w:t>reenfields of Melbourne have been s</w:t>
      </w:r>
      <w:r w:rsidR="00190DC4">
        <w:rPr>
          <w:sz w:val="20"/>
        </w:rPr>
        <w:t>elling at a record pace, with 24</w:t>
      </w:r>
      <w:r w:rsidRPr="00CB5AD3">
        <w:rPr>
          <w:sz w:val="20"/>
        </w:rPr>
        <w:t>,000 lots selling in the past four quarters to</w:t>
      </w:r>
      <w:r w:rsidR="00190DC4">
        <w:rPr>
          <w:sz w:val="20"/>
        </w:rPr>
        <w:t xml:space="preserve"> March 2017</w:t>
      </w:r>
      <w:r w:rsidRPr="00CB5AD3">
        <w:rPr>
          <w:sz w:val="20"/>
        </w:rPr>
        <w:t>.</w:t>
      </w:r>
    </w:p>
    <w:p w:rsidR="00803F7A" w:rsidRDefault="00803F7A" w:rsidP="00803F7A">
      <w:pPr>
        <w:ind w:left="426"/>
        <w:rPr>
          <w:sz w:val="20"/>
        </w:rPr>
      </w:pPr>
      <w:r w:rsidRPr="00CB5AD3">
        <w:rPr>
          <w:sz w:val="20"/>
        </w:rPr>
        <w:t xml:space="preserve">The Melbourne </w:t>
      </w:r>
      <w:proofErr w:type="gramStart"/>
      <w:r w:rsidR="00101E64">
        <w:rPr>
          <w:sz w:val="20"/>
        </w:rPr>
        <w:t>g</w:t>
      </w:r>
      <w:r w:rsidRPr="00CB5AD3">
        <w:rPr>
          <w:sz w:val="20"/>
        </w:rPr>
        <w:t>reenfield</w:t>
      </w:r>
      <w:proofErr w:type="gramEnd"/>
      <w:r w:rsidRPr="00CB5AD3">
        <w:rPr>
          <w:sz w:val="20"/>
        </w:rPr>
        <w:t xml:space="preserve"> market is clearly the strongest in Australia in terms of demand and sales numbers.</w:t>
      </w:r>
      <w:r>
        <w:rPr>
          <w:sz w:val="20"/>
        </w:rPr>
        <w:t xml:space="preserve"> There has been an increase in the Brisbane/SEQ market and a large decrease in sales in Perth. </w:t>
      </w:r>
    </w:p>
    <w:p w:rsidR="00803F7A" w:rsidRPr="00CB5AD3" w:rsidRDefault="00803F7A" w:rsidP="00803F7A">
      <w:pPr>
        <w:ind w:firstLine="284"/>
        <w:rPr>
          <w:sz w:val="20"/>
        </w:rPr>
      </w:pPr>
      <w:r>
        <w:rPr>
          <w:noProof/>
          <w:lang w:eastAsia="en-AU"/>
        </w:rPr>
        <w:drawing>
          <wp:inline distT="0" distB="0" distL="0" distR="0" wp14:anchorId="60D2014F" wp14:editId="3F160574">
            <wp:extent cx="6209665" cy="4419600"/>
            <wp:effectExtent l="0" t="0" r="635"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3F7A" w:rsidRDefault="00803F7A" w:rsidP="00803F7A">
      <w:pPr>
        <w:rPr>
          <w:b/>
          <w:sz w:val="20"/>
        </w:rPr>
      </w:pPr>
    </w:p>
    <w:p w:rsidR="00EB6895" w:rsidRDefault="00EB6895" w:rsidP="00803F7A">
      <w:pPr>
        <w:rPr>
          <w:b/>
          <w:sz w:val="20"/>
        </w:rPr>
      </w:pPr>
    </w:p>
    <w:p w:rsidR="00EB6895" w:rsidRDefault="00EB6895" w:rsidP="00803F7A">
      <w:pPr>
        <w:rPr>
          <w:b/>
          <w:sz w:val="20"/>
        </w:rPr>
      </w:pPr>
    </w:p>
    <w:p w:rsidR="00EB6895" w:rsidRDefault="00EB6895" w:rsidP="00803F7A">
      <w:pPr>
        <w:rPr>
          <w:b/>
          <w:sz w:val="20"/>
        </w:rPr>
      </w:pPr>
    </w:p>
    <w:p w:rsidR="00EB6895" w:rsidRDefault="00EB6895">
      <w:pPr>
        <w:rPr>
          <w:b/>
          <w:sz w:val="20"/>
        </w:rPr>
      </w:pPr>
      <w:r>
        <w:rPr>
          <w:b/>
          <w:sz w:val="20"/>
        </w:rPr>
        <w:br w:type="page"/>
      </w:r>
    </w:p>
    <w:p w:rsidR="00EB6895" w:rsidRPr="0040342F" w:rsidRDefault="00EB6895" w:rsidP="00803F7A">
      <w:pPr>
        <w:rPr>
          <w:b/>
          <w:sz w:val="20"/>
        </w:rPr>
      </w:pPr>
    </w:p>
    <w:p w:rsidR="007D4D11" w:rsidRPr="0040342F" w:rsidRDefault="007D4D11" w:rsidP="003C4829">
      <w:pPr>
        <w:pStyle w:val="Heading3list"/>
        <w:rPr>
          <w:color w:val="002060"/>
        </w:rPr>
      </w:pPr>
      <w:bookmarkStart w:id="49" w:name="_Toc468972268"/>
      <w:r w:rsidRPr="0040342F">
        <w:rPr>
          <w:color w:val="002060"/>
        </w:rPr>
        <w:t>Supply and Stock</w:t>
      </w:r>
      <w:bookmarkEnd w:id="48"/>
      <w:bookmarkEnd w:id="49"/>
    </w:p>
    <w:p w:rsidR="009C0D5D" w:rsidRDefault="00AF64EE" w:rsidP="00EB6895">
      <w:pPr>
        <w:ind w:left="426"/>
        <w:rPr>
          <w:sz w:val="20"/>
        </w:rPr>
      </w:pPr>
      <w:r w:rsidRPr="00652CB4">
        <w:rPr>
          <w:sz w:val="20"/>
        </w:rPr>
        <w:t xml:space="preserve">As a consequence of the strong sales rates, stocks in the growth areas have generally declined over the past year.  Areas that three years ago had several months of stock have seen the numbers fall rapidly. </w:t>
      </w:r>
    </w:p>
    <w:p w:rsidR="00EB6895" w:rsidRDefault="00EB6895" w:rsidP="00EB6895">
      <w:pPr>
        <w:ind w:left="426"/>
        <w:rPr>
          <w:sz w:val="20"/>
          <w:highlight w:val="yellow"/>
        </w:rPr>
      </w:pPr>
      <w:r>
        <w:rPr>
          <w:noProof/>
          <w:lang w:eastAsia="en-AU"/>
        </w:rPr>
        <w:drawing>
          <wp:inline distT="0" distB="0" distL="0" distR="0" wp14:anchorId="4327AE72" wp14:editId="272B5708">
            <wp:extent cx="6209665" cy="4377690"/>
            <wp:effectExtent l="0" t="0" r="635"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64EE" w:rsidRPr="00AF64EE" w:rsidRDefault="00AF64EE" w:rsidP="00EB6895">
      <w:pPr>
        <w:ind w:left="426"/>
        <w:rPr>
          <w:sz w:val="20"/>
        </w:rPr>
      </w:pPr>
      <w:r w:rsidRPr="00AF64EE">
        <w:rPr>
          <w:sz w:val="20"/>
        </w:rPr>
        <w:t>The average time a lot is lasting on the market is</w:t>
      </w:r>
      <w:r w:rsidR="0040342F">
        <w:rPr>
          <w:sz w:val="20"/>
        </w:rPr>
        <w:t xml:space="preserve"> currently</w:t>
      </w:r>
      <w:r w:rsidRPr="00AF64EE">
        <w:rPr>
          <w:sz w:val="20"/>
        </w:rPr>
        <w:t xml:space="preserve"> less than three weeks</w:t>
      </w:r>
      <w:r w:rsidR="00A3527F">
        <w:rPr>
          <w:sz w:val="20"/>
        </w:rPr>
        <w:t xml:space="preserve"> compared to over 10</w:t>
      </w:r>
      <w:r w:rsidR="0040342F">
        <w:rPr>
          <w:sz w:val="20"/>
        </w:rPr>
        <w:t xml:space="preserve"> months in the March 2013 Quarter</w:t>
      </w:r>
      <w:r w:rsidRPr="00AF64EE">
        <w:rPr>
          <w:sz w:val="20"/>
        </w:rPr>
        <w:t>.</w:t>
      </w:r>
      <w:r w:rsidR="0040342F">
        <w:rPr>
          <w:sz w:val="20"/>
        </w:rPr>
        <w:t xml:space="preserve"> </w:t>
      </w:r>
      <w:r w:rsidRPr="00AF64EE">
        <w:rPr>
          <w:sz w:val="20"/>
        </w:rPr>
        <w:t xml:space="preserve">  </w:t>
      </w:r>
    </w:p>
    <w:p w:rsidR="003F18CE" w:rsidRPr="00911E1B" w:rsidRDefault="003F18CE">
      <w:pPr>
        <w:rPr>
          <w:sz w:val="20"/>
          <w:highlight w:val="yellow"/>
        </w:rPr>
      </w:pPr>
      <w:r w:rsidRPr="00911E1B">
        <w:rPr>
          <w:sz w:val="20"/>
          <w:highlight w:val="yellow"/>
        </w:rPr>
        <w:br w:type="page"/>
      </w:r>
    </w:p>
    <w:p w:rsidR="003F18CE" w:rsidRPr="0040342F" w:rsidRDefault="003F18CE" w:rsidP="009C0D5D">
      <w:pPr>
        <w:ind w:left="426"/>
        <w:rPr>
          <w:sz w:val="20"/>
        </w:rPr>
      </w:pPr>
    </w:p>
    <w:p w:rsidR="007D4D11" w:rsidRPr="0040342F" w:rsidRDefault="007D4D11" w:rsidP="003C4829">
      <w:pPr>
        <w:pStyle w:val="Heading3list"/>
        <w:rPr>
          <w:color w:val="002060"/>
        </w:rPr>
      </w:pPr>
      <w:bookmarkStart w:id="50" w:name="_Toc437436629"/>
      <w:bookmarkStart w:id="51" w:name="_Toc468972269"/>
      <w:r w:rsidRPr="0040342F">
        <w:rPr>
          <w:color w:val="002060"/>
        </w:rPr>
        <w:t xml:space="preserve">Price of </w:t>
      </w:r>
      <w:r w:rsidR="006169FE" w:rsidRPr="0040342F">
        <w:rPr>
          <w:color w:val="002060"/>
        </w:rPr>
        <w:t xml:space="preserve">Greenfield </w:t>
      </w:r>
      <w:r w:rsidRPr="0040342F">
        <w:rPr>
          <w:color w:val="002060"/>
        </w:rPr>
        <w:t>Lots</w:t>
      </w:r>
      <w:bookmarkEnd w:id="50"/>
      <w:bookmarkEnd w:id="51"/>
    </w:p>
    <w:p w:rsidR="0090544B" w:rsidRDefault="00AF08F2" w:rsidP="0090544B">
      <w:pPr>
        <w:ind w:left="426"/>
        <w:rPr>
          <w:sz w:val="20"/>
        </w:rPr>
      </w:pPr>
      <w:r>
        <w:rPr>
          <w:sz w:val="20"/>
        </w:rPr>
        <w:t>The median price</w:t>
      </w:r>
      <w:r w:rsidR="00EB6895">
        <w:rPr>
          <w:sz w:val="20"/>
        </w:rPr>
        <w:t xml:space="preserve"> for a G</w:t>
      </w:r>
      <w:r w:rsidR="0090544B" w:rsidRPr="0040342F">
        <w:rPr>
          <w:sz w:val="20"/>
        </w:rPr>
        <w:t>reenfield lot was $2</w:t>
      </w:r>
      <w:r w:rsidR="00190DC4">
        <w:rPr>
          <w:sz w:val="20"/>
        </w:rPr>
        <w:t>52,000 in Melbourne. There has been a large</w:t>
      </w:r>
      <w:r w:rsidR="0090544B" w:rsidRPr="0040342F">
        <w:rPr>
          <w:sz w:val="20"/>
        </w:rPr>
        <w:t xml:space="preserve"> increas</w:t>
      </w:r>
      <w:r w:rsidR="00190DC4">
        <w:rPr>
          <w:sz w:val="20"/>
        </w:rPr>
        <w:t>e in price</w:t>
      </w:r>
      <w:r w:rsidR="0090544B" w:rsidRPr="0040342F">
        <w:rPr>
          <w:sz w:val="20"/>
        </w:rPr>
        <w:t xml:space="preserve"> recently with the strong demand and shortfall of supply. </w:t>
      </w:r>
    </w:p>
    <w:p w:rsidR="00EB6895" w:rsidRPr="0040342F" w:rsidRDefault="00EB6895" w:rsidP="0090544B">
      <w:pPr>
        <w:ind w:left="426"/>
        <w:rPr>
          <w:sz w:val="20"/>
        </w:rPr>
      </w:pPr>
      <w:r>
        <w:rPr>
          <w:noProof/>
          <w:lang w:eastAsia="en-AU"/>
        </w:rPr>
        <w:drawing>
          <wp:inline distT="0" distB="0" distL="0" distR="0" wp14:anchorId="06231406" wp14:editId="0AC3EFA4">
            <wp:extent cx="6209665" cy="3486150"/>
            <wp:effectExtent l="0" t="0" r="635"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64EE" w:rsidRPr="0040342F" w:rsidRDefault="00EB6895" w:rsidP="0090544B">
      <w:pPr>
        <w:ind w:left="426"/>
        <w:rPr>
          <w:sz w:val="20"/>
        </w:rPr>
      </w:pPr>
      <w:r>
        <w:rPr>
          <w:sz w:val="20"/>
        </w:rPr>
        <w:t>Nationally, Melbourne’s G</w:t>
      </w:r>
      <w:r w:rsidR="0090544B" w:rsidRPr="0040342F">
        <w:rPr>
          <w:sz w:val="20"/>
        </w:rPr>
        <w:t xml:space="preserve">reenfield lots are now the third cheapest in Australia. Prices have been falling in Perth and South east Queensland. </w:t>
      </w:r>
      <w:r w:rsidR="00AF64EE" w:rsidRPr="0040342F">
        <w:rPr>
          <w:sz w:val="20"/>
        </w:rPr>
        <w:t>With the rapid</w:t>
      </w:r>
      <w:r w:rsidR="0040342F">
        <w:rPr>
          <w:sz w:val="20"/>
        </w:rPr>
        <w:t>ly increasing prices</w:t>
      </w:r>
      <w:r w:rsidR="00AF64EE" w:rsidRPr="0040342F">
        <w:rPr>
          <w:sz w:val="20"/>
        </w:rPr>
        <w:t xml:space="preserve"> in Melbourne’s median</w:t>
      </w:r>
      <w:r>
        <w:rPr>
          <w:sz w:val="20"/>
        </w:rPr>
        <w:t xml:space="preserve"> lot price it is possible that G</w:t>
      </w:r>
      <w:r w:rsidR="00AF64EE" w:rsidRPr="0040342F">
        <w:rPr>
          <w:sz w:val="20"/>
        </w:rPr>
        <w:t>reenfield lots in Melbourne will overtake the median lot price of South East Queensland in the second quarter</w:t>
      </w:r>
      <w:r w:rsidR="0040342F">
        <w:rPr>
          <w:sz w:val="20"/>
        </w:rPr>
        <w:t xml:space="preserve"> of 2017</w:t>
      </w:r>
      <w:r w:rsidR="00AF64EE" w:rsidRPr="0040342F">
        <w:rPr>
          <w:sz w:val="20"/>
        </w:rPr>
        <w:t>.</w:t>
      </w:r>
    </w:p>
    <w:p w:rsidR="0090544B" w:rsidRPr="00911E1B" w:rsidRDefault="0090544B" w:rsidP="0090544B">
      <w:pPr>
        <w:rPr>
          <w:highlight w:val="yellow"/>
        </w:rPr>
      </w:pPr>
    </w:p>
    <w:p w:rsidR="003F18CE" w:rsidRDefault="003F18CE">
      <w:pPr>
        <w:rPr>
          <w:b/>
          <w:color w:val="002060"/>
          <w:sz w:val="20"/>
          <w:highlight w:val="yellow"/>
        </w:rPr>
      </w:pPr>
      <w:bookmarkStart w:id="52" w:name="_Toc468972270"/>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EB6895" w:rsidRDefault="00EB6895">
      <w:pPr>
        <w:rPr>
          <w:b/>
          <w:color w:val="002060"/>
          <w:sz w:val="20"/>
          <w:highlight w:val="yellow"/>
        </w:rPr>
      </w:pPr>
    </w:p>
    <w:p w:rsidR="003F18CE" w:rsidRPr="00911E1B" w:rsidRDefault="003F18CE" w:rsidP="003F18CE">
      <w:pPr>
        <w:pStyle w:val="ListParagraph"/>
        <w:tabs>
          <w:tab w:val="left" w:pos="851"/>
        </w:tabs>
        <w:ind w:left="851"/>
        <w:outlineLvl w:val="1"/>
        <w:rPr>
          <w:b/>
          <w:color w:val="002060"/>
          <w:sz w:val="20"/>
          <w:highlight w:val="yellow"/>
        </w:rPr>
      </w:pPr>
    </w:p>
    <w:p w:rsidR="007D4D11" w:rsidRPr="008B0BC9" w:rsidRDefault="007D4D11" w:rsidP="00C14A86">
      <w:pPr>
        <w:pStyle w:val="ListParagraph"/>
        <w:numPr>
          <w:ilvl w:val="1"/>
          <w:numId w:val="1"/>
        </w:numPr>
        <w:tabs>
          <w:tab w:val="left" w:pos="851"/>
        </w:tabs>
        <w:ind w:left="851" w:hanging="425"/>
        <w:outlineLvl w:val="1"/>
        <w:rPr>
          <w:b/>
          <w:color w:val="002060"/>
          <w:sz w:val="20"/>
        </w:rPr>
      </w:pPr>
      <w:r w:rsidRPr="008B0BC9">
        <w:rPr>
          <w:b/>
          <w:color w:val="002060"/>
          <w:sz w:val="20"/>
        </w:rPr>
        <w:lastRenderedPageBreak/>
        <w:t>Supply of PSP land</w:t>
      </w:r>
      <w:bookmarkEnd w:id="52"/>
    </w:p>
    <w:p w:rsidR="007D4D11" w:rsidRPr="008B0BC9" w:rsidRDefault="0042419D" w:rsidP="0033049F">
      <w:pPr>
        <w:ind w:left="426"/>
        <w:jc w:val="both"/>
        <w:rPr>
          <w:sz w:val="20"/>
        </w:rPr>
      </w:pPr>
      <w:r w:rsidRPr="008B0BC9">
        <w:rPr>
          <w:sz w:val="20"/>
        </w:rPr>
        <w:t xml:space="preserve">The Victorian </w:t>
      </w:r>
      <w:r w:rsidR="007D4D11" w:rsidRPr="008B0BC9">
        <w:rPr>
          <w:sz w:val="20"/>
        </w:rPr>
        <w:t xml:space="preserve">Planning Authority </w:t>
      </w:r>
      <w:r w:rsidR="003E3C38" w:rsidRPr="008B0BC9">
        <w:rPr>
          <w:sz w:val="20"/>
        </w:rPr>
        <w:t xml:space="preserve">(VPA) </w:t>
      </w:r>
      <w:r w:rsidR="007D4D11" w:rsidRPr="008B0BC9">
        <w:rPr>
          <w:sz w:val="20"/>
        </w:rPr>
        <w:t xml:space="preserve">has conducted modelling to gauge the approximate amount of land in the Melbourne </w:t>
      </w:r>
      <w:proofErr w:type="spellStart"/>
      <w:r w:rsidR="00990C56">
        <w:rPr>
          <w:sz w:val="20"/>
        </w:rPr>
        <w:t>g</w:t>
      </w:r>
      <w:r w:rsidR="00285496" w:rsidRPr="008B0BC9">
        <w:rPr>
          <w:sz w:val="20"/>
        </w:rPr>
        <w:t>reenfields</w:t>
      </w:r>
      <w:proofErr w:type="spellEnd"/>
      <w:r w:rsidR="00E633C4" w:rsidRPr="008B0BC9">
        <w:rPr>
          <w:sz w:val="20"/>
        </w:rPr>
        <w:t xml:space="preserve"> that is available to be sub</w:t>
      </w:r>
      <w:r w:rsidR="007D4D11" w:rsidRPr="008B0BC9">
        <w:rPr>
          <w:sz w:val="20"/>
        </w:rPr>
        <w:t xml:space="preserve">divided and developed. In most cases, this is land in </w:t>
      </w:r>
      <w:r w:rsidR="00626C3F" w:rsidRPr="008B0BC9">
        <w:rPr>
          <w:sz w:val="20"/>
        </w:rPr>
        <w:t>p</w:t>
      </w:r>
      <w:r w:rsidR="007D4D11" w:rsidRPr="008B0BC9">
        <w:rPr>
          <w:sz w:val="20"/>
        </w:rPr>
        <w:t xml:space="preserve">recinct </w:t>
      </w:r>
      <w:r w:rsidR="00626C3F" w:rsidRPr="008B0BC9">
        <w:rPr>
          <w:sz w:val="20"/>
        </w:rPr>
        <w:t>s</w:t>
      </w:r>
      <w:r w:rsidR="007D4D11" w:rsidRPr="008B0BC9">
        <w:rPr>
          <w:sz w:val="20"/>
        </w:rPr>
        <w:t xml:space="preserve">tructure </w:t>
      </w:r>
      <w:r w:rsidR="00626C3F" w:rsidRPr="008B0BC9">
        <w:rPr>
          <w:sz w:val="20"/>
        </w:rPr>
        <w:t>p</w:t>
      </w:r>
      <w:r w:rsidR="007D4D11" w:rsidRPr="008B0BC9">
        <w:rPr>
          <w:sz w:val="20"/>
        </w:rPr>
        <w:t>lan</w:t>
      </w:r>
      <w:r w:rsidR="00DB0A6A" w:rsidRPr="008B0BC9">
        <w:rPr>
          <w:sz w:val="20"/>
        </w:rPr>
        <w:t xml:space="preserve"> (PSP)</w:t>
      </w:r>
      <w:r w:rsidR="007D4D11" w:rsidRPr="008B0BC9">
        <w:rPr>
          <w:sz w:val="20"/>
        </w:rPr>
        <w:t xml:space="preserve"> areas that ha</w:t>
      </w:r>
      <w:r w:rsidR="003E3C38" w:rsidRPr="008B0BC9">
        <w:rPr>
          <w:sz w:val="20"/>
        </w:rPr>
        <w:t>s</w:t>
      </w:r>
      <w:r w:rsidR="007D4D11" w:rsidRPr="008B0BC9">
        <w:rPr>
          <w:sz w:val="20"/>
        </w:rPr>
        <w:t xml:space="preserve"> been approved, although some of the land pre-dates the implementation of the PSP program. </w:t>
      </w:r>
    </w:p>
    <w:p w:rsidR="007D4D11" w:rsidRPr="008B0BC9" w:rsidRDefault="007D4D11" w:rsidP="0033049F">
      <w:pPr>
        <w:ind w:left="426"/>
        <w:jc w:val="both"/>
        <w:rPr>
          <w:sz w:val="20"/>
        </w:rPr>
      </w:pPr>
      <w:r w:rsidRPr="008B0BC9">
        <w:rPr>
          <w:sz w:val="20"/>
        </w:rPr>
        <w:t xml:space="preserve">At the end of 2009, the </w:t>
      </w:r>
      <w:proofErr w:type="spellStart"/>
      <w:r w:rsidR="00046FD5">
        <w:rPr>
          <w:sz w:val="20"/>
        </w:rPr>
        <w:t>g</w:t>
      </w:r>
      <w:r w:rsidR="00285496" w:rsidRPr="008B0BC9">
        <w:rPr>
          <w:sz w:val="20"/>
        </w:rPr>
        <w:t>reenfields</w:t>
      </w:r>
      <w:proofErr w:type="spellEnd"/>
      <w:r w:rsidRPr="008B0BC9">
        <w:rPr>
          <w:sz w:val="20"/>
        </w:rPr>
        <w:t xml:space="preserve"> had approximately 4.4 years’ worth of land that was undergoing or could undergo development. Since then</w:t>
      </w:r>
      <w:r w:rsidR="00E633C4" w:rsidRPr="008B0BC9">
        <w:rPr>
          <w:sz w:val="20"/>
        </w:rPr>
        <w:t>,</w:t>
      </w:r>
      <w:r w:rsidRPr="008B0BC9">
        <w:rPr>
          <w:sz w:val="20"/>
        </w:rPr>
        <w:t xml:space="preserve"> with the completion of PSPs</w:t>
      </w:r>
      <w:r w:rsidR="00E633C4" w:rsidRPr="008B0BC9">
        <w:rPr>
          <w:sz w:val="20"/>
        </w:rPr>
        <w:t>,</w:t>
      </w:r>
      <w:r w:rsidRPr="008B0BC9">
        <w:rPr>
          <w:sz w:val="20"/>
        </w:rPr>
        <w:t xml:space="preserve"> the number of year</w:t>
      </w:r>
      <w:r w:rsidR="00E633C4" w:rsidRPr="008B0BC9">
        <w:rPr>
          <w:sz w:val="20"/>
        </w:rPr>
        <w:t>s’</w:t>
      </w:r>
      <w:r w:rsidRPr="008B0BC9">
        <w:rPr>
          <w:sz w:val="20"/>
        </w:rPr>
        <w:t xml:space="preserve"> supply has grown to above 10 years</w:t>
      </w:r>
      <w:r w:rsidR="00285496" w:rsidRPr="008B0BC9">
        <w:rPr>
          <w:sz w:val="20"/>
        </w:rPr>
        <w:t>.</w:t>
      </w:r>
    </w:p>
    <w:p w:rsidR="00A0349D" w:rsidRPr="008B0BC9" w:rsidRDefault="00DC1ECE" w:rsidP="00CF7ADB">
      <w:pPr>
        <w:rPr>
          <w:sz w:val="20"/>
        </w:rPr>
      </w:pPr>
      <w:r w:rsidRPr="008B0BC9">
        <w:rPr>
          <w:noProof/>
          <w:lang w:eastAsia="en-AU"/>
        </w:rPr>
        <w:drawing>
          <wp:inline distT="0" distB="0" distL="0" distR="0" wp14:anchorId="475E4966" wp14:editId="66AD206E">
            <wp:extent cx="5935980" cy="3777778"/>
            <wp:effectExtent l="0" t="0" r="762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349D" w:rsidRPr="008B0BC9" w:rsidRDefault="007D4D11" w:rsidP="00463F26">
      <w:pPr>
        <w:rPr>
          <w:sz w:val="20"/>
        </w:rPr>
      </w:pPr>
      <w:r w:rsidRPr="008B0BC9">
        <w:rPr>
          <w:sz w:val="20"/>
        </w:rPr>
        <w:t xml:space="preserve"> </w:t>
      </w:r>
    </w:p>
    <w:p w:rsidR="007D4D11" w:rsidRPr="008B0BC9" w:rsidRDefault="007D4D11" w:rsidP="00EB6895">
      <w:pPr>
        <w:ind w:left="426"/>
        <w:rPr>
          <w:sz w:val="20"/>
        </w:rPr>
      </w:pPr>
      <w:r w:rsidRPr="008B0BC9">
        <w:rPr>
          <w:sz w:val="20"/>
        </w:rPr>
        <w:t>The supply level varies greatly between corridors</w:t>
      </w:r>
      <w:r w:rsidR="003E3C38" w:rsidRPr="008B0BC9">
        <w:rPr>
          <w:sz w:val="20"/>
        </w:rPr>
        <w:t>,</w:t>
      </w:r>
      <w:r w:rsidRPr="008B0BC9">
        <w:rPr>
          <w:sz w:val="20"/>
        </w:rPr>
        <w:t xml:space="preserve"> with Wyndh</w:t>
      </w:r>
      <w:r w:rsidR="00463F26" w:rsidRPr="008B0BC9">
        <w:rPr>
          <w:sz w:val="20"/>
        </w:rPr>
        <w:t>am having 19 years of supply whereas</w:t>
      </w:r>
      <w:r w:rsidRPr="008B0BC9">
        <w:rPr>
          <w:sz w:val="20"/>
        </w:rPr>
        <w:t xml:space="preserve"> Whittlesea</w:t>
      </w:r>
      <w:r w:rsidR="00463F26" w:rsidRPr="008B0BC9">
        <w:rPr>
          <w:sz w:val="20"/>
        </w:rPr>
        <w:t xml:space="preserve"> had dropped as low as 2 years supply in the middle of 2016 before the approval of Quarry Hills and Wo</w:t>
      </w:r>
      <w:r w:rsidR="00046FD5">
        <w:rPr>
          <w:sz w:val="20"/>
        </w:rPr>
        <w:t>llert boosted supply to almost eight</w:t>
      </w:r>
      <w:r w:rsidR="00463F26" w:rsidRPr="008B0BC9">
        <w:rPr>
          <w:sz w:val="20"/>
        </w:rPr>
        <w:t xml:space="preserve"> years.  </w:t>
      </w:r>
      <w:r w:rsidRPr="008B0BC9">
        <w:rPr>
          <w:sz w:val="20"/>
        </w:rPr>
        <w:t>Supply of PSP land will increase in 201</w:t>
      </w:r>
      <w:r w:rsidR="00463F26" w:rsidRPr="008B0BC9">
        <w:rPr>
          <w:sz w:val="20"/>
        </w:rPr>
        <w:t>7</w:t>
      </w:r>
      <w:r w:rsidRPr="008B0BC9">
        <w:rPr>
          <w:sz w:val="20"/>
        </w:rPr>
        <w:t xml:space="preserve"> as there </w:t>
      </w:r>
      <w:r w:rsidR="00A0349D" w:rsidRPr="008B0BC9">
        <w:rPr>
          <w:sz w:val="20"/>
        </w:rPr>
        <w:t>are a number</w:t>
      </w:r>
      <w:r w:rsidR="004F6754" w:rsidRPr="008B0BC9">
        <w:rPr>
          <w:sz w:val="20"/>
        </w:rPr>
        <w:t xml:space="preserve"> of </w:t>
      </w:r>
      <w:r w:rsidRPr="008B0BC9">
        <w:rPr>
          <w:sz w:val="20"/>
        </w:rPr>
        <w:t>large PSP</w:t>
      </w:r>
      <w:r w:rsidR="000F691A" w:rsidRPr="008B0BC9">
        <w:rPr>
          <w:sz w:val="20"/>
        </w:rPr>
        <w:t>s</w:t>
      </w:r>
      <w:r w:rsidRPr="008B0BC9">
        <w:rPr>
          <w:sz w:val="20"/>
        </w:rPr>
        <w:t xml:space="preserve"> in the final stages of approval.  </w:t>
      </w:r>
    </w:p>
    <w:p w:rsidR="00DC1ECE" w:rsidRPr="008B0BC9" w:rsidRDefault="00DC1ECE">
      <w:pPr>
        <w:rPr>
          <w:sz w:val="20"/>
        </w:rPr>
      </w:pPr>
      <w:r w:rsidRPr="008B0BC9">
        <w:rPr>
          <w:sz w:val="20"/>
        </w:rPr>
        <w:br w:type="page"/>
      </w:r>
    </w:p>
    <w:p w:rsidR="00DC1ECE" w:rsidRPr="008B0BC9" w:rsidRDefault="00DC1ECE" w:rsidP="00C14A86">
      <w:pPr>
        <w:ind w:left="426"/>
        <w:rPr>
          <w:sz w:val="20"/>
        </w:rPr>
      </w:pPr>
    </w:p>
    <w:p w:rsidR="003565F0" w:rsidRPr="008B0BC9" w:rsidRDefault="008363D1" w:rsidP="003C4829">
      <w:pPr>
        <w:pStyle w:val="Heading2numbered"/>
        <w:rPr>
          <w:color w:val="002060"/>
        </w:rPr>
      </w:pPr>
      <w:bookmarkStart w:id="53" w:name="_Toc437436636"/>
      <w:bookmarkStart w:id="54" w:name="_Toc468972271"/>
      <w:r w:rsidRPr="008B0BC9">
        <w:rPr>
          <w:color w:val="002060"/>
        </w:rPr>
        <w:t>Property Sales</w:t>
      </w:r>
      <w:bookmarkEnd w:id="53"/>
      <w:bookmarkEnd w:id="54"/>
    </w:p>
    <w:p w:rsidR="00876E32" w:rsidRPr="008B0BC9" w:rsidRDefault="00362941" w:rsidP="007D4D11">
      <w:pPr>
        <w:rPr>
          <w:sz w:val="20"/>
        </w:rPr>
      </w:pPr>
      <w:r w:rsidRPr="008B0BC9">
        <w:rPr>
          <w:sz w:val="20"/>
        </w:rPr>
        <w:t>In</w:t>
      </w:r>
      <w:r w:rsidR="00ED31C5" w:rsidRPr="008B0BC9">
        <w:rPr>
          <w:sz w:val="20"/>
        </w:rPr>
        <w:t xml:space="preserve"> 2016</w:t>
      </w:r>
      <w:r w:rsidRPr="008B0BC9">
        <w:rPr>
          <w:sz w:val="20"/>
        </w:rPr>
        <w:t xml:space="preserve">, there </w:t>
      </w:r>
      <w:r w:rsidR="00DB0A6A" w:rsidRPr="008B0BC9">
        <w:rPr>
          <w:sz w:val="20"/>
        </w:rPr>
        <w:t xml:space="preserve">were </w:t>
      </w:r>
      <w:r w:rsidR="0003287B" w:rsidRPr="008B0BC9">
        <w:rPr>
          <w:sz w:val="20"/>
        </w:rPr>
        <w:t>over 11</w:t>
      </w:r>
      <w:r w:rsidR="00ED31C5" w:rsidRPr="008B0BC9">
        <w:rPr>
          <w:sz w:val="20"/>
        </w:rPr>
        <w:t>4</w:t>
      </w:r>
      <w:r w:rsidRPr="008B0BC9">
        <w:rPr>
          <w:sz w:val="20"/>
        </w:rPr>
        <w:t>,000 residential property sales</w:t>
      </w:r>
      <w:r w:rsidR="00A0349D" w:rsidRPr="008B0BC9">
        <w:rPr>
          <w:sz w:val="20"/>
        </w:rPr>
        <w:t xml:space="preserve"> across Victoria</w:t>
      </w:r>
      <w:r w:rsidRPr="008B0BC9">
        <w:rPr>
          <w:sz w:val="20"/>
        </w:rPr>
        <w:t>.</w:t>
      </w:r>
      <w:r w:rsidR="00ED31C5" w:rsidRPr="008B0BC9">
        <w:rPr>
          <w:sz w:val="20"/>
        </w:rPr>
        <w:t xml:space="preserve"> This compares to over 117,000 in 2015.</w:t>
      </w:r>
      <w:r w:rsidR="00DB0A6A" w:rsidRPr="008B0BC9">
        <w:rPr>
          <w:sz w:val="20"/>
        </w:rPr>
        <w:t xml:space="preserve"> </w:t>
      </w:r>
      <w:r w:rsidR="00E275A5">
        <w:rPr>
          <w:sz w:val="20"/>
        </w:rPr>
        <w:t>A</w:t>
      </w:r>
      <w:r w:rsidR="00ED31C5" w:rsidRPr="008B0BC9">
        <w:rPr>
          <w:sz w:val="20"/>
        </w:rPr>
        <w:t>bout</w:t>
      </w:r>
      <w:r w:rsidRPr="008B0BC9">
        <w:rPr>
          <w:sz w:val="20"/>
        </w:rPr>
        <w:t xml:space="preserve"> three quarters of these sales were in Melbourne.</w:t>
      </w:r>
      <w:r w:rsidR="00DB0A6A" w:rsidRPr="008B0BC9">
        <w:rPr>
          <w:sz w:val="20"/>
        </w:rPr>
        <w:t xml:space="preserve"> </w:t>
      </w:r>
      <w:r w:rsidR="0003287B" w:rsidRPr="008B0BC9">
        <w:rPr>
          <w:sz w:val="20"/>
        </w:rPr>
        <w:t xml:space="preserve">As of </w:t>
      </w:r>
      <w:r w:rsidR="00ED31C5" w:rsidRPr="008B0BC9">
        <w:rPr>
          <w:sz w:val="20"/>
        </w:rPr>
        <w:t>June</w:t>
      </w:r>
      <w:r w:rsidR="0003287B" w:rsidRPr="008B0BC9">
        <w:rPr>
          <w:sz w:val="20"/>
        </w:rPr>
        <w:t xml:space="preserve"> </w:t>
      </w:r>
      <w:r w:rsidR="00ED31C5" w:rsidRPr="008B0BC9">
        <w:rPr>
          <w:sz w:val="20"/>
        </w:rPr>
        <w:t>2016</w:t>
      </w:r>
      <w:r w:rsidR="0003287B" w:rsidRPr="008B0BC9">
        <w:rPr>
          <w:sz w:val="20"/>
        </w:rPr>
        <w:t>,</w:t>
      </w:r>
      <w:r w:rsidR="00DB0A6A" w:rsidRPr="008B0BC9">
        <w:rPr>
          <w:sz w:val="20"/>
        </w:rPr>
        <w:t xml:space="preserve"> </w:t>
      </w:r>
      <w:r w:rsidR="001E39BC" w:rsidRPr="008B0BC9">
        <w:rPr>
          <w:sz w:val="20"/>
        </w:rPr>
        <w:t xml:space="preserve">there </w:t>
      </w:r>
      <w:r w:rsidR="00DB0A6A" w:rsidRPr="008B0BC9">
        <w:rPr>
          <w:sz w:val="20"/>
        </w:rPr>
        <w:t>was</w:t>
      </w:r>
      <w:r w:rsidR="001E39BC" w:rsidRPr="008B0BC9">
        <w:rPr>
          <w:sz w:val="20"/>
        </w:rPr>
        <w:t xml:space="preserve"> </w:t>
      </w:r>
      <w:r w:rsidR="00DB0A6A" w:rsidRPr="008B0BC9">
        <w:rPr>
          <w:sz w:val="20"/>
        </w:rPr>
        <w:t xml:space="preserve">an </w:t>
      </w:r>
      <w:r w:rsidR="001E39BC" w:rsidRPr="008B0BC9">
        <w:rPr>
          <w:sz w:val="20"/>
        </w:rPr>
        <w:t>estimated 2.</w:t>
      </w:r>
      <w:r w:rsidR="00ED31C5" w:rsidRPr="008B0BC9">
        <w:rPr>
          <w:sz w:val="20"/>
        </w:rPr>
        <w:t>575</w:t>
      </w:r>
      <w:r w:rsidR="001E39BC" w:rsidRPr="008B0BC9">
        <w:rPr>
          <w:sz w:val="20"/>
        </w:rPr>
        <w:t xml:space="preserve"> million dwellings in Victoria,</w:t>
      </w:r>
      <w:r w:rsidR="0003287B" w:rsidRPr="008B0BC9">
        <w:rPr>
          <w:sz w:val="20"/>
        </w:rPr>
        <w:t xml:space="preserve"> </w:t>
      </w:r>
      <w:r w:rsidR="00285496" w:rsidRPr="008B0BC9">
        <w:rPr>
          <w:sz w:val="20"/>
        </w:rPr>
        <w:t>with</w:t>
      </w:r>
      <w:r w:rsidR="0003287B" w:rsidRPr="008B0BC9">
        <w:rPr>
          <w:sz w:val="20"/>
        </w:rPr>
        <w:t xml:space="preserve"> the volume of sales</w:t>
      </w:r>
      <w:r w:rsidR="001E39BC" w:rsidRPr="008B0BC9">
        <w:rPr>
          <w:sz w:val="20"/>
        </w:rPr>
        <w:t xml:space="preserve"> </w:t>
      </w:r>
      <w:r w:rsidR="00285496" w:rsidRPr="008B0BC9">
        <w:rPr>
          <w:sz w:val="20"/>
        </w:rPr>
        <w:t xml:space="preserve">therefore </w:t>
      </w:r>
      <w:r w:rsidR="001E39BC" w:rsidRPr="008B0BC9">
        <w:rPr>
          <w:sz w:val="20"/>
        </w:rPr>
        <w:t>represent</w:t>
      </w:r>
      <w:r w:rsidR="00285496" w:rsidRPr="008B0BC9">
        <w:rPr>
          <w:sz w:val="20"/>
        </w:rPr>
        <w:t>ing</w:t>
      </w:r>
      <w:r w:rsidR="001E39BC" w:rsidRPr="008B0BC9">
        <w:rPr>
          <w:sz w:val="20"/>
        </w:rPr>
        <w:t xml:space="preserve"> </w:t>
      </w:r>
      <w:r w:rsidR="00DB0A6A" w:rsidRPr="008B0BC9">
        <w:rPr>
          <w:sz w:val="20"/>
        </w:rPr>
        <w:t>a</w:t>
      </w:r>
      <w:r w:rsidR="0003287B" w:rsidRPr="008B0BC9">
        <w:rPr>
          <w:sz w:val="20"/>
        </w:rPr>
        <w:t>n</w:t>
      </w:r>
      <w:r w:rsidR="00A0349D" w:rsidRPr="008B0BC9">
        <w:rPr>
          <w:sz w:val="20"/>
        </w:rPr>
        <w:t xml:space="preserve"> </w:t>
      </w:r>
      <w:r w:rsidR="0003287B" w:rsidRPr="008B0BC9">
        <w:rPr>
          <w:sz w:val="20"/>
        </w:rPr>
        <w:t>annual turnover of</w:t>
      </w:r>
      <w:r w:rsidR="00A0349D" w:rsidRPr="008B0BC9">
        <w:rPr>
          <w:sz w:val="20"/>
        </w:rPr>
        <w:t xml:space="preserve"> around </w:t>
      </w:r>
      <w:r w:rsidR="0003287B" w:rsidRPr="008B0BC9">
        <w:rPr>
          <w:sz w:val="20"/>
        </w:rPr>
        <w:t>4.</w:t>
      </w:r>
      <w:r w:rsidR="00ED31C5" w:rsidRPr="008B0BC9">
        <w:rPr>
          <w:sz w:val="20"/>
        </w:rPr>
        <w:t>4</w:t>
      </w:r>
      <w:r w:rsidR="00A0349D" w:rsidRPr="008B0BC9">
        <w:rPr>
          <w:sz w:val="20"/>
        </w:rPr>
        <w:t>%</w:t>
      </w:r>
      <w:r w:rsidR="001E39BC" w:rsidRPr="008B0BC9">
        <w:rPr>
          <w:sz w:val="20"/>
        </w:rPr>
        <w:t xml:space="preserve">. </w:t>
      </w:r>
    </w:p>
    <w:p w:rsidR="00362941" w:rsidRPr="008B0BC9" w:rsidRDefault="00362941" w:rsidP="007D4D11">
      <w:pPr>
        <w:rPr>
          <w:sz w:val="20"/>
        </w:rPr>
      </w:pPr>
      <w:r w:rsidRPr="008B0BC9">
        <w:rPr>
          <w:sz w:val="20"/>
        </w:rPr>
        <w:t>In all but four inner city LGAs</w:t>
      </w:r>
      <w:r w:rsidR="0013600E" w:rsidRPr="008B0BC9">
        <w:rPr>
          <w:sz w:val="20"/>
        </w:rPr>
        <w:t>,</w:t>
      </w:r>
      <w:r w:rsidRPr="008B0BC9">
        <w:rPr>
          <w:sz w:val="20"/>
        </w:rPr>
        <w:t xml:space="preserve"> detached house sales were a majority</w:t>
      </w:r>
      <w:r w:rsidR="00625153" w:rsidRPr="008B0BC9">
        <w:rPr>
          <w:sz w:val="20"/>
        </w:rPr>
        <w:t xml:space="preserve"> of residential property sales</w:t>
      </w:r>
      <w:r w:rsidRPr="008B0BC9">
        <w:rPr>
          <w:sz w:val="20"/>
        </w:rPr>
        <w:t xml:space="preserve">.  </w:t>
      </w:r>
    </w:p>
    <w:p w:rsidR="003565F0" w:rsidRPr="008B0BC9" w:rsidRDefault="00AD7F2E" w:rsidP="003565F0">
      <w:pPr>
        <w:rPr>
          <w:sz w:val="20"/>
        </w:rPr>
      </w:pPr>
      <w:r w:rsidRPr="008B0BC9">
        <w:rPr>
          <w:noProof/>
          <w:lang w:eastAsia="en-AU"/>
        </w:rPr>
        <w:drawing>
          <wp:inline distT="0" distB="0" distL="0" distR="0" wp14:anchorId="5D8754E8" wp14:editId="4A8A424D">
            <wp:extent cx="6324600" cy="782955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B0A6A" w:rsidRPr="008B0BC9" w:rsidRDefault="00AD7F2E">
      <w:pPr>
        <w:rPr>
          <w:sz w:val="20"/>
        </w:rPr>
      </w:pPr>
      <w:r w:rsidRPr="008B0BC9">
        <w:rPr>
          <w:noProof/>
          <w:lang w:eastAsia="en-AU"/>
        </w:rPr>
        <w:lastRenderedPageBreak/>
        <w:drawing>
          <wp:inline distT="0" distB="0" distL="0" distR="0" wp14:anchorId="0EBF1D03" wp14:editId="4FC93A51">
            <wp:extent cx="6048375" cy="9341485"/>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DB0A6A" w:rsidRPr="008B0BC9">
        <w:rPr>
          <w:sz w:val="20"/>
        </w:rPr>
        <w:br w:type="page"/>
      </w:r>
    </w:p>
    <w:p w:rsidR="00741490" w:rsidRPr="008B0BC9" w:rsidRDefault="008F1EF2" w:rsidP="003565F0">
      <w:pPr>
        <w:rPr>
          <w:sz w:val="20"/>
        </w:rPr>
      </w:pPr>
      <w:r w:rsidRPr="008B0BC9">
        <w:rPr>
          <w:sz w:val="20"/>
        </w:rPr>
        <w:lastRenderedPageBreak/>
        <w:t>For 2016</w:t>
      </w:r>
      <w:r w:rsidR="00625153" w:rsidRPr="008B0BC9">
        <w:rPr>
          <w:sz w:val="20"/>
        </w:rPr>
        <w:t>, t</w:t>
      </w:r>
      <w:r w:rsidR="008363D1" w:rsidRPr="008B0BC9">
        <w:rPr>
          <w:sz w:val="20"/>
        </w:rPr>
        <w:t>he median p</w:t>
      </w:r>
      <w:r w:rsidR="000F691A" w:rsidRPr="008B0BC9">
        <w:rPr>
          <w:sz w:val="20"/>
        </w:rPr>
        <w:t>rice of a detached house</w:t>
      </w:r>
      <w:r w:rsidR="00625153" w:rsidRPr="008B0BC9">
        <w:rPr>
          <w:sz w:val="20"/>
        </w:rPr>
        <w:t xml:space="preserve"> </w:t>
      </w:r>
      <w:r w:rsidR="00741490" w:rsidRPr="008B0BC9">
        <w:rPr>
          <w:sz w:val="20"/>
        </w:rPr>
        <w:t xml:space="preserve">exceeded </w:t>
      </w:r>
      <w:r w:rsidR="00285496" w:rsidRPr="008B0BC9">
        <w:rPr>
          <w:sz w:val="20"/>
        </w:rPr>
        <w:t xml:space="preserve">one </w:t>
      </w:r>
      <w:r w:rsidR="008363D1" w:rsidRPr="008B0BC9">
        <w:rPr>
          <w:sz w:val="20"/>
        </w:rPr>
        <w:t xml:space="preserve">million dollars in </w:t>
      </w:r>
      <w:r w:rsidR="00046FD5">
        <w:rPr>
          <w:sz w:val="20"/>
        </w:rPr>
        <w:t>10</w:t>
      </w:r>
      <w:r w:rsidR="00741490" w:rsidRPr="008B0BC9">
        <w:rPr>
          <w:sz w:val="20"/>
        </w:rPr>
        <w:t xml:space="preserve"> LGAs</w:t>
      </w:r>
      <w:r w:rsidR="008363D1" w:rsidRPr="008B0BC9">
        <w:rPr>
          <w:sz w:val="20"/>
        </w:rPr>
        <w:t xml:space="preserve"> across Melbourne.</w:t>
      </w:r>
      <w:r w:rsidR="00DB0A6A" w:rsidRPr="008B0BC9">
        <w:rPr>
          <w:sz w:val="20"/>
        </w:rPr>
        <w:t xml:space="preserve"> </w:t>
      </w:r>
      <w:r w:rsidR="008363D1" w:rsidRPr="008B0BC9">
        <w:rPr>
          <w:sz w:val="20"/>
        </w:rPr>
        <w:t xml:space="preserve"> </w:t>
      </w:r>
      <w:r w:rsidR="00741490" w:rsidRPr="008B0BC9">
        <w:rPr>
          <w:sz w:val="20"/>
        </w:rPr>
        <w:t xml:space="preserve">The only LGAs where median prices were lower than $500,000 were </w:t>
      </w:r>
      <w:proofErr w:type="spellStart"/>
      <w:r w:rsidRPr="008B0BC9">
        <w:rPr>
          <w:sz w:val="20"/>
        </w:rPr>
        <w:t>Brimbank</w:t>
      </w:r>
      <w:proofErr w:type="spellEnd"/>
      <w:r w:rsidRPr="008B0BC9">
        <w:rPr>
          <w:sz w:val="20"/>
        </w:rPr>
        <w:t xml:space="preserve">, Frankston and </w:t>
      </w:r>
      <w:r w:rsidR="00741490" w:rsidRPr="008B0BC9">
        <w:rPr>
          <w:sz w:val="20"/>
        </w:rPr>
        <w:t>the</w:t>
      </w:r>
      <w:r w:rsidR="008363D1" w:rsidRPr="008B0BC9">
        <w:rPr>
          <w:sz w:val="20"/>
        </w:rPr>
        <w:t xml:space="preserve"> </w:t>
      </w:r>
      <w:r w:rsidR="00975BA2" w:rsidRPr="008B0BC9">
        <w:rPr>
          <w:sz w:val="20"/>
        </w:rPr>
        <w:t xml:space="preserve">outer </w:t>
      </w:r>
      <w:r w:rsidR="008363D1" w:rsidRPr="008B0BC9">
        <w:rPr>
          <w:sz w:val="20"/>
        </w:rPr>
        <w:t xml:space="preserve">growth </w:t>
      </w:r>
      <w:r w:rsidR="003E7733" w:rsidRPr="008B0BC9">
        <w:rPr>
          <w:sz w:val="20"/>
        </w:rPr>
        <w:t>LGAs</w:t>
      </w:r>
      <w:r w:rsidR="008363D1" w:rsidRPr="008B0BC9">
        <w:rPr>
          <w:sz w:val="20"/>
        </w:rPr>
        <w:t>.</w:t>
      </w:r>
    </w:p>
    <w:p w:rsidR="00137DCB" w:rsidRPr="008B0BC9" w:rsidRDefault="008363D1" w:rsidP="003565F0">
      <w:pPr>
        <w:rPr>
          <w:sz w:val="20"/>
        </w:rPr>
      </w:pPr>
      <w:r w:rsidRPr="008B0BC9">
        <w:rPr>
          <w:sz w:val="20"/>
        </w:rPr>
        <w:t xml:space="preserve">In regional Victoria, the coastal areas of </w:t>
      </w:r>
      <w:proofErr w:type="spellStart"/>
      <w:r w:rsidRPr="008B0BC9">
        <w:rPr>
          <w:sz w:val="20"/>
        </w:rPr>
        <w:t>Queenscliffe</w:t>
      </w:r>
      <w:proofErr w:type="spellEnd"/>
      <w:r w:rsidRPr="008B0BC9">
        <w:rPr>
          <w:sz w:val="20"/>
        </w:rPr>
        <w:t xml:space="preserve"> and Surf Coast had median prices above half</w:t>
      </w:r>
      <w:r w:rsidR="000F691A" w:rsidRPr="008B0BC9">
        <w:rPr>
          <w:sz w:val="20"/>
        </w:rPr>
        <w:t xml:space="preserve"> a</w:t>
      </w:r>
      <w:r w:rsidRPr="008B0BC9">
        <w:rPr>
          <w:sz w:val="20"/>
        </w:rPr>
        <w:t xml:space="preserve"> million dollars.</w:t>
      </w:r>
      <w:r w:rsidR="00DB0A6A" w:rsidRPr="008B0BC9">
        <w:rPr>
          <w:sz w:val="20"/>
        </w:rPr>
        <w:t xml:space="preserve"> </w:t>
      </w:r>
      <w:r w:rsidRPr="008B0BC9">
        <w:rPr>
          <w:sz w:val="20"/>
        </w:rPr>
        <w:t xml:space="preserve">The cheapest houses in the state </w:t>
      </w:r>
      <w:r w:rsidR="000F691A" w:rsidRPr="008B0BC9">
        <w:rPr>
          <w:sz w:val="20"/>
        </w:rPr>
        <w:t>w</w:t>
      </w:r>
      <w:r w:rsidRPr="008B0BC9">
        <w:rPr>
          <w:sz w:val="20"/>
        </w:rPr>
        <w:t>ere in t</w:t>
      </w:r>
      <w:r w:rsidR="003E7733" w:rsidRPr="008B0BC9">
        <w:rPr>
          <w:sz w:val="20"/>
        </w:rPr>
        <w:t>he Wimmera areas</w:t>
      </w:r>
      <w:r w:rsidR="00B04860" w:rsidRPr="008B0BC9">
        <w:rPr>
          <w:sz w:val="20"/>
        </w:rPr>
        <w:t>;</w:t>
      </w:r>
      <w:r w:rsidR="003E7733" w:rsidRPr="008B0BC9">
        <w:rPr>
          <w:sz w:val="20"/>
        </w:rPr>
        <w:t xml:space="preserve"> the lowest were in</w:t>
      </w:r>
      <w:r w:rsidRPr="008B0BC9">
        <w:rPr>
          <w:sz w:val="20"/>
        </w:rPr>
        <w:t xml:space="preserve"> </w:t>
      </w:r>
      <w:proofErr w:type="spellStart"/>
      <w:r w:rsidR="00741490" w:rsidRPr="008B0BC9">
        <w:rPr>
          <w:sz w:val="20"/>
        </w:rPr>
        <w:t>Buloke</w:t>
      </w:r>
      <w:proofErr w:type="spellEnd"/>
      <w:r w:rsidR="003E7733" w:rsidRPr="008B0BC9">
        <w:rPr>
          <w:sz w:val="20"/>
        </w:rPr>
        <w:t xml:space="preserve"> </w:t>
      </w:r>
      <w:r w:rsidR="00741490" w:rsidRPr="008B0BC9">
        <w:rPr>
          <w:sz w:val="20"/>
        </w:rPr>
        <w:t>where the median price was $8</w:t>
      </w:r>
      <w:r w:rsidR="00021B45" w:rsidRPr="008B0BC9">
        <w:rPr>
          <w:sz w:val="20"/>
        </w:rPr>
        <w:t>1</w:t>
      </w:r>
      <w:r w:rsidR="003E7733" w:rsidRPr="008B0BC9">
        <w:rPr>
          <w:sz w:val="20"/>
        </w:rPr>
        <w:t>,000.</w:t>
      </w:r>
    </w:p>
    <w:p w:rsidR="00741490" w:rsidRPr="008B0BC9" w:rsidRDefault="00021B45" w:rsidP="003565F0">
      <w:pPr>
        <w:rPr>
          <w:noProof/>
          <w:lang w:eastAsia="en-AU"/>
        </w:rPr>
      </w:pPr>
      <w:r w:rsidRPr="008B0BC9">
        <w:rPr>
          <w:noProof/>
          <w:lang w:eastAsia="en-AU"/>
        </w:rPr>
        <w:drawing>
          <wp:inline distT="0" distB="0" distL="0" distR="0" wp14:anchorId="41045497" wp14:editId="7F134ECE">
            <wp:extent cx="6286500" cy="816292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02544" w:rsidRPr="00911E1B" w:rsidRDefault="00501120" w:rsidP="003565F0">
      <w:pPr>
        <w:rPr>
          <w:noProof/>
          <w:color w:val="FF0000"/>
          <w:highlight w:val="yellow"/>
          <w:lang w:eastAsia="en-AU"/>
        </w:rPr>
      </w:pPr>
      <w:r w:rsidRPr="008B0BC9">
        <w:rPr>
          <w:noProof/>
          <w:lang w:eastAsia="en-AU"/>
        </w:rPr>
        <w:lastRenderedPageBreak/>
        <w:t xml:space="preserve"> </w:t>
      </w:r>
      <w:r w:rsidR="00021B45">
        <w:rPr>
          <w:noProof/>
          <w:lang w:eastAsia="en-AU"/>
        </w:rPr>
        <w:drawing>
          <wp:inline distT="0" distB="0" distL="0" distR="0" wp14:anchorId="11CD08AB" wp14:editId="32ED9188">
            <wp:extent cx="6143625" cy="934148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2845" w:rsidRPr="00021B45" w:rsidRDefault="00392845">
      <w:pPr>
        <w:rPr>
          <w:sz w:val="20"/>
        </w:rPr>
      </w:pPr>
      <w:r w:rsidRPr="00021B45">
        <w:rPr>
          <w:sz w:val="20"/>
        </w:rPr>
        <w:lastRenderedPageBreak/>
        <w:t>Semi-</w:t>
      </w:r>
      <w:r w:rsidR="000B7AB0" w:rsidRPr="00021B45">
        <w:rPr>
          <w:sz w:val="20"/>
        </w:rPr>
        <w:t>d</w:t>
      </w:r>
      <w:r w:rsidRPr="00021B45">
        <w:rPr>
          <w:sz w:val="20"/>
        </w:rPr>
        <w:t xml:space="preserve">etached </w:t>
      </w:r>
      <w:r w:rsidR="00D36B7F" w:rsidRPr="00021B45">
        <w:rPr>
          <w:sz w:val="20"/>
        </w:rPr>
        <w:t>d</w:t>
      </w:r>
      <w:r w:rsidRPr="00021B45">
        <w:rPr>
          <w:sz w:val="20"/>
        </w:rPr>
        <w:t xml:space="preserve">wellings are generally cheaper than detached houses because they </w:t>
      </w:r>
      <w:r w:rsidR="00285496" w:rsidRPr="00021B45">
        <w:rPr>
          <w:sz w:val="20"/>
        </w:rPr>
        <w:t>usually</w:t>
      </w:r>
      <w:r w:rsidRPr="00021B45">
        <w:rPr>
          <w:sz w:val="20"/>
        </w:rPr>
        <w:t xml:space="preserve"> occupy less land and </w:t>
      </w:r>
      <w:r w:rsidR="008F1EF2" w:rsidRPr="00021B45">
        <w:rPr>
          <w:sz w:val="20"/>
        </w:rPr>
        <w:t xml:space="preserve">in some cases </w:t>
      </w:r>
      <w:r w:rsidR="000B7AB0" w:rsidRPr="00021B45">
        <w:rPr>
          <w:sz w:val="20"/>
        </w:rPr>
        <w:t>are</w:t>
      </w:r>
      <w:r w:rsidR="008F1EF2" w:rsidRPr="00021B45">
        <w:rPr>
          <w:sz w:val="20"/>
        </w:rPr>
        <w:t xml:space="preserve"> </w:t>
      </w:r>
      <w:r w:rsidRPr="00021B45">
        <w:rPr>
          <w:sz w:val="20"/>
        </w:rPr>
        <w:t>cheaper to construct. F</w:t>
      </w:r>
      <w:r w:rsidR="00876E32" w:rsidRPr="00021B45">
        <w:rPr>
          <w:sz w:val="20"/>
        </w:rPr>
        <w:t xml:space="preserve">ive </w:t>
      </w:r>
      <w:r w:rsidR="00D36B7F" w:rsidRPr="00021B45">
        <w:rPr>
          <w:sz w:val="20"/>
        </w:rPr>
        <w:t>m</w:t>
      </w:r>
      <w:r w:rsidRPr="00021B45">
        <w:rPr>
          <w:sz w:val="20"/>
        </w:rPr>
        <w:t xml:space="preserve">etropolitan LGAs had median semi-detached prices over </w:t>
      </w:r>
      <w:r w:rsidR="00285496" w:rsidRPr="00021B45">
        <w:rPr>
          <w:sz w:val="20"/>
        </w:rPr>
        <w:t>one</w:t>
      </w:r>
      <w:r w:rsidRPr="00021B45">
        <w:rPr>
          <w:sz w:val="20"/>
        </w:rPr>
        <w:t xml:space="preserve"> million dollars. </w:t>
      </w:r>
      <w:r w:rsidR="008F1EF2" w:rsidRPr="00021B45">
        <w:rPr>
          <w:sz w:val="20"/>
        </w:rPr>
        <w:t xml:space="preserve">In some cases these medians are based on low volume numbers </w:t>
      </w:r>
      <w:r w:rsidR="000B7AB0" w:rsidRPr="00021B45">
        <w:rPr>
          <w:sz w:val="20"/>
        </w:rPr>
        <w:t xml:space="preserve">that </w:t>
      </w:r>
      <w:r w:rsidR="008F1EF2" w:rsidRPr="00021B45">
        <w:rPr>
          <w:sz w:val="20"/>
        </w:rPr>
        <w:t>should be used with c</w:t>
      </w:r>
      <w:r w:rsidRPr="00021B45">
        <w:rPr>
          <w:sz w:val="20"/>
        </w:rPr>
        <w:t>aution.</w:t>
      </w:r>
    </w:p>
    <w:p w:rsidR="003E7733" w:rsidRPr="00911E1B" w:rsidRDefault="00021B45">
      <w:pPr>
        <w:rPr>
          <w:sz w:val="20"/>
          <w:highlight w:val="yellow"/>
        </w:rPr>
      </w:pPr>
      <w:r>
        <w:rPr>
          <w:noProof/>
          <w:lang w:eastAsia="en-AU"/>
        </w:rPr>
        <w:drawing>
          <wp:inline distT="0" distB="0" distL="0" distR="0" wp14:anchorId="0FAEF7DF" wp14:editId="59E1F9B2">
            <wp:extent cx="6209665" cy="8524875"/>
            <wp:effectExtent l="0" t="0" r="635"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E7733" w:rsidRPr="00911E1B" w:rsidRDefault="00021B45">
      <w:pPr>
        <w:rPr>
          <w:sz w:val="20"/>
          <w:highlight w:val="yellow"/>
        </w:rPr>
      </w:pPr>
      <w:r>
        <w:rPr>
          <w:noProof/>
          <w:lang w:eastAsia="en-AU"/>
        </w:rPr>
        <w:lastRenderedPageBreak/>
        <w:drawing>
          <wp:inline distT="0" distB="0" distL="0" distR="0" wp14:anchorId="161014F7" wp14:editId="05B3C389">
            <wp:extent cx="6172200" cy="9341485"/>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6150" w:rsidRPr="00911E1B" w:rsidRDefault="00DB0A6A" w:rsidP="008F1EF2">
      <w:pPr>
        <w:jc w:val="both"/>
        <w:rPr>
          <w:sz w:val="20"/>
          <w:highlight w:val="yellow"/>
        </w:rPr>
      </w:pPr>
      <w:r w:rsidRPr="00911E1B">
        <w:rPr>
          <w:sz w:val="20"/>
          <w:highlight w:val="yellow"/>
        </w:rPr>
        <w:br w:type="page"/>
      </w:r>
      <w:r w:rsidR="00741490" w:rsidRPr="00021B45">
        <w:rPr>
          <w:sz w:val="20"/>
        </w:rPr>
        <w:lastRenderedPageBreak/>
        <w:t>T</w:t>
      </w:r>
      <w:r w:rsidR="00882A09" w:rsidRPr="00021B45">
        <w:rPr>
          <w:sz w:val="20"/>
        </w:rPr>
        <w:t>he median price for units in 20</w:t>
      </w:r>
      <w:r w:rsidR="00741490" w:rsidRPr="00021B45">
        <w:rPr>
          <w:sz w:val="20"/>
        </w:rPr>
        <w:t xml:space="preserve">16 </w:t>
      </w:r>
      <w:r w:rsidR="008F1EF2" w:rsidRPr="00021B45">
        <w:rPr>
          <w:sz w:val="20"/>
        </w:rPr>
        <w:t xml:space="preserve">to date </w:t>
      </w:r>
      <w:r w:rsidR="00D13945" w:rsidRPr="00021B45">
        <w:rPr>
          <w:sz w:val="20"/>
        </w:rPr>
        <w:t xml:space="preserve">were generally much lower than house prices in most LGAs of Melbourne. </w:t>
      </w:r>
      <w:r w:rsidRPr="00021B45">
        <w:rPr>
          <w:sz w:val="20"/>
        </w:rPr>
        <w:t xml:space="preserve"> </w:t>
      </w:r>
      <w:r w:rsidR="00D13945" w:rsidRPr="00021B45">
        <w:rPr>
          <w:sz w:val="20"/>
        </w:rPr>
        <w:t>However, in regional areas there was less price difference between the two</w:t>
      </w:r>
      <w:r w:rsidR="00882A09" w:rsidRPr="00021B45">
        <w:rPr>
          <w:sz w:val="20"/>
        </w:rPr>
        <w:t>; in some cases the median prices for a flat was higher than a detached dwelling</w:t>
      </w:r>
      <w:r w:rsidR="00D13945" w:rsidRPr="00021B45">
        <w:rPr>
          <w:sz w:val="20"/>
        </w:rPr>
        <w:t>. Some regional LGA</w:t>
      </w:r>
      <w:r w:rsidR="00F7651B" w:rsidRPr="00021B45">
        <w:rPr>
          <w:sz w:val="20"/>
        </w:rPr>
        <w:t>s</w:t>
      </w:r>
      <w:r w:rsidR="00D13945" w:rsidRPr="00021B45">
        <w:rPr>
          <w:sz w:val="20"/>
        </w:rPr>
        <w:t xml:space="preserve"> had </w:t>
      </w:r>
      <w:r w:rsidR="003E7733" w:rsidRPr="00021B45">
        <w:rPr>
          <w:sz w:val="20"/>
        </w:rPr>
        <w:t>very few</w:t>
      </w:r>
      <w:r w:rsidR="00D13945" w:rsidRPr="00021B45">
        <w:rPr>
          <w:sz w:val="20"/>
        </w:rPr>
        <w:t xml:space="preserve"> sales of strata title properties </w:t>
      </w:r>
      <w:r w:rsidR="003E7733" w:rsidRPr="00021B45">
        <w:rPr>
          <w:sz w:val="20"/>
        </w:rPr>
        <w:t>this year</w:t>
      </w:r>
      <w:r w:rsidR="00D13945" w:rsidRPr="00021B45">
        <w:rPr>
          <w:sz w:val="20"/>
        </w:rPr>
        <w:t xml:space="preserve">. </w:t>
      </w:r>
      <w:bookmarkStart w:id="55" w:name="_Toc437436637"/>
    </w:p>
    <w:p w:rsidR="00741490" w:rsidRPr="00911E1B" w:rsidRDefault="00021B45">
      <w:pPr>
        <w:rPr>
          <w:b/>
          <w:sz w:val="20"/>
          <w:highlight w:val="yellow"/>
        </w:rPr>
      </w:pPr>
      <w:r>
        <w:rPr>
          <w:noProof/>
          <w:lang w:eastAsia="en-AU"/>
        </w:rPr>
        <w:drawing>
          <wp:inline distT="0" distB="0" distL="0" distR="0" wp14:anchorId="34B2F97A" wp14:editId="1ED45B04">
            <wp:extent cx="6209665" cy="8543925"/>
            <wp:effectExtent l="0" t="0" r="635"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1490" w:rsidRPr="00911E1B" w:rsidRDefault="00021B45">
      <w:pPr>
        <w:rPr>
          <w:b/>
          <w:sz w:val="20"/>
          <w:highlight w:val="yellow"/>
        </w:rPr>
      </w:pPr>
      <w:r>
        <w:rPr>
          <w:noProof/>
          <w:lang w:eastAsia="en-AU"/>
        </w:rPr>
        <w:lastRenderedPageBreak/>
        <w:drawing>
          <wp:inline distT="0" distB="0" distL="0" distR="0" wp14:anchorId="1A9018C1" wp14:editId="66D56D96">
            <wp:extent cx="6076950" cy="9341485"/>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1490" w:rsidRPr="00E01889" w:rsidRDefault="00741490">
      <w:pPr>
        <w:rPr>
          <w:b/>
          <w:sz w:val="20"/>
        </w:rPr>
      </w:pPr>
    </w:p>
    <w:p w:rsidR="00D13945" w:rsidRPr="00E01889" w:rsidRDefault="00D13945" w:rsidP="003C4829">
      <w:pPr>
        <w:pStyle w:val="Heading2numbered"/>
        <w:rPr>
          <w:color w:val="002060"/>
        </w:rPr>
      </w:pPr>
      <w:bookmarkStart w:id="56" w:name="_Toc468972272"/>
      <w:r w:rsidRPr="00E01889">
        <w:rPr>
          <w:color w:val="002060"/>
        </w:rPr>
        <w:t>Rent</w:t>
      </w:r>
      <w:bookmarkEnd w:id="55"/>
      <w:r w:rsidR="00E845E0" w:rsidRPr="00E01889">
        <w:rPr>
          <w:color w:val="002060"/>
        </w:rPr>
        <w:t>s</w:t>
      </w:r>
      <w:bookmarkEnd w:id="56"/>
    </w:p>
    <w:p w:rsidR="00D13945" w:rsidRPr="00E01889" w:rsidRDefault="005B7FE9" w:rsidP="003565F0">
      <w:pPr>
        <w:rPr>
          <w:sz w:val="20"/>
        </w:rPr>
      </w:pPr>
      <w:r w:rsidRPr="00E01889">
        <w:rPr>
          <w:sz w:val="20"/>
        </w:rPr>
        <w:t xml:space="preserve">The </w:t>
      </w:r>
      <w:r w:rsidR="0050044B" w:rsidRPr="00E01889">
        <w:rPr>
          <w:sz w:val="20"/>
        </w:rPr>
        <w:t>D</w:t>
      </w:r>
      <w:r w:rsidRPr="00E01889">
        <w:rPr>
          <w:sz w:val="20"/>
        </w:rPr>
        <w:t xml:space="preserve">epartment of Housing and Human Services </w:t>
      </w:r>
      <w:r w:rsidR="000F5421" w:rsidRPr="00E01889">
        <w:rPr>
          <w:sz w:val="20"/>
        </w:rPr>
        <w:t xml:space="preserve">prepares a Quarterly Rental </w:t>
      </w:r>
      <w:r w:rsidR="0050044B" w:rsidRPr="00E01889">
        <w:rPr>
          <w:sz w:val="20"/>
        </w:rPr>
        <w:t>R</w:t>
      </w:r>
      <w:r w:rsidR="000F5421" w:rsidRPr="00E01889">
        <w:rPr>
          <w:sz w:val="20"/>
        </w:rPr>
        <w:t>eport for Victoria. This provides information on the median rents.</w:t>
      </w:r>
      <w:r w:rsidR="00966CC5" w:rsidRPr="00E01889">
        <w:rPr>
          <w:sz w:val="20"/>
        </w:rPr>
        <w:t xml:space="preserve"> </w:t>
      </w:r>
      <w:r w:rsidR="000F5421" w:rsidRPr="00E01889">
        <w:rPr>
          <w:sz w:val="20"/>
        </w:rPr>
        <w:t xml:space="preserve">For example, the median rent for </w:t>
      </w:r>
      <w:r w:rsidR="00966CC5" w:rsidRPr="00E01889">
        <w:rPr>
          <w:sz w:val="20"/>
        </w:rPr>
        <w:t>a two</w:t>
      </w:r>
      <w:r w:rsidR="0050044B" w:rsidRPr="00E01889">
        <w:rPr>
          <w:sz w:val="20"/>
        </w:rPr>
        <w:t>-</w:t>
      </w:r>
      <w:r w:rsidR="00966CC5" w:rsidRPr="00E01889">
        <w:rPr>
          <w:sz w:val="20"/>
        </w:rPr>
        <w:t>b</w:t>
      </w:r>
      <w:r w:rsidR="00D206D4" w:rsidRPr="00E01889">
        <w:rPr>
          <w:sz w:val="20"/>
        </w:rPr>
        <w:t>edroom flat in Melbourne was $</w:t>
      </w:r>
      <w:r w:rsidR="006B7500" w:rsidRPr="00E01889">
        <w:rPr>
          <w:sz w:val="20"/>
        </w:rPr>
        <w:t>400</w:t>
      </w:r>
      <w:r w:rsidR="00D206D4" w:rsidRPr="00E01889">
        <w:rPr>
          <w:sz w:val="20"/>
        </w:rPr>
        <w:t xml:space="preserve"> a week compared to $2</w:t>
      </w:r>
      <w:r w:rsidR="00E01889">
        <w:rPr>
          <w:sz w:val="20"/>
        </w:rPr>
        <w:t>40</w:t>
      </w:r>
      <w:r w:rsidR="000F5421" w:rsidRPr="00E01889">
        <w:rPr>
          <w:sz w:val="20"/>
        </w:rPr>
        <w:t xml:space="preserve"> in non-metropolitan areas. </w:t>
      </w:r>
    </w:p>
    <w:p w:rsidR="00D13945" w:rsidRPr="00911E1B" w:rsidRDefault="00E01889" w:rsidP="003565F0">
      <w:pPr>
        <w:rPr>
          <w:sz w:val="20"/>
          <w:highlight w:val="yellow"/>
        </w:rPr>
      </w:pPr>
      <w:r>
        <w:rPr>
          <w:noProof/>
          <w:lang w:eastAsia="en-AU"/>
        </w:rPr>
        <w:drawing>
          <wp:inline distT="0" distB="0" distL="0" distR="0" wp14:anchorId="4BA88F4F" wp14:editId="64253925">
            <wp:extent cx="6035040" cy="3436536"/>
            <wp:effectExtent l="0" t="0" r="381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64D4" w:rsidRPr="00911E1B" w:rsidRDefault="00E064D4">
      <w:pPr>
        <w:rPr>
          <w:sz w:val="20"/>
          <w:highlight w:val="yellow"/>
        </w:rPr>
      </w:pPr>
      <w:r w:rsidRPr="00911E1B">
        <w:rPr>
          <w:sz w:val="20"/>
          <w:highlight w:val="yellow"/>
        </w:rPr>
        <w:br w:type="page"/>
      </w:r>
    </w:p>
    <w:p w:rsidR="00F10D07" w:rsidRPr="00D2602C" w:rsidRDefault="001B26B8" w:rsidP="003565F0">
      <w:pPr>
        <w:rPr>
          <w:sz w:val="20"/>
        </w:rPr>
      </w:pPr>
      <w:r w:rsidRPr="00D2602C">
        <w:rPr>
          <w:sz w:val="20"/>
        </w:rPr>
        <w:lastRenderedPageBreak/>
        <w:t>M</w:t>
      </w:r>
      <w:r w:rsidR="00D206D4" w:rsidRPr="00D2602C">
        <w:rPr>
          <w:sz w:val="20"/>
        </w:rPr>
        <w:t>edian r</w:t>
      </w:r>
      <w:r w:rsidR="00F10D07" w:rsidRPr="00D2602C">
        <w:rPr>
          <w:sz w:val="20"/>
        </w:rPr>
        <w:t xml:space="preserve">ents have risen in the past </w:t>
      </w:r>
      <w:r w:rsidR="00D206D4" w:rsidRPr="00D2602C">
        <w:rPr>
          <w:sz w:val="20"/>
        </w:rPr>
        <w:t>12</w:t>
      </w:r>
      <w:r w:rsidR="00F10D07" w:rsidRPr="00D2602C">
        <w:rPr>
          <w:sz w:val="20"/>
        </w:rPr>
        <w:t xml:space="preserve"> months in both </w:t>
      </w:r>
      <w:r w:rsidRPr="00D2602C">
        <w:rPr>
          <w:sz w:val="20"/>
        </w:rPr>
        <w:t>m</w:t>
      </w:r>
      <w:r w:rsidR="00F10D07" w:rsidRPr="00D2602C">
        <w:rPr>
          <w:sz w:val="20"/>
        </w:rPr>
        <w:t xml:space="preserve">etro and </w:t>
      </w:r>
      <w:r w:rsidRPr="00D2602C">
        <w:rPr>
          <w:sz w:val="20"/>
        </w:rPr>
        <w:t>n</w:t>
      </w:r>
      <w:r w:rsidR="00F10D07" w:rsidRPr="00D2602C">
        <w:rPr>
          <w:sz w:val="20"/>
        </w:rPr>
        <w:t>on-</w:t>
      </w:r>
      <w:r w:rsidRPr="00D2602C">
        <w:rPr>
          <w:sz w:val="20"/>
        </w:rPr>
        <w:t>m</w:t>
      </w:r>
      <w:r w:rsidR="00F10D07" w:rsidRPr="00D2602C">
        <w:rPr>
          <w:sz w:val="20"/>
        </w:rPr>
        <w:t>etro in all categories</w:t>
      </w:r>
      <w:r w:rsidR="00D206D4" w:rsidRPr="00D2602C">
        <w:rPr>
          <w:sz w:val="20"/>
        </w:rPr>
        <w:t>.</w:t>
      </w:r>
      <w:r w:rsidR="00946F4B" w:rsidRPr="00D2602C">
        <w:rPr>
          <w:sz w:val="20"/>
        </w:rPr>
        <w:t xml:space="preserve"> Rents r</w:t>
      </w:r>
      <w:r w:rsidR="00416341" w:rsidRPr="00D2602C">
        <w:rPr>
          <w:sz w:val="20"/>
        </w:rPr>
        <w:t>apid</w:t>
      </w:r>
      <w:r w:rsidR="00946F4B" w:rsidRPr="00D2602C">
        <w:rPr>
          <w:sz w:val="20"/>
        </w:rPr>
        <w:t>ly ro</w:t>
      </w:r>
      <w:r w:rsidR="00416341" w:rsidRPr="00D2602C">
        <w:rPr>
          <w:sz w:val="20"/>
        </w:rPr>
        <w:t xml:space="preserve">se </w:t>
      </w:r>
      <w:r w:rsidR="00946F4B" w:rsidRPr="00D2602C">
        <w:rPr>
          <w:sz w:val="20"/>
        </w:rPr>
        <w:t>between</w:t>
      </w:r>
      <w:r w:rsidR="00D206D4" w:rsidRPr="00D2602C">
        <w:rPr>
          <w:sz w:val="20"/>
        </w:rPr>
        <w:t xml:space="preserve"> 2005 </w:t>
      </w:r>
      <w:r w:rsidR="00181675" w:rsidRPr="00D2602C">
        <w:rPr>
          <w:sz w:val="20"/>
        </w:rPr>
        <w:t>and</w:t>
      </w:r>
      <w:r w:rsidR="00D206D4" w:rsidRPr="00D2602C">
        <w:rPr>
          <w:sz w:val="20"/>
        </w:rPr>
        <w:t xml:space="preserve"> 2010</w:t>
      </w:r>
      <w:r w:rsidR="007C3B36" w:rsidRPr="00D2602C">
        <w:rPr>
          <w:sz w:val="20"/>
        </w:rPr>
        <w:t xml:space="preserve">, then were fairly stable for several years. Recently rents in the metropolitan regions have begun to increase once more. </w:t>
      </w:r>
      <w:r w:rsidR="004F6754" w:rsidRPr="00D2602C">
        <w:rPr>
          <w:sz w:val="20"/>
        </w:rPr>
        <w:t>The annual increase in</w:t>
      </w:r>
      <w:r w:rsidR="003F078D">
        <w:rPr>
          <w:sz w:val="20"/>
        </w:rPr>
        <w:t xml:space="preserve"> weekly rents was highest for three-</w:t>
      </w:r>
      <w:r w:rsidR="004F6754" w:rsidRPr="00D2602C">
        <w:rPr>
          <w:sz w:val="20"/>
        </w:rPr>
        <w:t>bedroom houses</w:t>
      </w:r>
      <w:r w:rsidR="00D2602C" w:rsidRPr="00D2602C">
        <w:rPr>
          <w:sz w:val="20"/>
        </w:rPr>
        <w:t xml:space="preserve"> in Metropolitan Melbourne </w:t>
      </w:r>
      <w:r w:rsidR="004F6754" w:rsidRPr="00D2602C">
        <w:rPr>
          <w:sz w:val="20"/>
        </w:rPr>
        <w:t xml:space="preserve">and </w:t>
      </w:r>
      <w:r w:rsidR="00B63C7E">
        <w:rPr>
          <w:sz w:val="20"/>
        </w:rPr>
        <w:t>one-</w:t>
      </w:r>
      <w:r w:rsidR="003F078D">
        <w:rPr>
          <w:sz w:val="20"/>
        </w:rPr>
        <w:t>bed</w:t>
      </w:r>
      <w:r w:rsidR="00D2602C" w:rsidRPr="00D2602C">
        <w:rPr>
          <w:sz w:val="20"/>
        </w:rPr>
        <w:t xml:space="preserve">room flats in both Metropolitan and Regional areas </w:t>
      </w:r>
      <w:r w:rsidR="004F6754" w:rsidRPr="00D2602C">
        <w:rPr>
          <w:sz w:val="20"/>
        </w:rPr>
        <w:t>(</w:t>
      </w:r>
      <w:r w:rsidR="00D2602C" w:rsidRPr="00D2602C">
        <w:rPr>
          <w:sz w:val="20"/>
        </w:rPr>
        <w:t>all</w:t>
      </w:r>
      <w:r w:rsidR="004F6754" w:rsidRPr="00D2602C">
        <w:rPr>
          <w:sz w:val="20"/>
        </w:rPr>
        <w:t xml:space="preserve"> increasing by 4.4%). </w:t>
      </w:r>
    </w:p>
    <w:p w:rsidR="00F10D07" w:rsidRPr="00D2602C" w:rsidRDefault="00D2602C" w:rsidP="003565F0">
      <w:pPr>
        <w:rPr>
          <w:sz w:val="20"/>
        </w:rPr>
      </w:pPr>
      <w:r w:rsidRPr="00D2602C">
        <w:rPr>
          <w:noProof/>
          <w:lang w:eastAsia="en-AU"/>
        </w:rPr>
        <w:drawing>
          <wp:inline distT="0" distB="0" distL="0" distR="0" wp14:anchorId="4D64AEA5" wp14:editId="4827E365">
            <wp:extent cx="6209665" cy="4581525"/>
            <wp:effectExtent l="0" t="0" r="635"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34B7" w:rsidRPr="00D2602C" w:rsidRDefault="009534B7" w:rsidP="003565F0">
      <w:pPr>
        <w:rPr>
          <w:sz w:val="20"/>
        </w:rPr>
      </w:pPr>
      <w:r w:rsidRPr="00D2602C">
        <w:rPr>
          <w:sz w:val="20"/>
        </w:rPr>
        <w:t xml:space="preserve">There is clearly a general trend in Melbourne that the </w:t>
      </w:r>
      <w:r w:rsidR="00181675" w:rsidRPr="00D2602C">
        <w:rPr>
          <w:sz w:val="20"/>
        </w:rPr>
        <w:t>i</w:t>
      </w:r>
      <w:r w:rsidRPr="00D2602C">
        <w:rPr>
          <w:sz w:val="20"/>
        </w:rPr>
        <w:t xml:space="preserve">nner </w:t>
      </w:r>
      <w:r w:rsidR="00181675" w:rsidRPr="00D2602C">
        <w:rPr>
          <w:sz w:val="20"/>
        </w:rPr>
        <w:t>c</w:t>
      </w:r>
      <w:r w:rsidRPr="00D2602C">
        <w:rPr>
          <w:sz w:val="20"/>
        </w:rPr>
        <w:t xml:space="preserve">ity </w:t>
      </w:r>
      <w:r w:rsidR="00181675" w:rsidRPr="00D2602C">
        <w:rPr>
          <w:sz w:val="20"/>
        </w:rPr>
        <w:t>l</w:t>
      </w:r>
      <w:r w:rsidR="00966CC5" w:rsidRPr="00D2602C">
        <w:rPr>
          <w:sz w:val="20"/>
        </w:rPr>
        <w:t xml:space="preserve">ocal government </w:t>
      </w:r>
      <w:r w:rsidR="00181675" w:rsidRPr="00D2602C">
        <w:rPr>
          <w:sz w:val="20"/>
        </w:rPr>
        <w:t>a</w:t>
      </w:r>
      <w:r w:rsidR="00966CC5" w:rsidRPr="00D2602C">
        <w:rPr>
          <w:sz w:val="20"/>
        </w:rPr>
        <w:t>reas (LGAs)</w:t>
      </w:r>
      <w:r w:rsidRPr="00D2602C">
        <w:rPr>
          <w:sz w:val="20"/>
        </w:rPr>
        <w:t xml:space="preserve"> have high</w:t>
      </w:r>
      <w:r w:rsidR="00966CC5" w:rsidRPr="00D2602C">
        <w:rPr>
          <w:sz w:val="20"/>
        </w:rPr>
        <w:t>er median rents compared to LGA</w:t>
      </w:r>
      <w:r w:rsidRPr="00D2602C">
        <w:rPr>
          <w:sz w:val="20"/>
        </w:rPr>
        <w:t>s that a</w:t>
      </w:r>
      <w:r w:rsidR="00966CC5" w:rsidRPr="00D2602C">
        <w:rPr>
          <w:sz w:val="20"/>
        </w:rPr>
        <w:t>re</w:t>
      </w:r>
      <w:r w:rsidRPr="00D2602C">
        <w:rPr>
          <w:sz w:val="20"/>
        </w:rPr>
        <w:t xml:space="preserve"> further out. This is true of both units and houses.</w:t>
      </w:r>
      <w:r w:rsidR="00966CC5" w:rsidRPr="00D2602C">
        <w:rPr>
          <w:sz w:val="20"/>
        </w:rPr>
        <w:t xml:space="preserve"> </w:t>
      </w:r>
      <w:r w:rsidRPr="00D2602C">
        <w:rPr>
          <w:sz w:val="20"/>
        </w:rPr>
        <w:t>The difference between rents for houses and units is also greater the closer to the centre</w:t>
      </w:r>
      <w:r w:rsidR="004F6754" w:rsidRPr="00D2602C">
        <w:rPr>
          <w:sz w:val="20"/>
        </w:rPr>
        <w:t xml:space="preserve"> of Melbourne</w:t>
      </w:r>
      <w:r w:rsidRPr="00D2602C">
        <w:rPr>
          <w:sz w:val="20"/>
        </w:rPr>
        <w:t>.</w:t>
      </w:r>
      <w:r w:rsidR="00966CC5" w:rsidRPr="00D2602C">
        <w:rPr>
          <w:sz w:val="20"/>
        </w:rPr>
        <w:t xml:space="preserve"> </w:t>
      </w:r>
      <w:r w:rsidRPr="00D2602C">
        <w:rPr>
          <w:sz w:val="20"/>
        </w:rPr>
        <w:t>In some of the fringe LGA</w:t>
      </w:r>
      <w:r w:rsidR="00966CC5" w:rsidRPr="00D2602C">
        <w:rPr>
          <w:sz w:val="20"/>
        </w:rPr>
        <w:t>s</w:t>
      </w:r>
      <w:r w:rsidRPr="00D2602C">
        <w:rPr>
          <w:sz w:val="20"/>
        </w:rPr>
        <w:t xml:space="preserve"> there is little difference in rent for a two</w:t>
      </w:r>
      <w:r w:rsidR="00AF12A8" w:rsidRPr="00D2602C">
        <w:rPr>
          <w:sz w:val="20"/>
        </w:rPr>
        <w:t>-</w:t>
      </w:r>
      <w:r w:rsidRPr="00D2602C">
        <w:rPr>
          <w:sz w:val="20"/>
        </w:rPr>
        <w:t>bedroom house and</w:t>
      </w:r>
      <w:r w:rsidR="00B77E0B" w:rsidRPr="00D2602C">
        <w:rPr>
          <w:sz w:val="20"/>
        </w:rPr>
        <w:t xml:space="preserve"> a</w:t>
      </w:r>
      <w:r w:rsidRPr="00D2602C">
        <w:rPr>
          <w:sz w:val="20"/>
        </w:rPr>
        <w:t xml:space="preserve"> two</w:t>
      </w:r>
      <w:r w:rsidR="00AF12A8" w:rsidRPr="00D2602C">
        <w:rPr>
          <w:sz w:val="20"/>
        </w:rPr>
        <w:t>-</w:t>
      </w:r>
      <w:r w:rsidRPr="00D2602C">
        <w:rPr>
          <w:sz w:val="20"/>
        </w:rPr>
        <w:t>bedroom flat.</w:t>
      </w:r>
    </w:p>
    <w:p w:rsidR="00D2602C" w:rsidRPr="00D2602C" w:rsidRDefault="003C6A8A" w:rsidP="003565F0">
      <w:pPr>
        <w:rPr>
          <w:sz w:val="20"/>
        </w:rPr>
      </w:pPr>
      <w:r w:rsidRPr="00D2602C">
        <w:rPr>
          <w:sz w:val="20"/>
        </w:rPr>
        <w:t>In regional areas, there are</w:t>
      </w:r>
      <w:r w:rsidR="009534B7" w:rsidRPr="00D2602C">
        <w:rPr>
          <w:sz w:val="20"/>
        </w:rPr>
        <w:t xml:space="preserve"> generally fewer flats rented and therefore</w:t>
      </w:r>
      <w:r w:rsidR="004926D1" w:rsidRPr="00D2602C">
        <w:rPr>
          <w:sz w:val="20"/>
        </w:rPr>
        <w:t xml:space="preserve"> in most cases</w:t>
      </w:r>
      <w:r w:rsidR="009534B7" w:rsidRPr="00D2602C">
        <w:rPr>
          <w:sz w:val="20"/>
        </w:rPr>
        <w:t xml:space="preserve"> there is little difference between houses and units. </w:t>
      </w:r>
      <w:r w:rsidR="00385888" w:rsidRPr="00D2602C">
        <w:rPr>
          <w:sz w:val="20"/>
        </w:rPr>
        <w:t>In many LGA</w:t>
      </w:r>
      <w:r w:rsidR="00966CC5" w:rsidRPr="00D2602C">
        <w:rPr>
          <w:sz w:val="20"/>
        </w:rPr>
        <w:t>s</w:t>
      </w:r>
      <w:r w:rsidR="007C3B36" w:rsidRPr="00D2602C">
        <w:rPr>
          <w:sz w:val="20"/>
        </w:rPr>
        <w:t>,</w:t>
      </w:r>
      <w:r w:rsidR="00385888" w:rsidRPr="00D2602C">
        <w:rPr>
          <w:sz w:val="20"/>
        </w:rPr>
        <w:t xml:space="preserve"> there were no rentals of</w:t>
      </w:r>
      <w:r w:rsidR="000F691A" w:rsidRPr="00D2602C">
        <w:rPr>
          <w:sz w:val="20"/>
        </w:rPr>
        <w:t xml:space="preserve"> any </w:t>
      </w:r>
      <w:r w:rsidR="00385888" w:rsidRPr="00D2602C">
        <w:rPr>
          <w:sz w:val="20"/>
        </w:rPr>
        <w:t xml:space="preserve">flats of </w:t>
      </w:r>
      <w:r w:rsidR="004926D1" w:rsidRPr="00D2602C">
        <w:rPr>
          <w:sz w:val="20"/>
        </w:rPr>
        <w:t xml:space="preserve">either </w:t>
      </w:r>
      <w:r w:rsidR="00385888" w:rsidRPr="00D2602C">
        <w:rPr>
          <w:sz w:val="20"/>
        </w:rPr>
        <w:t>type</w:t>
      </w:r>
      <w:r w:rsidR="007C3B36" w:rsidRPr="00D2602C">
        <w:rPr>
          <w:sz w:val="20"/>
        </w:rPr>
        <w:t xml:space="preserve"> and therefore no median price is shown on the graphs. </w:t>
      </w:r>
      <w:r w:rsidR="00385888" w:rsidRPr="00D2602C">
        <w:rPr>
          <w:sz w:val="20"/>
        </w:rPr>
        <w:t xml:space="preserve"> </w:t>
      </w:r>
    </w:p>
    <w:p w:rsidR="00C02544" w:rsidRPr="00D2602C" w:rsidRDefault="00501120" w:rsidP="003565F0">
      <w:pPr>
        <w:rPr>
          <w:sz w:val="20"/>
        </w:rPr>
      </w:pPr>
      <w:r w:rsidRPr="00D2602C">
        <w:rPr>
          <w:noProof/>
          <w:lang w:eastAsia="en-AU"/>
        </w:rPr>
        <w:lastRenderedPageBreak/>
        <w:t xml:space="preserve"> </w:t>
      </w:r>
      <w:r w:rsidR="00D2602C" w:rsidRPr="00D2602C">
        <w:rPr>
          <w:noProof/>
          <w:lang w:eastAsia="en-AU"/>
        </w:rPr>
        <w:drawing>
          <wp:inline distT="0" distB="0" distL="0" distR="0" wp14:anchorId="35159B40" wp14:editId="30B05D72">
            <wp:extent cx="6145530" cy="9385161"/>
            <wp:effectExtent l="0" t="0" r="7620" b="698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02544" w:rsidRPr="00911E1B" w:rsidRDefault="00D2602C" w:rsidP="003565F0">
      <w:pPr>
        <w:rPr>
          <w:sz w:val="20"/>
          <w:highlight w:val="yellow"/>
        </w:rPr>
      </w:pPr>
      <w:r>
        <w:rPr>
          <w:noProof/>
          <w:lang w:eastAsia="en-AU"/>
        </w:rPr>
        <w:lastRenderedPageBreak/>
        <w:drawing>
          <wp:inline distT="0" distB="0" distL="0" distR="0" wp14:anchorId="3D55A9BC" wp14:editId="2CFEF100">
            <wp:extent cx="6079253" cy="9341485"/>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02544" w:rsidRPr="00911E1B" w:rsidRDefault="00D2602C" w:rsidP="003565F0">
      <w:pPr>
        <w:rPr>
          <w:sz w:val="20"/>
          <w:highlight w:val="yellow"/>
        </w:rPr>
      </w:pPr>
      <w:r>
        <w:rPr>
          <w:noProof/>
          <w:lang w:eastAsia="en-AU"/>
        </w:rPr>
        <w:lastRenderedPageBreak/>
        <w:drawing>
          <wp:inline distT="0" distB="0" distL="0" distR="0" wp14:anchorId="508E4D6C" wp14:editId="013BCE91">
            <wp:extent cx="6169688" cy="9103807"/>
            <wp:effectExtent l="0" t="0" r="2540" b="254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F6150" w:rsidRPr="00911E1B" w:rsidRDefault="00D2602C">
      <w:pPr>
        <w:rPr>
          <w:b/>
          <w:sz w:val="20"/>
          <w:highlight w:val="yellow"/>
        </w:rPr>
      </w:pPr>
      <w:bookmarkStart w:id="57" w:name="_Toc437436638"/>
      <w:r>
        <w:rPr>
          <w:noProof/>
          <w:lang w:eastAsia="en-AU"/>
        </w:rPr>
        <w:lastRenderedPageBreak/>
        <w:drawing>
          <wp:inline distT="0" distB="0" distL="0" distR="0" wp14:anchorId="4A81D8DA" wp14:editId="5CE385A7">
            <wp:extent cx="6219930" cy="9282430"/>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F6150" w:rsidRPr="00911E1B">
        <w:rPr>
          <w:b/>
          <w:sz w:val="20"/>
          <w:highlight w:val="yellow"/>
        </w:rPr>
        <w:br w:type="page"/>
      </w:r>
    </w:p>
    <w:p w:rsidR="00225ABE" w:rsidRPr="00D47500" w:rsidRDefault="00225ABE" w:rsidP="00225ABE">
      <w:pPr>
        <w:pStyle w:val="Heading2numbered"/>
        <w:rPr>
          <w:color w:val="002060"/>
        </w:rPr>
      </w:pPr>
      <w:bookmarkStart w:id="58" w:name="_Toc468972273"/>
      <w:r w:rsidRPr="00D47500">
        <w:rPr>
          <w:color w:val="002060"/>
        </w:rPr>
        <w:lastRenderedPageBreak/>
        <w:t>Residential Rental Bonds</w:t>
      </w:r>
      <w:bookmarkEnd w:id="58"/>
    </w:p>
    <w:p w:rsidR="00A46978" w:rsidRPr="00D47500" w:rsidRDefault="00225ABE" w:rsidP="00420CBD">
      <w:pPr>
        <w:rPr>
          <w:sz w:val="20"/>
          <w:szCs w:val="20"/>
        </w:rPr>
      </w:pPr>
      <w:r w:rsidRPr="00D47500">
        <w:rPr>
          <w:sz w:val="20"/>
          <w:szCs w:val="20"/>
        </w:rPr>
        <w:t xml:space="preserve">At the end of </w:t>
      </w:r>
      <w:r w:rsidR="00D47500" w:rsidRPr="00D47500">
        <w:rPr>
          <w:sz w:val="20"/>
          <w:szCs w:val="20"/>
        </w:rPr>
        <w:t>December 2016, there were 553</w:t>
      </w:r>
      <w:r w:rsidR="00D5664F" w:rsidRPr="00D47500">
        <w:rPr>
          <w:sz w:val="20"/>
          <w:szCs w:val="20"/>
        </w:rPr>
        <w:t>,</w:t>
      </w:r>
      <w:r w:rsidR="00D47500" w:rsidRPr="00D47500">
        <w:rPr>
          <w:sz w:val="20"/>
          <w:szCs w:val="20"/>
        </w:rPr>
        <w:t>469</w:t>
      </w:r>
      <w:r w:rsidRPr="00D47500">
        <w:rPr>
          <w:sz w:val="20"/>
          <w:szCs w:val="20"/>
        </w:rPr>
        <w:t xml:space="preserve"> active residential rental bonds in Victoria. As there is generally one bond per residential rental property</w:t>
      </w:r>
      <w:r w:rsidR="00600F55" w:rsidRPr="00D47500">
        <w:rPr>
          <w:sz w:val="20"/>
          <w:szCs w:val="20"/>
        </w:rPr>
        <w:t>,</w:t>
      </w:r>
      <w:r w:rsidR="00C833F3" w:rsidRPr="00D47500">
        <w:rPr>
          <w:sz w:val="20"/>
          <w:szCs w:val="20"/>
        </w:rPr>
        <w:t xml:space="preserve"> </w:t>
      </w:r>
      <w:r w:rsidR="00600F55" w:rsidRPr="00D47500">
        <w:rPr>
          <w:sz w:val="20"/>
          <w:szCs w:val="20"/>
        </w:rPr>
        <w:t>active b</w:t>
      </w:r>
      <w:r w:rsidR="00C833F3" w:rsidRPr="00D47500">
        <w:rPr>
          <w:sz w:val="20"/>
          <w:szCs w:val="20"/>
        </w:rPr>
        <w:t>ond numbers are</w:t>
      </w:r>
      <w:r w:rsidRPr="00D47500">
        <w:rPr>
          <w:sz w:val="20"/>
          <w:szCs w:val="20"/>
        </w:rPr>
        <w:t xml:space="preserve"> a good indicator of the number </w:t>
      </w:r>
      <w:r w:rsidR="00A67B1C" w:rsidRPr="00D47500">
        <w:rPr>
          <w:sz w:val="20"/>
          <w:szCs w:val="20"/>
        </w:rPr>
        <w:t>of rental properties in Victoria</w:t>
      </w:r>
      <w:r w:rsidRPr="00D47500">
        <w:rPr>
          <w:sz w:val="20"/>
          <w:szCs w:val="20"/>
        </w:rPr>
        <w:t>. The number of bonds has increase</w:t>
      </w:r>
      <w:r w:rsidR="000F691A" w:rsidRPr="00D47500">
        <w:rPr>
          <w:sz w:val="20"/>
          <w:szCs w:val="20"/>
        </w:rPr>
        <w:t>d</w:t>
      </w:r>
      <w:r w:rsidR="00D5664F" w:rsidRPr="00D47500">
        <w:rPr>
          <w:sz w:val="20"/>
          <w:szCs w:val="20"/>
        </w:rPr>
        <w:t xml:space="preserve"> </w:t>
      </w:r>
      <w:r w:rsidR="00600F55" w:rsidRPr="00D47500">
        <w:rPr>
          <w:sz w:val="20"/>
          <w:szCs w:val="20"/>
        </w:rPr>
        <w:t>4</w:t>
      </w:r>
      <w:r w:rsidR="00D47500" w:rsidRPr="00D47500">
        <w:rPr>
          <w:sz w:val="20"/>
          <w:szCs w:val="20"/>
        </w:rPr>
        <w:t>.2</w:t>
      </w:r>
      <w:r w:rsidR="00600F55" w:rsidRPr="00D47500">
        <w:rPr>
          <w:sz w:val="20"/>
          <w:szCs w:val="20"/>
        </w:rPr>
        <w:t>% in the past year a</w:t>
      </w:r>
      <w:r w:rsidR="00D47500" w:rsidRPr="00D47500">
        <w:rPr>
          <w:sz w:val="20"/>
          <w:szCs w:val="20"/>
        </w:rPr>
        <w:t>nd 30.1</w:t>
      </w:r>
      <w:r w:rsidRPr="00D47500">
        <w:rPr>
          <w:sz w:val="20"/>
          <w:szCs w:val="20"/>
        </w:rPr>
        <w:t xml:space="preserve">% in the past </w:t>
      </w:r>
      <w:r w:rsidR="00716793" w:rsidRPr="00D47500">
        <w:rPr>
          <w:sz w:val="20"/>
          <w:szCs w:val="20"/>
        </w:rPr>
        <w:t>five</w:t>
      </w:r>
      <w:r w:rsidRPr="00D47500">
        <w:rPr>
          <w:sz w:val="20"/>
          <w:szCs w:val="20"/>
        </w:rPr>
        <w:t xml:space="preserve"> years.</w:t>
      </w:r>
      <w:r w:rsidR="00B77E0B" w:rsidRPr="00D47500">
        <w:rPr>
          <w:sz w:val="20"/>
          <w:szCs w:val="20"/>
        </w:rPr>
        <w:t xml:space="preserve"> </w:t>
      </w:r>
    </w:p>
    <w:p w:rsidR="00600F55" w:rsidRPr="00911E1B" w:rsidRDefault="00D47500" w:rsidP="00420CBD">
      <w:pPr>
        <w:rPr>
          <w:sz w:val="20"/>
          <w:szCs w:val="20"/>
          <w:highlight w:val="yellow"/>
        </w:rPr>
      </w:pPr>
      <w:r>
        <w:rPr>
          <w:noProof/>
          <w:lang w:eastAsia="en-AU"/>
        </w:rPr>
        <w:drawing>
          <wp:inline distT="0" distB="0" distL="0" distR="0" wp14:anchorId="39770C08" wp14:editId="4FEA13AA">
            <wp:extent cx="6209665" cy="4676775"/>
            <wp:effectExtent l="0" t="0" r="635"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00F55" w:rsidRPr="00D47500" w:rsidRDefault="00082734" w:rsidP="00420CBD">
      <w:pPr>
        <w:rPr>
          <w:sz w:val="20"/>
          <w:szCs w:val="20"/>
        </w:rPr>
      </w:pPr>
      <w:r w:rsidRPr="00D47500">
        <w:rPr>
          <w:sz w:val="20"/>
          <w:szCs w:val="20"/>
        </w:rPr>
        <w:t xml:space="preserve">The split of </w:t>
      </w:r>
      <w:r w:rsidR="009310FB">
        <w:rPr>
          <w:sz w:val="20"/>
          <w:szCs w:val="20"/>
        </w:rPr>
        <w:t>bonds between metropolitan and r</w:t>
      </w:r>
      <w:r w:rsidRPr="00D47500">
        <w:rPr>
          <w:sz w:val="20"/>
          <w:szCs w:val="20"/>
        </w:rPr>
        <w:t>egional has remained fairly steady at around 80% in Melbourne; however last yea</w:t>
      </w:r>
      <w:r w:rsidR="00122436">
        <w:rPr>
          <w:sz w:val="20"/>
          <w:szCs w:val="20"/>
        </w:rPr>
        <w:t>r 93% of the growth was in the m</w:t>
      </w:r>
      <w:r w:rsidRPr="00D47500">
        <w:rPr>
          <w:sz w:val="20"/>
          <w:szCs w:val="20"/>
        </w:rPr>
        <w:t xml:space="preserve">etropolitan area. </w:t>
      </w:r>
    </w:p>
    <w:p w:rsidR="00A46978" w:rsidRPr="00D47500" w:rsidRDefault="00A46978" w:rsidP="00420CBD">
      <w:pPr>
        <w:rPr>
          <w:sz w:val="20"/>
          <w:szCs w:val="20"/>
        </w:rPr>
      </w:pPr>
      <w:r w:rsidRPr="00D47500">
        <w:rPr>
          <w:sz w:val="20"/>
          <w:szCs w:val="20"/>
        </w:rPr>
        <w:t xml:space="preserve">In </w:t>
      </w:r>
      <w:r w:rsidR="003E5800" w:rsidRPr="00D47500">
        <w:rPr>
          <w:sz w:val="20"/>
          <w:szCs w:val="20"/>
        </w:rPr>
        <w:t xml:space="preserve">the </w:t>
      </w:r>
      <w:r w:rsidR="00122436">
        <w:rPr>
          <w:sz w:val="20"/>
          <w:szCs w:val="20"/>
        </w:rPr>
        <w:t>past five</w:t>
      </w:r>
      <w:r w:rsidRPr="00D47500">
        <w:rPr>
          <w:sz w:val="20"/>
          <w:szCs w:val="20"/>
        </w:rPr>
        <w:t xml:space="preserve"> years the number of active rental bonds has increased by </w:t>
      </w:r>
      <w:r w:rsidR="003E5800" w:rsidRPr="00D47500">
        <w:rPr>
          <w:sz w:val="20"/>
          <w:szCs w:val="20"/>
        </w:rPr>
        <w:t xml:space="preserve">almost </w:t>
      </w:r>
      <w:r w:rsidRPr="00D47500">
        <w:rPr>
          <w:sz w:val="20"/>
          <w:szCs w:val="20"/>
        </w:rPr>
        <w:t>128,000. The estimated net number of new residential dwellings in Victoria</w:t>
      </w:r>
      <w:r w:rsidR="003E5800" w:rsidRPr="00D47500">
        <w:rPr>
          <w:sz w:val="20"/>
          <w:szCs w:val="20"/>
        </w:rPr>
        <w:t xml:space="preserve"> in the same period is 255,000. Therefore</w:t>
      </w:r>
      <w:r w:rsidR="004926D1" w:rsidRPr="00D47500">
        <w:rPr>
          <w:sz w:val="20"/>
          <w:szCs w:val="20"/>
        </w:rPr>
        <w:t>,</w:t>
      </w:r>
      <w:r w:rsidR="003E5800" w:rsidRPr="00D47500">
        <w:rPr>
          <w:sz w:val="20"/>
          <w:szCs w:val="20"/>
        </w:rPr>
        <w:t xml:space="preserve"> </w:t>
      </w:r>
      <w:r w:rsidR="003E4040" w:rsidRPr="00D47500">
        <w:rPr>
          <w:sz w:val="20"/>
          <w:szCs w:val="20"/>
        </w:rPr>
        <w:t xml:space="preserve">there has been a ratio of one new rental for every two additional dwellings for </w:t>
      </w:r>
      <w:r w:rsidR="004926D1" w:rsidRPr="00D47500">
        <w:rPr>
          <w:sz w:val="20"/>
          <w:szCs w:val="20"/>
        </w:rPr>
        <w:t xml:space="preserve">the </w:t>
      </w:r>
      <w:r w:rsidR="003E4040" w:rsidRPr="00D47500">
        <w:rPr>
          <w:sz w:val="20"/>
          <w:szCs w:val="20"/>
        </w:rPr>
        <w:t>past five years. This is much higher than the ratio of one rental per three dwellings that existed at the 2011 census.</w:t>
      </w:r>
      <w:r w:rsidR="003E5800" w:rsidRPr="00D47500">
        <w:rPr>
          <w:sz w:val="20"/>
          <w:szCs w:val="20"/>
        </w:rPr>
        <w:t xml:space="preserve"> </w:t>
      </w:r>
      <w:r w:rsidRPr="00D47500">
        <w:rPr>
          <w:sz w:val="20"/>
          <w:szCs w:val="20"/>
        </w:rPr>
        <w:t xml:space="preserve">With the release of </w:t>
      </w:r>
      <w:r w:rsidR="003E4040" w:rsidRPr="00D47500">
        <w:rPr>
          <w:sz w:val="20"/>
          <w:szCs w:val="20"/>
        </w:rPr>
        <w:t xml:space="preserve">the 2016 </w:t>
      </w:r>
      <w:r w:rsidRPr="00D47500">
        <w:rPr>
          <w:sz w:val="20"/>
          <w:szCs w:val="20"/>
        </w:rPr>
        <w:t xml:space="preserve">census data later in 2017, it is highly likely that the </w:t>
      </w:r>
      <w:r w:rsidR="003E4040" w:rsidRPr="00D47500">
        <w:rPr>
          <w:sz w:val="20"/>
          <w:szCs w:val="20"/>
        </w:rPr>
        <w:t>percentage</w:t>
      </w:r>
      <w:r w:rsidRPr="00D47500">
        <w:rPr>
          <w:sz w:val="20"/>
          <w:szCs w:val="20"/>
        </w:rPr>
        <w:t xml:space="preserve"> of owner occupier dwellings in Victoria will have fallen significantly.     </w:t>
      </w:r>
    </w:p>
    <w:p w:rsidR="00225ABE" w:rsidRPr="00D47500" w:rsidRDefault="00225ABE" w:rsidP="00420CBD">
      <w:pPr>
        <w:rPr>
          <w:sz w:val="20"/>
          <w:szCs w:val="20"/>
        </w:rPr>
      </w:pPr>
      <w:r w:rsidRPr="00D47500">
        <w:rPr>
          <w:sz w:val="20"/>
          <w:szCs w:val="20"/>
        </w:rPr>
        <w:t xml:space="preserve">At the local government level, the City of Melbourne had the most active bonds </w:t>
      </w:r>
      <w:r w:rsidR="00A67B1C" w:rsidRPr="00D47500">
        <w:rPr>
          <w:sz w:val="20"/>
          <w:szCs w:val="20"/>
        </w:rPr>
        <w:t xml:space="preserve">in the state and West </w:t>
      </w:r>
      <w:proofErr w:type="spellStart"/>
      <w:r w:rsidR="00A67B1C" w:rsidRPr="00D47500">
        <w:rPr>
          <w:sz w:val="20"/>
          <w:szCs w:val="20"/>
        </w:rPr>
        <w:t>Wimmeria</w:t>
      </w:r>
      <w:proofErr w:type="spellEnd"/>
      <w:r w:rsidR="00A67B1C" w:rsidRPr="00D47500">
        <w:rPr>
          <w:sz w:val="20"/>
          <w:szCs w:val="20"/>
        </w:rPr>
        <w:t xml:space="preserve"> had the least.</w:t>
      </w:r>
      <w:r w:rsidRPr="00D47500">
        <w:rPr>
          <w:sz w:val="20"/>
          <w:szCs w:val="20"/>
        </w:rPr>
        <w:t xml:space="preserve"> </w:t>
      </w:r>
      <w:r w:rsidR="00082734" w:rsidRPr="00D47500">
        <w:rPr>
          <w:sz w:val="20"/>
          <w:szCs w:val="20"/>
        </w:rPr>
        <w:t>Manningham had the greatest growth in residential bonds with 8.8%</w:t>
      </w:r>
      <w:r w:rsidR="003E5800" w:rsidRPr="00D47500">
        <w:rPr>
          <w:sz w:val="20"/>
          <w:szCs w:val="20"/>
        </w:rPr>
        <w:t>,</w:t>
      </w:r>
      <w:r w:rsidR="00082734" w:rsidRPr="00D47500">
        <w:rPr>
          <w:sz w:val="20"/>
          <w:szCs w:val="20"/>
        </w:rPr>
        <w:t xml:space="preserve"> whereas</w:t>
      </w:r>
      <w:r w:rsidR="00D47500" w:rsidRPr="00D47500">
        <w:rPr>
          <w:sz w:val="20"/>
          <w:szCs w:val="20"/>
        </w:rPr>
        <w:t xml:space="preserve"> Wellington</w:t>
      </w:r>
      <w:r w:rsidR="00082734" w:rsidRPr="00D47500">
        <w:rPr>
          <w:sz w:val="20"/>
          <w:szCs w:val="20"/>
        </w:rPr>
        <w:t xml:space="preserve"> was the LGA with the greatest decrease in rental bonds in the past year. </w:t>
      </w:r>
    </w:p>
    <w:p w:rsidR="003C3F41" w:rsidRPr="00911E1B" w:rsidRDefault="003C3F41" w:rsidP="00420CBD">
      <w:pPr>
        <w:rPr>
          <w:sz w:val="20"/>
          <w:szCs w:val="20"/>
          <w:highlight w:val="yellow"/>
        </w:rPr>
      </w:pPr>
    </w:p>
    <w:p w:rsidR="00225ABE" w:rsidRPr="00911E1B" w:rsidRDefault="00D47500" w:rsidP="00420CBD">
      <w:pPr>
        <w:rPr>
          <w:highlight w:val="yellow"/>
        </w:rPr>
      </w:pPr>
      <w:r>
        <w:rPr>
          <w:noProof/>
          <w:lang w:eastAsia="en-AU"/>
        </w:rPr>
        <w:lastRenderedPageBreak/>
        <w:drawing>
          <wp:inline distT="0" distB="0" distL="0" distR="0" wp14:anchorId="5B345736" wp14:editId="4251EFED">
            <wp:extent cx="6086475" cy="9267825"/>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2208" w:rsidRPr="00911E1B" w:rsidRDefault="00D47500" w:rsidP="00420CBD">
      <w:pPr>
        <w:rPr>
          <w:highlight w:val="yellow"/>
        </w:rPr>
      </w:pPr>
      <w:r>
        <w:rPr>
          <w:noProof/>
          <w:lang w:eastAsia="en-AU"/>
        </w:rPr>
        <w:lastRenderedPageBreak/>
        <w:drawing>
          <wp:inline distT="0" distB="0" distL="0" distR="0" wp14:anchorId="0589CAFD" wp14:editId="3B9D8480">
            <wp:extent cx="6086475" cy="9039225"/>
            <wp:effectExtent l="0" t="0" r="9525" b="952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25ABE" w:rsidRPr="00911E1B" w:rsidRDefault="00A67B1C" w:rsidP="00420CBD">
      <w:pPr>
        <w:rPr>
          <w:noProof/>
          <w:highlight w:val="yellow"/>
          <w:lang w:eastAsia="en-AU"/>
        </w:rPr>
      </w:pPr>
      <w:r w:rsidRPr="00911E1B">
        <w:rPr>
          <w:noProof/>
          <w:highlight w:val="yellow"/>
          <w:lang w:eastAsia="en-AU"/>
        </w:rPr>
        <w:t xml:space="preserve"> </w:t>
      </w:r>
    </w:p>
    <w:p w:rsidR="00D55AAF" w:rsidRDefault="00D47500" w:rsidP="001C35C3">
      <w:pPr>
        <w:pStyle w:val="Heading1"/>
        <w:rPr>
          <w:color w:val="002060"/>
          <w:sz w:val="48"/>
          <w:highlight w:val="yellow"/>
        </w:rPr>
      </w:pPr>
      <w:bookmarkStart w:id="59" w:name="_Toc462905437"/>
      <w:bookmarkStart w:id="60" w:name="_Toc468959254"/>
      <w:bookmarkStart w:id="61" w:name="_Toc468972274"/>
      <w:r>
        <w:rPr>
          <w:noProof/>
          <w:lang w:eastAsia="en-AU"/>
        </w:rPr>
        <w:lastRenderedPageBreak/>
        <w:drawing>
          <wp:inline distT="0" distB="0" distL="0" distR="0" wp14:anchorId="66BADD4F" wp14:editId="5AD2737A">
            <wp:extent cx="6086475" cy="914400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47500" w:rsidRDefault="00D47500" w:rsidP="00D47500">
      <w:pPr>
        <w:rPr>
          <w:highlight w:val="yellow"/>
        </w:rPr>
      </w:pPr>
    </w:p>
    <w:p w:rsidR="00D55AAF" w:rsidRPr="00911E1B" w:rsidRDefault="00D47500">
      <w:pPr>
        <w:rPr>
          <w:rFonts w:asciiTheme="majorHAnsi" w:eastAsiaTheme="majorEastAsia" w:hAnsiTheme="majorHAnsi" w:cstheme="majorBidi"/>
          <w:b/>
          <w:caps/>
          <w:color w:val="002060"/>
          <w:sz w:val="48"/>
          <w:szCs w:val="36"/>
          <w:highlight w:val="yellow"/>
        </w:rPr>
      </w:pPr>
      <w:r>
        <w:rPr>
          <w:noProof/>
          <w:lang w:eastAsia="en-AU"/>
        </w:rPr>
        <w:lastRenderedPageBreak/>
        <w:drawing>
          <wp:inline distT="0" distB="0" distL="0" distR="0" wp14:anchorId="54EB72EE" wp14:editId="33150629">
            <wp:extent cx="6086475" cy="8991600"/>
            <wp:effectExtent l="0" t="0" r="9525"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D55AAF" w:rsidRPr="00911E1B">
        <w:rPr>
          <w:color w:val="002060"/>
          <w:sz w:val="48"/>
          <w:highlight w:val="yellow"/>
        </w:rPr>
        <w:br w:type="page"/>
      </w:r>
    </w:p>
    <w:p w:rsidR="001C35C3" w:rsidRPr="005938BF" w:rsidRDefault="001C35C3" w:rsidP="001C35C3">
      <w:pPr>
        <w:pStyle w:val="Heading1"/>
        <w:rPr>
          <w:color w:val="002060"/>
          <w:sz w:val="48"/>
        </w:rPr>
      </w:pPr>
      <w:r w:rsidRPr="005938BF">
        <w:rPr>
          <w:color w:val="002060"/>
          <w:sz w:val="48"/>
        </w:rPr>
        <w:lastRenderedPageBreak/>
        <w:t>ECONOMIC – EMPLOYMENT</w:t>
      </w:r>
      <w:bookmarkEnd w:id="59"/>
      <w:bookmarkEnd w:id="60"/>
      <w:bookmarkEnd w:id="61"/>
    </w:p>
    <w:p w:rsidR="003949A3" w:rsidRPr="005938BF" w:rsidRDefault="0054382A" w:rsidP="003C4829">
      <w:pPr>
        <w:pStyle w:val="Heading2numbered"/>
        <w:rPr>
          <w:color w:val="002060"/>
        </w:rPr>
      </w:pPr>
      <w:bookmarkStart w:id="62" w:name="_Toc468972275"/>
      <w:r w:rsidRPr="005938BF">
        <w:rPr>
          <w:color w:val="002060"/>
        </w:rPr>
        <w:t>Unemployment</w:t>
      </w:r>
      <w:bookmarkEnd w:id="57"/>
      <w:bookmarkEnd w:id="62"/>
      <w:r w:rsidRPr="005938BF">
        <w:rPr>
          <w:color w:val="002060"/>
        </w:rPr>
        <w:t xml:space="preserve"> </w:t>
      </w:r>
    </w:p>
    <w:p w:rsidR="0050486F" w:rsidRPr="005938BF" w:rsidRDefault="0054382A" w:rsidP="003565F0">
      <w:pPr>
        <w:rPr>
          <w:sz w:val="20"/>
        </w:rPr>
      </w:pPr>
      <w:r w:rsidRPr="005938BF">
        <w:rPr>
          <w:sz w:val="20"/>
        </w:rPr>
        <w:t>The lates</w:t>
      </w:r>
      <w:r w:rsidR="00CC1CB6" w:rsidRPr="005938BF">
        <w:rPr>
          <w:sz w:val="20"/>
        </w:rPr>
        <w:t>t</w:t>
      </w:r>
      <w:r w:rsidR="00666B54" w:rsidRPr="005938BF">
        <w:rPr>
          <w:sz w:val="20"/>
        </w:rPr>
        <w:t xml:space="preserve"> ABS labour force data (</w:t>
      </w:r>
      <w:r w:rsidR="005938BF" w:rsidRPr="005938BF">
        <w:rPr>
          <w:sz w:val="20"/>
        </w:rPr>
        <w:t>April</w:t>
      </w:r>
      <w:r w:rsidR="005A0E53" w:rsidRPr="005938BF">
        <w:rPr>
          <w:sz w:val="20"/>
        </w:rPr>
        <w:t xml:space="preserve"> </w:t>
      </w:r>
      <w:r w:rsidR="000850CD" w:rsidRPr="005938BF">
        <w:rPr>
          <w:sz w:val="20"/>
        </w:rPr>
        <w:t>201</w:t>
      </w:r>
      <w:r w:rsidR="005A0E53" w:rsidRPr="005938BF">
        <w:rPr>
          <w:sz w:val="20"/>
        </w:rPr>
        <w:t>7</w:t>
      </w:r>
      <w:r w:rsidRPr="005938BF">
        <w:rPr>
          <w:sz w:val="20"/>
        </w:rPr>
        <w:t xml:space="preserve">) puts Victoria’s </w:t>
      </w:r>
      <w:r w:rsidR="00716793" w:rsidRPr="005938BF">
        <w:rPr>
          <w:sz w:val="20"/>
        </w:rPr>
        <w:t>u</w:t>
      </w:r>
      <w:r w:rsidRPr="005938BF">
        <w:rPr>
          <w:sz w:val="20"/>
        </w:rPr>
        <w:t>nemployment</w:t>
      </w:r>
      <w:r w:rsidR="00CC1CB6" w:rsidRPr="005938BF">
        <w:rPr>
          <w:sz w:val="20"/>
        </w:rPr>
        <w:t xml:space="preserve"> rate at </w:t>
      </w:r>
      <w:r w:rsidR="005938BF" w:rsidRPr="005938BF">
        <w:rPr>
          <w:sz w:val="20"/>
        </w:rPr>
        <w:t>6.1</w:t>
      </w:r>
      <w:r w:rsidR="001C3970" w:rsidRPr="005938BF">
        <w:rPr>
          <w:sz w:val="20"/>
        </w:rPr>
        <w:t>%</w:t>
      </w:r>
      <w:r w:rsidR="00B77E0B" w:rsidRPr="005938BF">
        <w:rPr>
          <w:sz w:val="20"/>
        </w:rPr>
        <w:t>.</w:t>
      </w:r>
      <w:r w:rsidR="00E275A5">
        <w:rPr>
          <w:sz w:val="20"/>
        </w:rPr>
        <w:t xml:space="preserve"> It has remained around 6% over</w:t>
      </w:r>
      <w:r w:rsidR="005938BF" w:rsidRPr="005938BF">
        <w:rPr>
          <w:sz w:val="20"/>
        </w:rPr>
        <w:t xml:space="preserve"> the past two years. </w:t>
      </w:r>
    </w:p>
    <w:p w:rsidR="00C06F6E" w:rsidRPr="00911E1B" w:rsidRDefault="005938BF" w:rsidP="003565F0">
      <w:pPr>
        <w:rPr>
          <w:sz w:val="20"/>
          <w:highlight w:val="yellow"/>
        </w:rPr>
      </w:pPr>
      <w:r>
        <w:rPr>
          <w:noProof/>
          <w:lang w:eastAsia="en-AU"/>
        </w:rPr>
        <w:drawing>
          <wp:inline distT="0" distB="0" distL="0" distR="0" wp14:anchorId="33B127E1" wp14:editId="6082714A">
            <wp:extent cx="6209665" cy="4753610"/>
            <wp:effectExtent l="0" t="0" r="635" b="889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06F6E" w:rsidRPr="005938BF" w:rsidRDefault="00C06F6E" w:rsidP="003565F0">
      <w:pPr>
        <w:rPr>
          <w:sz w:val="20"/>
        </w:rPr>
      </w:pPr>
    </w:p>
    <w:p w:rsidR="001F1E50" w:rsidRPr="005938BF" w:rsidRDefault="001C3970" w:rsidP="00D55AAF">
      <w:pPr>
        <w:jc w:val="both"/>
        <w:rPr>
          <w:sz w:val="20"/>
        </w:rPr>
      </w:pPr>
      <w:r w:rsidRPr="005938BF">
        <w:rPr>
          <w:sz w:val="20"/>
        </w:rPr>
        <w:t>The Department of Employment produces labour market figures for smaller areas.</w:t>
      </w:r>
      <w:r w:rsidR="00966CC5" w:rsidRPr="005938BF">
        <w:rPr>
          <w:sz w:val="20"/>
        </w:rPr>
        <w:t xml:space="preserve"> </w:t>
      </w:r>
      <w:r w:rsidRPr="005938BF">
        <w:rPr>
          <w:sz w:val="20"/>
        </w:rPr>
        <w:t xml:space="preserve">The latest set released was for the </w:t>
      </w:r>
      <w:r w:rsidR="005938BF" w:rsidRPr="005938BF">
        <w:rPr>
          <w:sz w:val="20"/>
        </w:rPr>
        <w:t>December</w:t>
      </w:r>
      <w:r w:rsidR="00666B54" w:rsidRPr="005938BF">
        <w:rPr>
          <w:sz w:val="20"/>
        </w:rPr>
        <w:t xml:space="preserve"> </w:t>
      </w:r>
      <w:r w:rsidRPr="005938BF">
        <w:rPr>
          <w:sz w:val="20"/>
        </w:rPr>
        <w:t>201</w:t>
      </w:r>
      <w:r w:rsidR="00666B54" w:rsidRPr="005938BF">
        <w:rPr>
          <w:sz w:val="20"/>
        </w:rPr>
        <w:t>6</w:t>
      </w:r>
      <w:r w:rsidRPr="005938BF">
        <w:rPr>
          <w:sz w:val="20"/>
        </w:rPr>
        <w:t xml:space="preserve"> quarter.</w:t>
      </w:r>
      <w:r w:rsidR="00966CC5" w:rsidRPr="005938BF">
        <w:rPr>
          <w:sz w:val="20"/>
        </w:rPr>
        <w:t xml:space="preserve"> </w:t>
      </w:r>
      <w:r w:rsidR="005938BF" w:rsidRPr="005938BF">
        <w:rPr>
          <w:sz w:val="20"/>
        </w:rPr>
        <w:t xml:space="preserve">Latrobe (11.2%) and </w:t>
      </w:r>
      <w:r w:rsidR="0050486F" w:rsidRPr="005938BF">
        <w:rPr>
          <w:sz w:val="20"/>
        </w:rPr>
        <w:t>Greater Dandenong</w:t>
      </w:r>
      <w:r w:rsidR="005938BF" w:rsidRPr="005938BF">
        <w:rPr>
          <w:sz w:val="20"/>
        </w:rPr>
        <w:t xml:space="preserve"> (11.1%)</w:t>
      </w:r>
      <w:r w:rsidR="0050486F" w:rsidRPr="005938BF">
        <w:rPr>
          <w:sz w:val="20"/>
        </w:rPr>
        <w:t xml:space="preserve"> ha</w:t>
      </w:r>
      <w:r w:rsidR="00E5387D" w:rsidRPr="005938BF">
        <w:rPr>
          <w:sz w:val="20"/>
        </w:rPr>
        <w:t>d</w:t>
      </w:r>
      <w:r w:rsidR="0050486F" w:rsidRPr="005938BF">
        <w:rPr>
          <w:sz w:val="20"/>
        </w:rPr>
        <w:t xml:space="preserve"> the highest unemployment rate </w:t>
      </w:r>
      <w:r w:rsidR="005A0E53" w:rsidRPr="005938BF">
        <w:rPr>
          <w:sz w:val="20"/>
        </w:rPr>
        <w:t xml:space="preserve">for </w:t>
      </w:r>
      <w:r w:rsidR="00966CC5" w:rsidRPr="005938BF">
        <w:rPr>
          <w:sz w:val="20"/>
        </w:rPr>
        <w:t>LGA</w:t>
      </w:r>
      <w:r w:rsidR="005A0E53" w:rsidRPr="005938BF">
        <w:rPr>
          <w:sz w:val="20"/>
        </w:rPr>
        <w:t>s</w:t>
      </w:r>
      <w:r w:rsidR="00966CC5" w:rsidRPr="005938BF">
        <w:rPr>
          <w:sz w:val="20"/>
        </w:rPr>
        <w:t xml:space="preserve"> </w:t>
      </w:r>
      <w:r w:rsidR="0050486F" w:rsidRPr="005938BF">
        <w:rPr>
          <w:sz w:val="20"/>
        </w:rPr>
        <w:t>in</w:t>
      </w:r>
      <w:r w:rsidR="00E76CF2" w:rsidRPr="005938BF">
        <w:rPr>
          <w:sz w:val="20"/>
        </w:rPr>
        <w:t xml:space="preserve"> the </w:t>
      </w:r>
      <w:r w:rsidR="00716793" w:rsidRPr="005938BF">
        <w:rPr>
          <w:sz w:val="20"/>
        </w:rPr>
        <w:t>s</w:t>
      </w:r>
      <w:r w:rsidR="005A0E53" w:rsidRPr="005938BF">
        <w:rPr>
          <w:sz w:val="20"/>
        </w:rPr>
        <w:t xml:space="preserve">tate </w:t>
      </w:r>
      <w:r w:rsidR="00E5387D" w:rsidRPr="005938BF">
        <w:rPr>
          <w:sz w:val="20"/>
        </w:rPr>
        <w:t xml:space="preserve">and </w:t>
      </w:r>
      <w:r w:rsidR="005A0E53" w:rsidRPr="005938BF">
        <w:rPr>
          <w:sz w:val="20"/>
        </w:rPr>
        <w:t>Nillumbik</w:t>
      </w:r>
      <w:r w:rsidR="00E5387D" w:rsidRPr="005938BF">
        <w:rPr>
          <w:sz w:val="20"/>
        </w:rPr>
        <w:t xml:space="preserve"> had the lowest (</w:t>
      </w:r>
      <w:r w:rsidR="00666B54" w:rsidRPr="005938BF">
        <w:rPr>
          <w:sz w:val="20"/>
        </w:rPr>
        <w:t>2</w:t>
      </w:r>
      <w:r w:rsidR="005938BF" w:rsidRPr="005938BF">
        <w:rPr>
          <w:sz w:val="20"/>
        </w:rPr>
        <w:t>.1</w:t>
      </w:r>
      <w:r w:rsidR="00E5387D" w:rsidRPr="005938BF">
        <w:rPr>
          <w:sz w:val="20"/>
        </w:rPr>
        <w:t>%).</w:t>
      </w:r>
      <w:r w:rsidR="001F1E50" w:rsidRPr="005938BF">
        <w:rPr>
          <w:sz w:val="20"/>
        </w:rPr>
        <w:t xml:space="preserve"> Other areas with high rates were </w:t>
      </w:r>
      <w:proofErr w:type="spellStart"/>
      <w:r w:rsidR="001F1E50" w:rsidRPr="005938BF">
        <w:rPr>
          <w:sz w:val="20"/>
        </w:rPr>
        <w:t>Brimbank</w:t>
      </w:r>
      <w:proofErr w:type="spellEnd"/>
      <w:r w:rsidR="005938BF" w:rsidRPr="005938BF">
        <w:rPr>
          <w:sz w:val="20"/>
        </w:rPr>
        <w:t>, Hume</w:t>
      </w:r>
      <w:r w:rsidR="00B77E0B" w:rsidRPr="005938BF">
        <w:rPr>
          <w:sz w:val="20"/>
        </w:rPr>
        <w:t xml:space="preserve"> </w:t>
      </w:r>
      <w:r w:rsidR="001F1E50" w:rsidRPr="005938BF">
        <w:rPr>
          <w:sz w:val="20"/>
        </w:rPr>
        <w:t xml:space="preserve">and </w:t>
      </w:r>
      <w:r w:rsidR="005938BF" w:rsidRPr="005938BF">
        <w:rPr>
          <w:sz w:val="20"/>
        </w:rPr>
        <w:t>Central Goldfields</w:t>
      </w:r>
      <w:r w:rsidR="001F1E50" w:rsidRPr="005938BF">
        <w:rPr>
          <w:sz w:val="20"/>
        </w:rPr>
        <w:t xml:space="preserve">.    </w:t>
      </w:r>
    </w:p>
    <w:p w:rsidR="001F1E50" w:rsidRPr="005938BF" w:rsidRDefault="001F1E50" w:rsidP="00D55AAF">
      <w:pPr>
        <w:jc w:val="both"/>
        <w:rPr>
          <w:sz w:val="20"/>
        </w:rPr>
      </w:pPr>
      <w:r w:rsidRPr="005938BF">
        <w:rPr>
          <w:sz w:val="20"/>
        </w:rPr>
        <w:t>The City of Latrobe has seen the u</w:t>
      </w:r>
      <w:r w:rsidR="00625626" w:rsidRPr="005938BF">
        <w:rPr>
          <w:sz w:val="20"/>
        </w:rPr>
        <w:t xml:space="preserve">nemployment rate increase from </w:t>
      </w:r>
      <w:r w:rsidR="005938BF" w:rsidRPr="005938BF">
        <w:rPr>
          <w:sz w:val="20"/>
        </w:rPr>
        <w:t>8.3</w:t>
      </w:r>
      <w:r w:rsidR="00625626" w:rsidRPr="005938BF">
        <w:rPr>
          <w:sz w:val="20"/>
        </w:rPr>
        <w:t>% to 11</w:t>
      </w:r>
      <w:r w:rsidR="005938BF" w:rsidRPr="005938BF">
        <w:rPr>
          <w:sz w:val="20"/>
        </w:rPr>
        <w:t>.2</w:t>
      </w:r>
      <w:r w:rsidRPr="005938BF">
        <w:rPr>
          <w:sz w:val="20"/>
        </w:rPr>
        <w:t>%</w:t>
      </w:r>
      <w:r w:rsidR="00625626" w:rsidRPr="005938BF">
        <w:rPr>
          <w:sz w:val="20"/>
        </w:rPr>
        <w:t xml:space="preserve"> in the past 12 months</w:t>
      </w:r>
      <w:r w:rsidR="003E5800" w:rsidRPr="005938BF">
        <w:rPr>
          <w:sz w:val="20"/>
        </w:rPr>
        <w:t>. Other LGAs in Gippsland (</w:t>
      </w:r>
      <w:r w:rsidRPr="005938BF">
        <w:rPr>
          <w:sz w:val="20"/>
        </w:rPr>
        <w:t xml:space="preserve">Bass Coast, Baw </w:t>
      </w:r>
      <w:proofErr w:type="spellStart"/>
      <w:r w:rsidRPr="005938BF">
        <w:rPr>
          <w:sz w:val="20"/>
        </w:rPr>
        <w:t>Baw</w:t>
      </w:r>
      <w:proofErr w:type="spellEnd"/>
      <w:r w:rsidRPr="005938BF">
        <w:rPr>
          <w:sz w:val="20"/>
        </w:rPr>
        <w:t>, Wellington, South Gippsland and East Gippsland</w:t>
      </w:r>
      <w:r w:rsidR="003E5800" w:rsidRPr="005938BF">
        <w:rPr>
          <w:sz w:val="20"/>
        </w:rPr>
        <w:t>)</w:t>
      </w:r>
      <w:r w:rsidRPr="005938BF">
        <w:rPr>
          <w:sz w:val="20"/>
        </w:rPr>
        <w:t xml:space="preserve"> have also seen large increases in unemployment. </w:t>
      </w:r>
      <w:r w:rsidR="00E5387D" w:rsidRPr="005938BF">
        <w:rPr>
          <w:sz w:val="20"/>
        </w:rPr>
        <w:t xml:space="preserve"> </w:t>
      </w:r>
    </w:p>
    <w:p w:rsidR="00624593" w:rsidRPr="005938BF" w:rsidRDefault="00624593" w:rsidP="00D55AAF">
      <w:pPr>
        <w:jc w:val="both"/>
        <w:rPr>
          <w:sz w:val="20"/>
        </w:rPr>
      </w:pPr>
      <w:r w:rsidRPr="005938BF">
        <w:rPr>
          <w:sz w:val="20"/>
        </w:rPr>
        <w:t xml:space="preserve">In terms of raw numbers of unemployed persons, </w:t>
      </w:r>
      <w:r w:rsidR="00807FEF" w:rsidRPr="005938BF">
        <w:rPr>
          <w:sz w:val="20"/>
        </w:rPr>
        <w:t xml:space="preserve">Casey and </w:t>
      </w:r>
      <w:proofErr w:type="spellStart"/>
      <w:r w:rsidR="00807FEF" w:rsidRPr="005938BF">
        <w:rPr>
          <w:sz w:val="20"/>
        </w:rPr>
        <w:t>Brimbank</w:t>
      </w:r>
      <w:proofErr w:type="spellEnd"/>
      <w:r w:rsidR="00807FEF" w:rsidRPr="005938BF">
        <w:rPr>
          <w:sz w:val="20"/>
        </w:rPr>
        <w:t xml:space="preserve"> both have over 10,000 unemployed people.  </w:t>
      </w:r>
      <w:r w:rsidR="00A75E5E" w:rsidRPr="005938BF">
        <w:rPr>
          <w:sz w:val="20"/>
        </w:rPr>
        <w:t>Some of the regional areas with high unemployment rates have small populations</w:t>
      </w:r>
      <w:r w:rsidR="00104188" w:rsidRPr="005938BF">
        <w:rPr>
          <w:sz w:val="20"/>
        </w:rPr>
        <w:t>,</w:t>
      </w:r>
      <w:r w:rsidR="00A75E5E" w:rsidRPr="005938BF">
        <w:rPr>
          <w:sz w:val="20"/>
        </w:rPr>
        <w:t xml:space="preserve"> so the actual number of unemployed people is quite low. </w:t>
      </w:r>
    </w:p>
    <w:p w:rsidR="00CD47B4" w:rsidRPr="005938BF" w:rsidRDefault="00CD47B4" w:rsidP="00D55AAF">
      <w:pPr>
        <w:jc w:val="both"/>
        <w:rPr>
          <w:sz w:val="20"/>
        </w:rPr>
      </w:pPr>
      <w:r w:rsidRPr="005938BF">
        <w:rPr>
          <w:sz w:val="20"/>
        </w:rPr>
        <w:t>The unemployment rates are not evenly spread within</w:t>
      </w:r>
      <w:r w:rsidR="000F691A" w:rsidRPr="005938BF">
        <w:rPr>
          <w:sz w:val="20"/>
        </w:rPr>
        <w:t xml:space="preserve"> the</w:t>
      </w:r>
      <w:r w:rsidRPr="005938BF">
        <w:rPr>
          <w:sz w:val="20"/>
        </w:rPr>
        <w:t xml:space="preserve"> </w:t>
      </w:r>
      <w:r w:rsidR="00966CC5" w:rsidRPr="005938BF">
        <w:rPr>
          <w:sz w:val="20"/>
        </w:rPr>
        <w:t>LGAs</w:t>
      </w:r>
      <w:r w:rsidRPr="005938BF">
        <w:rPr>
          <w:sz w:val="20"/>
        </w:rPr>
        <w:t>.</w:t>
      </w:r>
      <w:r w:rsidR="00966CC5" w:rsidRPr="005938BF">
        <w:rPr>
          <w:sz w:val="20"/>
        </w:rPr>
        <w:t xml:space="preserve"> </w:t>
      </w:r>
      <w:r w:rsidRPr="005938BF">
        <w:rPr>
          <w:sz w:val="20"/>
        </w:rPr>
        <w:t>For example, Hume has an unemployment rate</w:t>
      </w:r>
      <w:r w:rsidR="000F691A" w:rsidRPr="005938BF">
        <w:rPr>
          <w:sz w:val="20"/>
        </w:rPr>
        <w:t xml:space="preserve"> of</w:t>
      </w:r>
      <w:r w:rsidR="00EF3939" w:rsidRPr="005938BF">
        <w:rPr>
          <w:sz w:val="20"/>
        </w:rPr>
        <w:t xml:space="preserve"> 9.</w:t>
      </w:r>
      <w:r w:rsidR="00625626" w:rsidRPr="005938BF">
        <w:rPr>
          <w:sz w:val="20"/>
        </w:rPr>
        <w:t>2</w:t>
      </w:r>
      <w:r w:rsidRPr="005938BF">
        <w:rPr>
          <w:sz w:val="20"/>
        </w:rPr>
        <w:t xml:space="preserve">% but </w:t>
      </w:r>
      <w:r w:rsidR="00104188" w:rsidRPr="005938BF">
        <w:rPr>
          <w:sz w:val="20"/>
        </w:rPr>
        <w:t xml:space="preserve">some suburbs, </w:t>
      </w:r>
      <w:r w:rsidRPr="005938BF">
        <w:rPr>
          <w:sz w:val="20"/>
        </w:rPr>
        <w:t>such as Broadmeadows</w:t>
      </w:r>
      <w:r w:rsidR="00104188" w:rsidRPr="005938BF">
        <w:rPr>
          <w:sz w:val="20"/>
        </w:rPr>
        <w:t>,</w:t>
      </w:r>
      <w:r w:rsidR="005938BF">
        <w:rPr>
          <w:sz w:val="20"/>
        </w:rPr>
        <w:t xml:space="preserve"> have unemployment above 24</w:t>
      </w:r>
      <w:r w:rsidRPr="005938BF">
        <w:rPr>
          <w:sz w:val="20"/>
        </w:rPr>
        <w:t>%</w:t>
      </w:r>
      <w:r w:rsidR="00104188" w:rsidRPr="005938BF">
        <w:rPr>
          <w:sz w:val="20"/>
        </w:rPr>
        <w:t>,</w:t>
      </w:r>
      <w:r w:rsidRPr="005938BF">
        <w:rPr>
          <w:sz w:val="20"/>
        </w:rPr>
        <w:t xml:space="preserve"> whereas Sunbury has a rate </w:t>
      </w:r>
      <w:r w:rsidR="0084601C" w:rsidRPr="005938BF">
        <w:rPr>
          <w:sz w:val="20"/>
        </w:rPr>
        <w:t xml:space="preserve">of </w:t>
      </w:r>
      <w:r w:rsidR="00625626" w:rsidRPr="005938BF">
        <w:rPr>
          <w:sz w:val="20"/>
        </w:rPr>
        <w:t xml:space="preserve">less than </w:t>
      </w:r>
      <w:r w:rsidR="005938BF">
        <w:rPr>
          <w:sz w:val="20"/>
        </w:rPr>
        <w:t>4.5</w:t>
      </w:r>
      <w:r w:rsidRPr="005938BF">
        <w:rPr>
          <w:sz w:val="20"/>
        </w:rPr>
        <w:t xml:space="preserve">%. </w:t>
      </w:r>
      <w:r w:rsidR="00966CC5" w:rsidRPr="005938BF">
        <w:rPr>
          <w:sz w:val="20"/>
        </w:rPr>
        <w:t xml:space="preserve"> </w:t>
      </w:r>
      <w:r w:rsidRPr="005938BF">
        <w:rPr>
          <w:sz w:val="20"/>
        </w:rPr>
        <w:t>See maps in Appendix</w:t>
      </w:r>
      <w:r w:rsidR="00BE384F" w:rsidRPr="005938BF">
        <w:rPr>
          <w:sz w:val="20"/>
        </w:rPr>
        <w:t xml:space="preserve"> 3</w:t>
      </w:r>
      <w:r w:rsidRPr="005938BF">
        <w:rPr>
          <w:sz w:val="20"/>
        </w:rPr>
        <w:t xml:space="preserve"> for more examples. </w:t>
      </w:r>
    </w:p>
    <w:p w:rsidR="00C02544" w:rsidRPr="00911E1B" w:rsidRDefault="00C02544" w:rsidP="003565F0">
      <w:pPr>
        <w:rPr>
          <w:sz w:val="20"/>
          <w:highlight w:val="yellow"/>
        </w:rPr>
      </w:pPr>
    </w:p>
    <w:p w:rsidR="00C02544" w:rsidRPr="00911E1B" w:rsidRDefault="002B6F49" w:rsidP="003565F0">
      <w:pPr>
        <w:rPr>
          <w:sz w:val="20"/>
          <w:highlight w:val="yellow"/>
        </w:rPr>
      </w:pPr>
      <w:r>
        <w:rPr>
          <w:noProof/>
          <w:lang w:eastAsia="en-AU"/>
        </w:rPr>
        <w:lastRenderedPageBreak/>
        <w:drawing>
          <wp:inline distT="0" distB="0" distL="0" distR="0" wp14:anchorId="06374594" wp14:editId="00CDAD49">
            <wp:extent cx="6209665" cy="9323705"/>
            <wp:effectExtent l="0" t="0" r="635"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eastAsia="en-AU"/>
        </w:rPr>
        <w:lastRenderedPageBreak/>
        <w:drawing>
          <wp:inline distT="0" distB="0" distL="0" distR="0" wp14:anchorId="45159326" wp14:editId="3CE5BAB9">
            <wp:extent cx="6162675" cy="9341485"/>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2544" w:rsidRPr="00911E1B" w:rsidRDefault="002B6F49" w:rsidP="003565F0">
      <w:pPr>
        <w:rPr>
          <w:sz w:val="20"/>
          <w:highlight w:val="yellow"/>
        </w:rPr>
      </w:pPr>
      <w:r>
        <w:rPr>
          <w:noProof/>
          <w:lang w:eastAsia="en-AU"/>
        </w:rPr>
        <w:lastRenderedPageBreak/>
        <w:drawing>
          <wp:inline distT="0" distB="0" distL="0" distR="0" wp14:anchorId="18BAF49E" wp14:editId="45664E64">
            <wp:extent cx="6209665" cy="9323705"/>
            <wp:effectExtent l="0" t="0" r="635"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E5712" w:rsidRPr="00D66575" w:rsidRDefault="002B6F49" w:rsidP="003565F0">
      <w:pPr>
        <w:rPr>
          <w:sz w:val="20"/>
        </w:rPr>
      </w:pPr>
      <w:r w:rsidRPr="00D66575">
        <w:rPr>
          <w:noProof/>
          <w:lang w:eastAsia="en-AU"/>
        </w:rPr>
        <w:lastRenderedPageBreak/>
        <w:drawing>
          <wp:inline distT="0" distB="0" distL="0" distR="0" wp14:anchorId="4211BBEC" wp14:editId="2910A3E2">
            <wp:extent cx="6162675" cy="9286875"/>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2544" w:rsidRPr="00D66575" w:rsidRDefault="002B6F49" w:rsidP="003565F0">
      <w:pPr>
        <w:rPr>
          <w:sz w:val="20"/>
        </w:rPr>
      </w:pPr>
      <w:r w:rsidRPr="00D66575">
        <w:rPr>
          <w:noProof/>
          <w:lang w:eastAsia="en-AU"/>
        </w:rPr>
        <w:lastRenderedPageBreak/>
        <w:drawing>
          <wp:inline distT="0" distB="0" distL="0" distR="0" wp14:anchorId="15A5784D" wp14:editId="3724D38F">
            <wp:extent cx="6209665" cy="9323705"/>
            <wp:effectExtent l="0" t="0" r="635"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73890" w:rsidRDefault="00C02544" w:rsidP="00F73890">
      <w:pPr>
        <w:rPr>
          <w:b/>
          <w:sz w:val="20"/>
          <w:highlight w:val="yellow"/>
        </w:rPr>
      </w:pPr>
      <w:r w:rsidRPr="00D66575">
        <w:rPr>
          <w:noProof/>
          <w:sz w:val="20"/>
          <w:lang w:eastAsia="en-AU"/>
        </w:rPr>
        <w:lastRenderedPageBreak/>
        <w:t xml:space="preserve"> </w:t>
      </w:r>
      <w:r w:rsidR="002B6F49">
        <w:rPr>
          <w:noProof/>
          <w:lang w:eastAsia="en-AU"/>
        </w:rPr>
        <w:drawing>
          <wp:inline distT="0" distB="0" distL="0" distR="0" wp14:anchorId="7AADC506" wp14:editId="644D1FFF">
            <wp:extent cx="6048375" cy="9360535"/>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8F6150" w:rsidRPr="00D66575">
        <w:rPr>
          <w:b/>
          <w:sz w:val="20"/>
          <w:highlight w:val="yellow"/>
        </w:rPr>
        <w:br w:type="page"/>
      </w:r>
      <w:bookmarkStart w:id="63" w:name="_Toc468972276"/>
    </w:p>
    <w:p w:rsidR="000604EE" w:rsidRPr="009F25ED" w:rsidRDefault="000604EE" w:rsidP="009F25ED">
      <w:pPr>
        <w:pStyle w:val="Heading2numbered"/>
        <w:rPr>
          <w:color w:val="002060"/>
        </w:rPr>
      </w:pPr>
      <w:r w:rsidRPr="009F25ED">
        <w:rPr>
          <w:color w:val="002060"/>
        </w:rPr>
        <w:lastRenderedPageBreak/>
        <w:t>Employment Mix of Victoria</w:t>
      </w:r>
      <w:bookmarkEnd w:id="63"/>
    </w:p>
    <w:p w:rsidR="00341351" w:rsidRPr="00770C6A" w:rsidRDefault="000604EE" w:rsidP="00D55AAF">
      <w:pPr>
        <w:jc w:val="both"/>
        <w:rPr>
          <w:sz w:val="20"/>
        </w:rPr>
      </w:pPr>
      <w:r w:rsidRPr="00770C6A">
        <w:rPr>
          <w:sz w:val="20"/>
        </w:rPr>
        <w:t xml:space="preserve">The largest industry sector of the Victorian Labour Force is </w:t>
      </w:r>
      <w:r w:rsidR="00962092" w:rsidRPr="00770C6A">
        <w:rPr>
          <w:sz w:val="20"/>
        </w:rPr>
        <w:t>h</w:t>
      </w:r>
      <w:r w:rsidRPr="00770C6A">
        <w:rPr>
          <w:sz w:val="20"/>
        </w:rPr>
        <w:t xml:space="preserve">ealth </w:t>
      </w:r>
      <w:r w:rsidR="00962092" w:rsidRPr="00770C6A">
        <w:rPr>
          <w:sz w:val="20"/>
        </w:rPr>
        <w:t>c</w:t>
      </w:r>
      <w:r w:rsidRPr="00770C6A">
        <w:rPr>
          <w:sz w:val="20"/>
        </w:rPr>
        <w:t xml:space="preserve">are and </w:t>
      </w:r>
      <w:r w:rsidR="00962092" w:rsidRPr="00770C6A">
        <w:rPr>
          <w:sz w:val="20"/>
        </w:rPr>
        <w:t>s</w:t>
      </w:r>
      <w:r w:rsidR="00356C36" w:rsidRPr="00770C6A">
        <w:rPr>
          <w:sz w:val="20"/>
        </w:rPr>
        <w:t xml:space="preserve">ocial </w:t>
      </w:r>
      <w:r w:rsidR="00962092" w:rsidRPr="00770C6A">
        <w:rPr>
          <w:sz w:val="20"/>
        </w:rPr>
        <w:t>a</w:t>
      </w:r>
      <w:r w:rsidR="00356C36" w:rsidRPr="00770C6A">
        <w:rPr>
          <w:sz w:val="20"/>
        </w:rPr>
        <w:t>ssistance</w:t>
      </w:r>
      <w:r w:rsidR="00962092" w:rsidRPr="00770C6A">
        <w:rPr>
          <w:sz w:val="20"/>
        </w:rPr>
        <w:t>,</w:t>
      </w:r>
      <w:r w:rsidR="00356C36" w:rsidRPr="00770C6A">
        <w:rPr>
          <w:sz w:val="20"/>
        </w:rPr>
        <w:t xml:space="preserve"> with </w:t>
      </w:r>
      <w:r w:rsidR="00ED0BC8" w:rsidRPr="00770C6A">
        <w:rPr>
          <w:sz w:val="20"/>
        </w:rPr>
        <w:t xml:space="preserve">over </w:t>
      </w:r>
      <w:r w:rsidR="002D7483" w:rsidRPr="00770C6A">
        <w:rPr>
          <w:sz w:val="20"/>
        </w:rPr>
        <w:t>400</w:t>
      </w:r>
      <w:r w:rsidRPr="00770C6A">
        <w:rPr>
          <w:sz w:val="20"/>
        </w:rPr>
        <w:t xml:space="preserve">,000 workers. Retail is the second largest sector in the state. Despite </w:t>
      </w:r>
      <w:r w:rsidR="00ED1847" w:rsidRPr="00770C6A">
        <w:rPr>
          <w:sz w:val="20"/>
        </w:rPr>
        <w:t>the difficulties facing this sector</w:t>
      </w:r>
      <w:r w:rsidRPr="00770C6A">
        <w:rPr>
          <w:sz w:val="20"/>
        </w:rPr>
        <w:t>,</w:t>
      </w:r>
      <w:r w:rsidR="00356C36" w:rsidRPr="00770C6A">
        <w:rPr>
          <w:sz w:val="20"/>
        </w:rPr>
        <w:t xml:space="preserve"> </w:t>
      </w:r>
      <w:r w:rsidR="00962092" w:rsidRPr="00770C6A">
        <w:rPr>
          <w:sz w:val="20"/>
        </w:rPr>
        <w:t>m</w:t>
      </w:r>
      <w:r w:rsidR="00356C36" w:rsidRPr="00770C6A">
        <w:rPr>
          <w:sz w:val="20"/>
        </w:rPr>
        <w:t xml:space="preserve">anufacturing remains the </w:t>
      </w:r>
      <w:r w:rsidR="00ED0BC8" w:rsidRPr="00770C6A">
        <w:rPr>
          <w:sz w:val="20"/>
        </w:rPr>
        <w:t>third</w:t>
      </w:r>
      <w:r w:rsidR="00962092" w:rsidRPr="00770C6A">
        <w:rPr>
          <w:sz w:val="20"/>
        </w:rPr>
        <w:t xml:space="preserve"> </w:t>
      </w:r>
      <w:r w:rsidRPr="00770C6A">
        <w:rPr>
          <w:sz w:val="20"/>
        </w:rPr>
        <w:t>largest sector of the economy</w:t>
      </w:r>
      <w:r w:rsidR="00962092" w:rsidRPr="00770C6A">
        <w:rPr>
          <w:sz w:val="20"/>
        </w:rPr>
        <w:t>,</w:t>
      </w:r>
      <w:r w:rsidRPr="00770C6A">
        <w:rPr>
          <w:sz w:val="20"/>
        </w:rPr>
        <w:t xml:space="preserve"> with </w:t>
      </w:r>
      <w:r w:rsidR="00770C6A" w:rsidRPr="00770C6A">
        <w:rPr>
          <w:sz w:val="20"/>
        </w:rPr>
        <w:t>almost</w:t>
      </w:r>
      <w:r w:rsidRPr="00770C6A">
        <w:rPr>
          <w:sz w:val="20"/>
        </w:rPr>
        <w:t xml:space="preserve"> </w:t>
      </w:r>
      <w:r w:rsidR="00770C6A" w:rsidRPr="00770C6A">
        <w:rPr>
          <w:sz w:val="20"/>
        </w:rPr>
        <w:t>28</w:t>
      </w:r>
      <w:r w:rsidR="00ED0BC8" w:rsidRPr="00770C6A">
        <w:rPr>
          <w:sz w:val="20"/>
        </w:rPr>
        <w:t>0,000</w:t>
      </w:r>
      <w:r w:rsidRPr="00770C6A">
        <w:rPr>
          <w:sz w:val="20"/>
        </w:rPr>
        <w:t xml:space="preserve"> workers. </w:t>
      </w:r>
    </w:p>
    <w:p w:rsidR="000604EE" w:rsidRPr="00770C6A" w:rsidRDefault="00341351" w:rsidP="003565F0">
      <w:pPr>
        <w:rPr>
          <w:sz w:val="20"/>
        </w:rPr>
      </w:pPr>
      <w:r w:rsidRPr="00770C6A">
        <w:rPr>
          <w:sz w:val="20"/>
        </w:rPr>
        <w:t xml:space="preserve">Victoria has very few people directly employed in the mining sector, unlike many other states. </w:t>
      </w:r>
      <w:r w:rsidR="000604EE" w:rsidRPr="00770C6A">
        <w:rPr>
          <w:sz w:val="20"/>
        </w:rPr>
        <w:t xml:space="preserve">  </w:t>
      </w:r>
    </w:p>
    <w:p w:rsidR="008150A9" w:rsidRPr="00911E1B" w:rsidRDefault="00915F41" w:rsidP="003565F0">
      <w:pPr>
        <w:rPr>
          <w:sz w:val="20"/>
          <w:highlight w:val="yellow"/>
          <w14:textOutline w14:w="3175" w14:cap="rnd" w14:cmpd="sng" w14:algn="ctr">
            <w14:solidFill>
              <w14:schemeClr w14:val="tx1"/>
            </w14:solidFill>
            <w14:prstDash w14:val="solid"/>
            <w14:bevel/>
          </w14:textOutline>
        </w:rPr>
      </w:pPr>
      <w:r>
        <w:rPr>
          <w:noProof/>
          <w:lang w:eastAsia="en-AU"/>
        </w:rPr>
        <w:drawing>
          <wp:inline distT="0" distB="0" distL="0" distR="0" wp14:anchorId="413E2F8A" wp14:editId="4C8CB712">
            <wp:extent cx="6209665" cy="5156200"/>
            <wp:effectExtent l="0" t="0" r="635" b="63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420B5" w:rsidRPr="00915F41" w:rsidRDefault="002420B5" w:rsidP="003565F0">
      <w:pPr>
        <w:rPr>
          <w:sz w:val="20"/>
          <w14:textOutline w14:w="3175" w14:cap="rnd" w14:cmpd="sng" w14:algn="ctr">
            <w14:solidFill>
              <w14:schemeClr w14:val="tx1"/>
            </w14:solidFill>
            <w14:prstDash w14:val="solid"/>
            <w14:bevel/>
          </w14:textOutline>
        </w:rPr>
      </w:pPr>
    </w:p>
    <w:p w:rsidR="002420B5" w:rsidRPr="00915F41" w:rsidRDefault="002420B5" w:rsidP="002420B5">
      <w:r w:rsidRPr="00915F41">
        <w:t xml:space="preserve">A time series of </w:t>
      </w:r>
      <w:r w:rsidR="00B77E0B" w:rsidRPr="00915F41">
        <w:t xml:space="preserve">the </w:t>
      </w:r>
      <w:r w:rsidRPr="00915F41">
        <w:t xml:space="preserve">number of people employed by industry sector is found in the appendices. </w:t>
      </w:r>
    </w:p>
    <w:p w:rsidR="00ED1847" w:rsidRPr="008502E2" w:rsidRDefault="002420B5" w:rsidP="002420B5">
      <w:pPr>
        <w:rPr>
          <w:color w:val="002060"/>
        </w:rPr>
      </w:pPr>
      <w:r w:rsidRPr="00911E1B">
        <w:rPr>
          <w:sz w:val="20"/>
          <w:highlight w:val="yellow"/>
        </w:rPr>
        <w:br w:type="page"/>
      </w:r>
      <w:r w:rsidR="001C35C3" w:rsidRPr="008502E2">
        <w:rPr>
          <w:color w:val="002060"/>
          <w:sz w:val="48"/>
        </w:rPr>
        <w:lastRenderedPageBreak/>
        <w:t>APPENDICIES</w:t>
      </w:r>
    </w:p>
    <w:p w:rsidR="00A54DA9" w:rsidRPr="008502E2" w:rsidRDefault="00A54DA9" w:rsidP="00DA46C5">
      <w:pPr>
        <w:rPr>
          <w:color w:val="002060"/>
        </w:rPr>
      </w:pPr>
      <w:r w:rsidRPr="008502E2">
        <w:rPr>
          <w:color w:val="002060"/>
        </w:rPr>
        <w:t>Appendix 1 – Building Approvals for 201</w:t>
      </w:r>
      <w:r w:rsidR="00E27ACB" w:rsidRPr="008502E2">
        <w:rPr>
          <w:color w:val="002060"/>
        </w:rPr>
        <w:t>5</w:t>
      </w:r>
      <w:r w:rsidRPr="008502E2">
        <w:rPr>
          <w:color w:val="002060"/>
        </w:rPr>
        <w:t>-1</w:t>
      </w:r>
      <w:r w:rsidR="00E27ACB" w:rsidRPr="008502E2">
        <w:rPr>
          <w:color w:val="002060"/>
        </w:rPr>
        <w:t>6</w:t>
      </w:r>
    </w:p>
    <w:p w:rsidR="00A54DA9" w:rsidRPr="008502E2" w:rsidRDefault="00E27ACB" w:rsidP="003565F0">
      <w:pPr>
        <w:rPr>
          <w:sz w:val="20"/>
        </w:rPr>
      </w:pPr>
      <w:r w:rsidRPr="008502E2">
        <w:rPr>
          <w:noProof/>
          <w:lang w:eastAsia="en-AU"/>
        </w:rPr>
        <w:drawing>
          <wp:inline distT="0" distB="0" distL="0" distR="0" wp14:anchorId="38CE47D4" wp14:editId="3F967ED5">
            <wp:extent cx="6048375" cy="83629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54DA9" w:rsidRPr="008502E2" w:rsidRDefault="00E27ACB" w:rsidP="003565F0">
      <w:pPr>
        <w:rPr>
          <w:sz w:val="20"/>
        </w:rPr>
      </w:pPr>
      <w:r w:rsidRPr="008502E2">
        <w:rPr>
          <w:noProof/>
          <w:lang w:eastAsia="en-AU"/>
        </w:rPr>
        <w:lastRenderedPageBreak/>
        <w:drawing>
          <wp:inline distT="0" distB="0" distL="0" distR="0" wp14:anchorId="1E53FDFA" wp14:editId="185FF9BF">
            <wp:extent cx="6209665" cy="9139555"/>
            <wp:effectExtent l="0" t="0" r="635"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54DA9" w:rsidRPr="008502E2" w:rsidRDefault="00E27ACB" w:rsidP="003565F0">
      <w:pPr>
        <w:rPr>
          <w:sz w:val="20"/>
        </w:rPr>
      </w:pPr>
      <w:r w:rsidRPr="008502E2">
        <w:rPr>
          <w:noProof/>
          <w:lang w:eastAsia="en-AU"/>
        </w:rPr>
        <w:lastRenderedPageBreak/>
        <w:drawing>
          <wp:inline distT="0" distB="0" distL="0" distR="0" wp14:anchorId="6C64D6E5" wp14:editId="3BC6EEFB">
            <wp:extent cx="6010275" cy="9029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8502E2">
        <w:rPr>
          <w:noProof/>
          <w:lang w:eastAsia="en-AU"/>
        </w:rPr>
        <w:lastRenderedPageBreak/>
        <w:drawing>
          <wp:inline distT="0" distB="0" distL="0" distR="0" wp14:anchorId="12CA96C6" wp14:editId="2733DA35">
            <wp:extent cx="6305550" cy="934148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54DA9" w:rsidRPr="008502E2" w:rsidRDefault="00E27ACB" w:rsidP="003565F0">
      <w:pPr>
        <w:rPr>
          <w:sz w:val="20"/>
        </w:rPr>
      </w:pPr>
      <w:r w:rsidRPr="008502E2">
        <w:rPr>
          <w:noProof/>
          <w:lang w:eastAsia="en-AU"/>
        </w:rPr>
        <w:lastRenderedPageBreak/>
        <w:drawing>
          <wp:inline distT="0" distB="0" distL="0" distR="0" wp14:anchorId="649A1F31" wp14:editId="109E266C">
            <wp:extent cx="6181725" cy="90392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8502E2">
        <w:rPr>
          <w:noProof/>
          <w:lang w:eastAsia="en-AU"/>
        </w:rPr>
        <w:lastRenderedPageBreak/>
        <w:drawing>
          <wp:inline distT="0" distB="0" distL="0" distR="0" wp14:anchorId="751F895E" wp14:editId="709731AF">
            <wp:extent cx="6155055" cy="934148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54DA9" w:rsidRPr="008502E2" w:rsidRDefault="00E27ACB" w:rsidP="003565F0">
      <w:pPr>
        <w:rPr>
          <w:sz w:val="20"/>
        </w:rPr>
      </w:pPr>
      <w:r w:rsidRPr="008502E2">
        <w:rPr>
          <w:noProof/>
          <w:lang w:eastAsia="en-AU"/>
        </w:rPr>
        <w:lastRenderedPageBreak/>
        <w:drawing>
          <wp:inline distT="0" distB="0" distL="0" distR="0" wp14:anchorId="70CD60F3" wp14:editId="1490A177">
            <wp:extent cx="6257925" cy="9039225"/>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54DA9" w:rsidRPr="008502E2" w:rsidRDefault="00A54DA9" w:rsidP="003565F0">
      <w:pPr>
        <w:rPr>
          <w:sz w:val="20"/>
        </w:rPr>
      </w:pPr>
    </w:p>
    <w:p w:rsidR="00A54DA9" w:rsidRPr="00911E1B" w:rsidRDefault="00E27ACB" w:rsidP="003565F0">
      <w:pPr>
        <w:rPr>
          <w:sz w:val="20"/>
          <w:highlight w:val="yellow"/>
        </w:rPr>
      </w:pPr>
      <w:r w:rsidRPr="00911E1B">
        <w:rPr>
          <w:noProof/>
          <w:highlight w:val="yellow"/>
          <w:lang w:eastAsia="en-AU"/>
        </w:rPr>
        <w:lastRenderedPageBreak/>
        <w:drawing>
          <wp:inline distT="0" distB="0" distL="0" distR="0" wp14:anchorId="3B411DCE" wp14:editId="054C443E">
            <wp:extent cx="6143625" cy="934148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911E1B">
        <w:rPr>
          <w:noProof/>
          <w:highlight w:val="yellow"/>
          <w:lang w:eastAsia="en-AU"/>
        </w:rPr>
        <w:lastRenderedPageBreak/>
        <w:drawing>
          <wp:inline distT="0" distB="0" distL="0" distR="0" wp14:anchorId="0218A5F0" wp14:editId="088EB228">
            <wp:extent cx="6111240" cy="9020175"/>
            <wp:effectExtent l="0" t="0" r="381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2E0376">
        <w:rPr>
          <w:noProof/>
          <w:lang w:eastAsia="en-AU"/>
        </w:rPr>
        <w:lastRenderedPageBreak/>
        <w:drawing>
          <wp:inline distT="0" distB="0" distL="0" distR="0" wp14:anchorId="2EAA18BF" wp14:editId="20DDFCDE">
            <wp:extent cx="6155055" cy="9341485"/>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4038E" w:rsidRPr="00056A7E" w:rsidRDefault="00B4038E" w:rsidP="00B4038E">
      <w:pPr>
        <w:pStyle w:val="Appendicesnumbered"/>
        <w:rPr>
          <w:color w:val="002060"/>
        </w:rPr>
      </w:pPr>
      <w:r w:rsidRPr="00056A7E">
        <w:rPr>
          <w:color w:val="002060"/>
        </w:rPr>
        <w:lastRenderedPageBreak/>
        <w:t>Appendix 2 – LGA POPULATIONS June 30 2015</w:t>
      </w:r>
    </w:p>
    <w:p w:rsidR="00182BCD" w:rsidRPr="00911E1B" w:rsidRDefault="00056A7E" w:rsidP="003565F0">
      <w:pPr>
        <w:rPr>
          <w:sz w:val="20"/>
          <w:highlight w:val="yellow"/>
        </w:rPr>
      </w:pPr>
      <w:r>
        <w:rPr>
          <w:noProof/>
          <w:lang w:eastAsia="en-AU"/>
        </w:rPr>
        <w:drawing>
          <wp:inline distT="0" distB="0" distL="0" distR="0" wp14:anchorId="3B028C0F" wp14:editId="70088252">
            <wp:extent cx="6209665" cy="8825230"/>
            <wp:effectExtent l="0" t="0" r="63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4038E" w:rsidRPr="00911E1B" w:rsidRDefault="00056A7E" w:rsidP="003565F0">
      <w:pPr>
        <w:rPr>
          <w:sz w:val="20"/>
          <w:highlight w:val="yellow"/>
        </w:rPr>
      </w:pPr>
      <w:r>
        <w:rPr>
          <w:noProof/>
          <w:lang w:eastAsia="en-AU"/>
        </w:rPr>
        <w:lastRenderedPageBreak/>
        <w:drawing>
          <wp:inline distT="0" distB="0" distL="0" distR="0" wp14:anchorId="5B4977FD" wp14:editId="0375CF58">
            <wp:extent cx="6115050" cy="934148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545C6" w:rsidRPr="00056A7E" w:rsidRDefault="007545C6" w:rsidP="007545C6">
      <w:pPr>
        <w:pStyle w:val="Appendicesnumbered"/>
        <w:rPr>
          <w:color w:val="002060"/>
        </w:rPr>
      </w:pPr>
      <w:r w:rsidRPr="00056A7E">
        <w:rPr>
          <w:color w:val="002060"/>
        </w:rPr>
        <w:lastRenderedPageBreak/>
        <w:t>Appendix 3 – Cordell Connect Projects by LGA</w:t>
      </w:r>
    </w:p>
    <w:p w:rsidR="007545C6" w:rsidRDefault="00056A7E" w:rsidP="003565F0">
      <w:pPr>
        <w:rPr>
          <w:sz w:val="20"/>
          <w:highlight w:val="yellow"/>
        </w:rPr>
      </w:pPr>
      <w:r>
        <w:rPr>
          <w:noProof/>
          <w:lang w:eastAsia="en-AU"/>
        </w:rPr>
        <w:drawing>
          <wp:inline distT="0" distB="0" distL="0" distR="0" wp14:anchorId="1B3F0651" wp14:editId="25FA6ED3">
            <wp:extent cx="6089015" cy="8715375"/>
            <wp:effectExtent l="0" t="0" r="698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56A7E" w:rsidRPr="00911E1B" w:rsidRDefault="00056A7E" w:rsidP="003565F0">
      <w:pPr>
        <w:rPr>
          <w:sz w:val="20"/>
          <w:highlight w:val="yellow"/>
        </w:rPr>
      </w:pPr>
      <w:r>
        <w:rPr>
          <w:noProof/>
          <w:lang w:eastAsia="en-AU"/>
        </w:rPr>
        <w:lastRenderedPageBreak/>
        <w:drawing>
          <wp:inline distT="0" distB="0" distL="0" distR="0" wp14:anchorId="0AF978F8" wp14:editId="5F73FB1E">
            <wp:extent cx="6209665" cy="9086850"/>
            <wp:effectExtent l="0" t="0" r="63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2285A" w:rsidRPr="00911E1B" w:rsidRDefault="00056A7E" w:rsidP="003565F0">
      <w:pPr>
        <w:rPr>
          <w:sz w:val="20"/>
          <w:highlight w:val="yellow"/>
        </w:rPr>
      </w:pPr>
      <w:r>
        <w:rPr>
          <w:noProof/>
          <w:lang w:eastAsia="en-AU"/>
        </w:rPr>
        <w:lastRenderedPageBreak/>
        <w:drawing>
          <wp:inline distT="0" distB="0" distL="0" distR="0" wp14:anchorId="5FDE4426" wp14:editId="2BEC66A8">
            <wp:extent cx="6069330" cy="9096375"/>
            <wp:effectExtent l="0" t="0" r="762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25153" w:rsidRPr="00911E1B" w:rsidRDefault="00056A7E" w:rsidP="003565F0">
      <w:pPr>
        <w:rPr>
          <w:sz w:val="20"/>
          <w:highlight w:val="yellow"/>
        </w:rPr>
      </w:pPr>
      <w:r>
        <w:rPr>
          <w:noProof/>
          <w:lang w:eastAsia="en-AU"/>
        </w:rPr>
        <w:lastRenderedPageBreak/>
        <w:drawing>
          <wp:inline distT="0" distB="0" distL="0" distR="0" wp14:anchorId="0337EE0B" wp14:editId="30A21595">
            <wp:extent cx="6069330" cy="9153525"/>
            <wp:effectExtent l="0" t="0" r="762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25153" w:rsidRPr="00484EC1" w:rsidRDefault="0014025C" w:rsidP="00D922BB">
      <w:pPr>
        <w:pStyle w:val="Appendicesnumbered"/>
        <w:rPr>
          <w:sz w:val="20"/>
        </w:rPr>
      </w:pPr>
      <w:r w:rsidRPr="00056A7E">
        <w:rPr>
          <w:color w:val="002060"/>
        </w:rPr>
        <w:lastRenderedPageBreak/>
        <w:t>Appendix 4</w:t>
      </w:r>
      <w:r w:rsidR="00D922BB" w:rsidRPr="00056A7E">
        <w:rPr>
          <w:color w:val="002060"/>
        </w:rPr>
        <w:t xml:space="preserve"> – Property Sales 2015</w:t>
      </w:r>
      <w:r w:rsidR="00625153" w:rsidRPr="00056A7E">
        <w:rPr>
          <w:noProof/>
          <w:lang w:eastAsia="en-AU"/>
        </w:rPr>
        <w:drawing>
          <wp:inline distT="0" distB="0" distL="0" distR="0" wp14:anchorId="0E71A0BD" wp14:editId="38302E61">
            <wp:extent cx="6134100" cy="893826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625153" w:rsidRPr="00056A7E">
        <w:rPr>
          <w:noProof/>
          <w:lang w:eastAsia="en-AU"/>
        </w:rPr>
        <w:lastRenderedPageBreak/>
        <w:drawing>
          <wp:inline distT="0" distB="0" distL="0" distR="0" wp14:anchorId="2B70102A" wp14:editId="0528D555">
            <wp:extent cx="6134100" cy="9060180"/>
            <wp:effectExtent l="0" t="0" r="0" b="762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625153" w:rsidRPr="00484EC1">
        <w:rPr>
          <w:noProof/>
          <w:lang w:eastAsia="en-AU"/>
        </w:rPr>
        <w:lastRenderedPageBreak/>
        <w:drawing>
          <wp:inline distT="0" distB="0" distL="0" distR="0" wp14:anchorId="0A8CC897" wp14:editId="55F810DC">
            <wp:extent cx="6134100" cy="908685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625153" w:rsidRPr="00484EC1">
        <w:rPr>
          <w:noProof/>
          <w:lang w:eastAsia="en-AU"/>
        </w:rPr>
        <w:lastRenderedPageBreak/>
        <w:drawing>
          <wp:inline distT="0" distB="0" distL="0" distR="0" wp14:anchorId="28ABB71E" wp14:editId="5E9CC2A7">
            <wp:extent cx="6134100" cy="90678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25153" w:rsidRPr="00484EC1" w:rsidRDefault="00625153" w:rsidP="00625153">
      <w:pPr>
        <w:rPr>
          <w:sz w:val="20"/>
        </w:rPr>
      </w:pPr>
      <w:bookmarkStart w:id="64" w:name="_GoBack"/>
      <w:r w:rsidRPr="00484EC1">
        <w:rPr>
          <w:noProof/>
          <w:lang w:eastAsia="en-AU"/>
        </w:rPr>
        <w:lastRenderedPageBreak/>
        <w:drawing>
          <wp:inline distT="0" distB="0" distL="0" distR="0" wp14:anchorId="3EE468D2" wp14:editId="5B960632">
            <wp:extent cx="6209665" cy="9153525"/>
            <wp:effectExtent l="0" t="0" r="63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bookmarkEnd w:id="64"/>
    </w:p>
    <w:p w:rsidR="00625153" w:rsidRPr="00484EC1" w:rsidRDefault="00625153" w:rsidP="00D55AAF">
      <w:r w:rsidRPr="00484EC1">
        <w:rPr>
          <w:noProof/>
          <w:lang w:eastAsia="en-AU"/>
        </w:rPr>
        <w:lastRenderedPageBreak/>
        <w:drawing>
          <wp:inline distT="0" distB="0" distL="0" distR="0" wp14:anchorId="25789810" wp14:editId="1E6E66DF">
            <wp:extent cx="6209665" cy="8953500"/>
            <wp:effectExtent l="0" t="0" r="635"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484EC1">
        <w:rPr>
          <w:noProof/>
          <w:lang w:eastAsia="en-AU"/>
        </w:rPr>
        <w:lastRenderedPageBreak/>
        <w:drawing>
          <wp:inline distT="0" distB="0" distL="0" distR="0" wp14:anchorId="0C6D3050" wp14:editId="53E3227C">
            <wp:extent cx="6134100" cy="8450580"/>
            <wp:effectExtent l="0" t="0" r="0" b="76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484EC1">
        <w:rPr>
          <w:noProof/>
          <w:lang w:eastAsia="en-AU"/>
        </w:rPr>
        <w:lastRenderedPageBreak/>
        <w:drawing>
          <wp:inline distT="0" distB="0" distL="0" distR="0" wp14:anchorId="4BAEDC71" wp14:editId="0E4BBC63">
            <wp:extent cx="6149340" cy="9227820"/>
            <wp:effectExtent l="0" t="0" r="381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3552A" w:rsidRDefault="00C3552A" w:rsidP="00C3552A">
      <w:pPr>
        <w:pStyle w:val="Appendicesnumbered"/>
      </w:pPr>
      <w:proofErr w:type="gramStart"/>
      <w:r>
        <w:lastRenderedPageBreak/>
        <w:t>Appendix  5</w:t>
      </w:r>
      <w:proofErr w:type="gramEnd"/>
      <w:r>
        <w:t xml:space="preserve"> -  Components of Population Change</w:t>
      </w:r>
    </w:p>
    <w:p w:rsidR="00C3552A" w:rsidRDefault="00C3552A" w:rsidP="00C3552A">
      <w:pPr>
        <w:pStyle w:val="Heading2numbered"/>
        <w:numPr>
          <w:ilvl w:val="0"/>
          <w:numId w:val="0"/>
        </w:numPr>
        <w:ind w:left="360" w:hanging="360"/>
      </w:pPr>
      <w:r>
        <w:rPr>
          <w:noProof/>
          <w:lang w:eastAsia="en-AU"/>
        </w:rPr>
        <w:drawing>
          <wp:inline distT="0" distB="0" distL="0" distR="0" wp14:anchorId="5CBA0B73" wp14:editId="17C3DADB">
            <wp:extent cx="6276975" cy="8763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3552A" w:rsidRPr="00C3552A" w:rsidRDefault="00C3552A" w:rsidP="00C3552A">
      <w:pPr>
        <w:pStyle w:val="Heading2numbered"/>
        <w:numPr>
          <w:ilvl w:val="0"/>
          <w:numId w:val="0"/>
        </w:numPr>
        <w:ind w:left="360" w:hanging="360"/>
        <w:sectPr w:rsidR="00C3552A" w:rsidRPr="00C3552A" w:rsidSect="00E469CF">
          <w:headerReference w:type="even" r:id="rId96"/>
          <w:headerReference w:type="default" r:id="rId97"/>
          <w:footerReference w:type="even" r:id="rId98"/>
          <w:footerReference w:type="default" r:id="rId99"/>
          <w:footerReference w:type="first" r:id="rId100"/>
          <w:pgSz w:w="11906" w:h="16838" w:code="9"/>
          <w:pgMar w:top="1276" w:right="851" w:bottom="851" w:left="1276" w:header="567" w:footer="284" w:gutter="0"/>
          <w:pgNumType w:start="0"/>
          <w:cols w:space="708"/>
          <w:titlePg/>
          <w:docGrid w:linePitch="360"/>
        </w:sectPr>
      </w:pPr>
      <w:r>
        <w:rPr>
          <w:noProof/>
          <w:lang w:eastAsia="en-AU"/>
        </w:rPr>
        <w:lastRenderedPageBreak/>
        <w:drawing>
          <wp:inline distT="0" distB="0" distL="0" distR="0" wp14:anchorId="0537B9EF" wp14:editId="13C13F11">
            <wp:extent cx="6229350" cy="934148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7127DF" w:rsidRPr="00484EC1" w:rsidRDefault="00E55087" w:rsidP="00D55AAF">
      <w:pPr>
        <w:rPr>
          <w:color w:val="002060"/>
        </w:rPr>
      </w:pPr>
      <w:r>
        <w:rPr>
          <w:color w:val="002060"/>
        </w:rPr>
        <w:lastRenderedPageBreak/>
        <w:t>Appendix 6</w:t>
      </w:r>
      <w:r w:rsidR="00182BCD" w:rsidRPr="00484EC1">
        <w:rPr>
          <w:color w:val="002060"/>
        </w:rPr>
        <w:t xml:space="preserve"> – Maps of Births</w:t>
      </w:r>
    </w:p>
    <w:p w:rsidR="007127DF" w:rsidRPr="00484EC1" w:rsidRDefault="009E1A0C" w:rsidP="00D55AAF">
      <w:pPr>
        <w:rPr>
          <w:rFonts w:asciiTheme="majorHAnsi" w:hAnsiTheme="majorHAnsi"/>
          <w:b/>
          <w:caps/>
          <w:color w:val="00788E"/>
          <w:sz w:val="24"/>
        </w:rPr>
      </w:pPr>
      <w:r w:rsidRPr="00484EC1">
        <w:rPr>
          <w:noProof/>
          <w:color w:val="002060"/>
          <w:sz w:val="32"/>
          <w:lang w:eastAsia="en-AU"/>
        </w:rPr>
        <w:drawing>
          <wp:anchor distT="0" distB="0" distL="114300" distR="114300" simplePos="0" relativeHeight="251663360" behindDoc="0" locked="0" layoutInCell="1" allowOverlap="1" wp14:anchorId="442A645E" wp14:editId="2959335B">
            <wp:simplePos x="0" y="0"/>
            <wp:positionH relativeFrom="column">
              <wp:posOffset>963930</wp:posOffset>
            </wp:positionH>
            <wp:positionV relativeFrom="paragraph">
              <wp:posOffset>63500</wp:posOffset>
            </wp:positionV>
            <wp:extent cx="7790180" cy="5507355"/>
            <wp:effectExtent l="0" t="0" r="127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avid Lees\Reporting\Births 2014 by SA2 Melbourne.jp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7790180" cy="550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7DF" w:rsidRPr="00484EC1">
        <w:br w:type="page"/>
      </w:r>
    </w:p>
    <w:p w:rsidR="00182BCD" w:rsidRPr="00484EC1" w:rsidRDefault="00182BCD" w:rsidP="00D55AAF">
      <w:r w:rsidRPr="00484EC1">
        <w:lastRenderedPageBreak/>
        <w:t xml:space="preserve">  </w:t>
      </w:r>
    </w:p>
    <w:p w:rsidR="00182BCD" w:rsidRPr="00484EC1" w:rsidRDefault="00540674" w:rsidP="00D55AAF">
      <w:r w:rsidRPr="00484EC1">
        <w:rPr>
          <w:noProof/>
          <w:lang w:eastAsia="en-AU"/>
        </w:rPr>
        <w:drawing>
          <wp:anchor distT="0" distB="0" distL="114300" distR="114300" simplePos="0" relativeHeight="251664384" behindDoc="0" locked="0" layoutInCell="1" allowOverlap="1" wp14:anchorId="54B53854" wp14:editId="473ED9BD">
            <wp:simplePos x="0" y="0"/>
            <wp:positionH relativeFrom="margin">
              <wp:posOffset>860044</wp:posOffset>
            </wp:positionH>
            <wp:positionV relativeFrom="paragraph">
              <wp:posOffset>113358</wp:posOffset>
            </wp:positionV>
            <wp:extent cx="8038264" cy="5683170"/>
            <wp:effectExtent l="0" t="0" r="127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avid Lees\Reporting\Births 2014 by SA2 Victoria.jpg"/>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8038264" cy="568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7DF" w:rsidRPr="00484EC1" w:rsidRDefault="007127DF" w:rsidP="00D55AAF"/>
    <w:p w:rsidR="007127DF" w:rsidRPr="00484EC1" w:rsidRDefault="007127DF" w:rsidP="00D55AAF"/>
    <w:p w:rsidR="007127DF" w:rsidRPr="00484EC1" w:rsidRDefault="007127DF" w:rsidP="00D55AAF"/>
    <w:p w:rsidR="007127DF" w:rsidRPr="00484EC1" w:rsidRDefault="007127DF" w:rsidP="00D55AAF"/>
    <w:p w:rsidR="007127DF" w:rsidRPr="00484EC1" w:rsidRDefault="007127DF" w:rsidP="00D55AAF"/>
    <w:p w:rsidR="007127DF" w:rsidRPr="00484EC1" w:rsidRDefault="007127DF" w:rsidP="00D55AAF"/>
    <w:p w:rsidR="007127DF" w:rsidRPr="00484EC1" w:rsidRDefault="007127DF" w:rsidP="00D55AAF"/>
    <w:p w:rsidR="007127DF" w:rsidRPr="00484EC1" w:rsidRDefault="007127DF" w:rsidP="00D55AAF"/>
    <w:p w:rsidR="00C55201" w:rsidRPr="00484EC1" w:rsidRDefault="00C55201" w:rsidP="00D55AAF"/>
    <w:p w:rsidR="007127DF" w:rsidRPr="00484EC1" w:rsidRDefault="007127DF" w:rsidP="00D55AAF">
      <w:r w:rsidRPr="00484EC1">
        <w:br w:type="page"/>
      </w:r>
    </w:p>
    <w:p w:rsidR="00B039D4" w:rsidRPr="00484EC1" w:rsidRDefault="00E55087" w:rsidP="00B039D4">
      <w:pPr>
        <w:rPr>
          <w:color w:val="002060"/>
        </w:rPr>
      </w:pPr>
      <w:bookmarkStart w:id="65" w:name="_Toc437439677"/>
      <w:bookmarkStart w:id="66" w:name="_Toc437440918"/>
      <w:bookmarkStart w:id="67" w:name="_Toc437606656"/>
      <w:bookmarkStart w:id="68" w:name="_Toc438124222"/>
      <w:bookmarkStart w:id="69" w:name="_Toc438124364"/>
      <w:bookmarkStart w:id="70" w:name="_Toc438125645"/>
      <w:r>
        <w:rPr>
          <w:color w:val="002060"/>
        </w:rPr>
        <w:lastRenderedPageBreak/>
        <w:t>APPENDIX 7</w:t>
      </w:r>
      <w:r w:rsidR="007127DF" w:rsidRPr="00484EC1">
        <w:rPr>
          <w:color w:val="002060"/>
        </w:rPr>
        <w:t xml:space="preserve"> – Maps of Unemployment</w:t>
      </w:r>
      <w:bookmarkEnd w:id="65"/>
      <w:bookmarkEnd w:id="66"/>
      <w:bookmarkEnd w:id="67"/>
      <w:bookmarkEnd w:id="68"/>
      <w:bookmarkEnd w:id="69"/>
      <w:bookmarkEnd w:id="70"/>
    </w:p>
    <w:p w:rsidR="007127DF" w:rsidRPr="00484EC1" w:rsidRDefault="00B039D4" w:rsidP="00B039D4">
      <w:pPr>
        <w:jc w:val="center"/>
      </w:pPr>
      <w:r w:rsidRPr="00484EC1">
        <w:rPr>
          <w:noProof/>
          <w:sz w:val="32"/>
          <w:lang w:eastAsia="en-AU"/>
        </w:rPr>
        <w:drawing>
          <wp:inline distT="0" distB="0" distL="0" distR="0" wp14:anchorId="766D01B5" wp14:editId="4EE76FC5">
            <wp:extent cx="8225463" cy="5843283"/>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esearch\Staff\David Lees\Reporting\Labour Force\Unemployment Rate Sept 2016 Melbourne.jp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8225463" cy="5843283"/>
                    </a:xfrm>
                    <a:prstGeom prst="rect">
                      <a:avLst/>
                    </a:prstGeom>
                    <a:noFill/>
                    <a:ln>
                      <a:noFill/>
                    </a:ln>
                  </pic:spPr>
                </pic:pic>
              </a:graphicData>
            </a:graphic>
          </wp:inline>
        </w:drawing>
      </w:r>
    </w:p>
    <w:p w:rsidR="00A54DA9" w:rsidRPr="00484EC1" w:rsidRDefault="00B039D4" w:rsidP="00B039D4">
      <w:pPr>
        <w:jc w:val="center"/>
      </w:pPr>
      <w:r w:rsidRPr="00484EC1">
        <w:rPr>
          <w:noProof/>
          <w:lang w:eastAsia="en-AU"/>
        </w:rPr>
        <w:lastRenderedPageBreak/>
        <w:drawing>
          <wp:inline distT="0" distB="0" distL="0" distR="0">
            <wp:extent cx="8742105" cy="62103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esearch\Staff\David Lees\Reporting\Labour Force\Unemployment Rate Sept 2016 Victoria.jp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8742105" cy="6210300"/>
                    </a:xfrm>
                    <a:prstGeom prst="rect">
                      <a:avLst/>
                    </a:prstGeom>
                    <a:noFill/>
                    <a:ln>
                      <a:noFill/>
                    </a:ln>
                  </pic:spPr>
                </pic:pic>
              </a:graphicData>
            </a:graphic>
          </wp:inline>
        </w:drawing>
      </w:r>
    </w:p>
    <w:p w:rsidR="00491A75" w:rsidRPr="00484EC1" w:rsidRDefault="00A22309" w:rsidP="00491A75">
      <w:pPr>
        <w:ind w:left="720"/>
      </w:pPr>
      <w:r w:rsidRPr="00484EC1">
        <w:lastRenderedPageBreak/>
        <w:t>APPENDIX 8 – Active Greenfield Projects</w:t>
      </w:r>
    </w:p>
    <w:p w:rsidR="00A22309" w:rsidRPr="00484EC1" w:rsidRDefault="00491A75" w:rsidP="00491A75">
      <w:pPr>
        <w:ind w:left="720"/>
        <w:jc w:val="center"/>
      </w:pPr>
      <w:r w:rsidRPr="00484EC1">
        <w:rPr>
          <w:noProof/>
          <w:lang w:eastAsia="en-AU"/>
        </w:rPr>
        <w:drawing>
          <wp:inline distT="0" distB="0" distL="0" distR="0">
            <wp:extent cx="8250121" cy="58608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Research\Staff\David Lees\Active Projects\Dec 2016\Lots Sales Dec 2016.jpg"/>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8250121" cy="5860800"/>
                    </a:xfrm>
                    <a:prstGeom prst="rect">
                      <a:avLst/>
                    </a:prstGeom>
                    <a:noFill/>
                    <a:ln>
                      <a:noFill/>
                    </a:ln>
                  </pic:spPr>
                </pic:pic>
              </a:graphicData>
            </a:graphic>
          </wp:inline>
        </w:drawing>
      </w:r>
    </w:p>
    <w:p w:rsidR="00297D19" w:rsidRPr="00911E1B" w:rsidRDefault="00491A75" w:rsidP="00491A75">
      <w:pPr>
        <w:jc w:val="center"/>
        <w:rPr>
          <w:highlight w:val="yellow"/>
        </w:rPr>
      </w:pPr>
      <w:r w:rsidRPr="00911E1B">
        <w:rPr>
          <w:noProof/>
          <w:highlight w:val="yellow"/>
          <w:lang w:eastAsia="en-AU"/>
        </w:rPr>
        <w:lastRenderedPageBreak/>
        <w:drawing>
          <wp:inline distT="0" distB="0" distL="0" distR="0">
            <wp:extent cx="8742105" cy="62103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esearch\Staff\David Lees\Active Projects\Dec 2016\Stock Dec 2016.jpg"/>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8742105" cy="6210300"/>
                    </a:xfrm>
                    <a:prstGeom prst="rect">
                      <a:avLst/>
                    </a:prstGeom>
                    <a:noFill/>
                    <a:ln>
                      <a:noFill/>
                    </a:ln>
                  </pic:spPr>
                </pic:pic>
              </a:graphicData>
            </a:graphic>
          </wp:inline>
        </w:drawing>
      </w:r>
    </w:p>
    <w:p w:rsidR="002420B5" w:rsidRPr="009F7638" w:rsidRDefault="002420B5" w:rsidP="00D55AAF">
      <w:r w:rsidRPr="009F7638">
        <w:lastRenderedPageBreak/>
        <w:t>APPENDIX 9 – I</w:t>
      </w:r>
      <w:r w:rsidR="00B77E0B" w:rsidRPr="009F7638">
        <w:t>n</w:t>
      </w:r>
      <w:r w:rsidRPr="009F7638">
        <w:t xml:space="preserve">dustry of Employment </w:t>
      </w:r>
      <w:r w:rsidR="00AE7072" w:rsidRPr="009F7638">
        <w:t>i</w:t>
      </w:r>
      <w:r w:rsidRPr="009F7638">
        <w:t>n V</w:t>
      </w:r>
      <w:r w:rsidR="00B77E0B" w:rsidRPr="009F7638">
        <w:t>ic</w:t>
      </w:r>
      <w:r w:rsidRPr="009F7638">
        <w:t>toria – T</w:t>
      </w:r>
      <w:r w:rsidR="00B77E0B" w:rsidRPr="009F7638">
        <w:t>i</w:t>
      </w:r>
      <w:r w:rsidRPr="009F7638">
        <w:t>me Series</w:t>
      </w:r>
    </w:p>
    <w:p w:rsidR="00393BA5" w:rsidRPr="00297D19" w:rsidRDefault="009F7638" w:rsidP="001C7AD6">
      <w:r>
        <w:rPr>
          <w:noProof/>
          <w:lang w:eastAsia="en-AU"/>
        </w:rPr>
        <w:drawing>
          <wp:inline distT="0" distB="0" distL="0" distR="0" wp14:anchorId="740F4A45" wp14:editId="759FC814">
            <wp:extent cx="9496425" cy="58578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sectPr w:rsidR="00393BA5" w:rsidRPr="00297D19" w:rsidSect="00AE7072">
      <w:headerReference w:type="even" r:id="rId109"/>
      <w:headerReference w:type="default" r:id="rId110"/>
      <w:footerReference w:type="default" r:id="rId111"/>
      <w:pgSz w:w="16838" w:h="11906" w:orient="landscape" w:code="9"/>
      <w:pgMar w:top="1276" w:right="1276" w:bottom="851" w:left="85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7A2" w:rsidRDefault="00DD47A2" w:rsidP="00385888">
      <w:pPr>
        <w:spacing w:after="0" w:line="240" w:lineRule="auto"/>
      </w:pPr>
      <w:r>
        <w:separator/>
      </w:r>
    </w:p>
  </w:endnote>
  <w:endnote w:type="continuationSeparator" w:id="0">
    <w:p w:rsidR="00DD47A2" w:rsidRDefault="00DD47A2" w:rsidP="00385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319392"/>
      <w:docPartObj>
        <w:docPartGallery w:val="Page Numbers (Bottom of Page)"/>
        <w:docPartUnique/>
      </w:docPartObj>
    </w:sdtPr>
    <w:sdtEndPr>
      <w:rPr>
        <w:b/>
        <w:noProof/>
        <w:sz w:val="18"/>
      </w:rPr>
    </w:sdtEndPr>
    <w:sdtContent>
      <w:sdt>
        <w:sdtPr>
          <w:id w:val="-104350985"/>
          <w:docPartObj>
            <w:docPartGallery w:val="Page Numbers (Bottom of Page)"/>
            <w:docPartUnique/>
          </w:docPartObj>
        </w:sdtPr>
        <w:sdtEndPr>
          <w:rPr>
            <w:b/>
            <w:noProof/>
            <w:sz w:val="18"/>
          </w:rPr>
        </w:sdtEndPr>
        <w:sdtContent>
          <w:p w:rsidR="00DD47A2" w:rsidRDefault="00DD47A2" w:rsidP="00FF2512">
            <w:pPr>
              <w:pStyle w:val="Footer"/>
              <w:pBdr>
                <w:top w:val="single" w:sz="4" w:space="1" w:color="auto"/>
              </w:pBdr>
              <w:tabs>
                <w:tab w:val="clear" w:pos="9026"/>
                <w:tab w:val="right" w:pos="14853"/>
              </w:tabs>
              <w:ind w:right="-142"/>
              <w:rPr>
                <w:b/>
                <w:noProof/>
                <w:sz w:val="18"/>
              </w:rPr>
            </w:pPr>
            <w:r>
              <w:rPr>
                <w:sz w:val="14"/>
              </w:rPr>
              <w:t>Vic</w:t>
            </w:r>
            <w:r w:rsidR="00EE6B7A">
              <w:rPr>
                <w:sz w:val="14"/>
              </w:rPr>
              <w:t>toria’s Key Metrics Update – June</w:t>
            </w:r>
            <w:r>
              <w:rPr>
                <w:sz w:val="14"/>
              </w:rPr>
              <w:t xml:space="preserve"> 2017</w:t>
            </w:r>
            <w:r>
              <w:tab/>
            </w:r>
            <w:r>
              <w:tab/>
            </w:r>
            <w:r w:rsidRPr="002B20C0">
              <w:rPr>
                <w:sz w:val="14"/>
              </w:rPr>
              <w:t>Page</w:t>
            </w:r>
            <w:r>
              <w:rPr>
                <w:sz w:val="14"/>
              </w:rPr>
              <w:t xml:space="preserve">  </w:t>
            </w:r>
            <w:r w:rsidRPr="002B20C0">
              <w:rPr>
                <w:sz w:val="14"/>
              </w:rPr>
              <w:t xml:space="preserve"> </w:t>
            </w:r>
            <w:r w:rsidRPr="002B20C0">
              <w:rPr>
                <w:b/>
                <w:sz w:val="18"/>
              </w:rPr>
              <w:fldChar w:fldCharType="begin"/>
            </w:r>
            <w:r w:rsidRPr="002B20C0">
              <w:rPr>
                <w:b/>
                <w:sz w:val="18"/>
              </w:rPr>
              <w:instrText xml:space="preserve"> PAGE   \* MERGEFORMAT </w:instrText>
            </w:r>
            <w:r w:rsidRPr="002B20C0">
              <w:rPr>
                <w:b/>
                <w:sz w:val="18"/>
              </w:rPr>
              <w:fldChar w:fldCharType="separate"/>
            </w:r>
            <w:r w:rsidR="00067A9F">
              <w:rPr>
                <w:b/>
                <w:noProof/>
                <w:sz w:val="18"/>
              </w:rPr>
              <w:t>90</w:t>
            </w:r>
            <w:r w:rsidRPr="002B20C0">
              <w:rPr>
                <w:b/>
                <w:noProof/>
                <w:sz w:val="18"/>
              </w:rPr>
              <w:fldChar w:fldCharType="end"/>
            </w:r>
          </w:p>
          <w:p w:rsidR="00DD47A2" w:rsidRPr="00824C10" w:rsidRDefault="00067A9F" w:rsidP="00AF425B">
            <w:pPr>
              <w:pStyle w:val="Footer"/>
              <w:pBdr>
                <w:top w:val="single" w:sz="4" w:space="1" w:color="auto"/>
              </w:pBdr>
              <w:tabs>
                <w:tab w:val="clear" w:pos="9026"/>
                <w:tab w:val="right" w:pos="8931"/>
              </w:tabs>
              <w:ind w:right="-142"/>
              <w:rPr>
                <w:b/>
                <w:sz w:val="18"/>
              </w:rPr>
            </w:pP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Pr="00824C10" w:rsidRDefault="00067A9F" w:rsidP="00AF425B">
    <w:pPr>
      <w:pStyle w:val="Footer"/>
      <w:pBdr>
        <w:top w:val="single" w:sz="4" w:space="1" w:color="auto"/>
      </w:pBdr>
      <w:tabs>
        <w:tab w:val="clear" w:pos="9026"/>
        <w:tab w:val="right" w:pos="9923"/>
      </w:tabs>
      <w:ind w:right="-142"/>
      <w:rPr>
        <w:b/>
        <w:sz w:val="18"/>
      </w:rPr>
    </w:pPr>
    <w:sdt>
      <w:sdtPr>
        <w:id w:val="-398525730"/>
        <w:docPartObj>
          <w:docPartGallery w:val="Page Numbers (Bottom of Page)"/>
          <w:docPartUnique/>
        </w:docPartObj>
      </w:sdtPr>
      <w:sdtEndPr>
        <w:rPr>
          <w:b/>
          <w:noProof/>
          <w:sz w:val="18"/>
        </w:rPr>
      </w:sdtEndPr>
      <w:sdtContent>
        <w:r w:rsidR="00DD47A2" w:rsidRPr="002B20C0">
          <w:rPr>
            <w:sz w:val="14"/>
          </w:rPr>
          <w:t>Page</w:t>
        </w:r>
        <w:r w:rsidR="00DD47A2">
          <w:rPr>
            <w:sz w:val="14"/>
          </w:rPr>
          <w:t xml:space="preserve">  </w:t>
        </w:r>
        <w:r w:rsidR="00DD47A2" w:rsidRPr="002B20C0">
          <w:rPr>
            <w:sz w:val="14"/>
          </w:rPr>
          <w:t xml:space="preserve"> </w:t>
        </w:r>
        <w:r w:rsidR="00DD47A2" w:rsidRPr="002B20C0">
          <w:rPr>
            <w:b/>
            <w:sz w:val="18"/>
          </w:rPr>
          <w:fldChar w:fldCharType="begin"/>
        </w:r>
        <w:r w:rsidR="00DD47A2" w:rsidRPr="002B20C0">
          <w:rPr>
            <w:b/>
            <w:sz w:val="18"/>
          </w:rPr>
          <w:instrText xml:space="preserve"> PAGE   \* MERGEFORMAT </w:instrText>
        </w:r>
        <w:r w:rsidR="00DD47A2" w:rsidRPr="002B20C0">
          <w:rPr>
            <w:b/>
            <w:sz w:val="18"/>
          </w:rPr>
          <w:fldChar w:fldCharType="separate"/>
        </w:r>
        <w:r>
          <w:rPr>
            <w:b/>
            <w:noProof/>
            <w:sz w:val="18"/>
          </w:rPr>
          <w:t>85</w:t>
        </w:r>
        <w:r w:rsidR="00DD47A2" w:rsidRPr="002B20C0">
          <w:rPr>
            <w:b/>
            <w:noProof/>
            <w:sz w:val="18"/>
          </w:rPr>
          <w:fldChar w:fldCharType="end"/>
        </w:r>
        <w:r w:rsidR="00DD47A2">
          <w:rPr>
            <w:sz w:val="14"/>
          </w:rPr>
          <w:t xml:space="preserve"> </w:t>
        </w:r>
        <w:r w:rsidR="00DD47A2">
          <w:rPr>
            <w:sz w:val="14"/>
          </w:rPr>
          <w:tab/>
        </w:r>
        <w:r w:rsidR="00DD47A2">
          <w:rPr>
            <w:sz w:val="14"/>
          </w:rPr>
          <w:tab/>
          <w:t xml:space="preserve">Victoria’s Key Metrics Update – </w:t>
        </w:r>
        <w:r w:rsidR="00EE6B7A">
          <w:rPr>
            <w:sz w:val="14"/>
          </w:rPr>
          <w:t xml:space="preserve">June </w:t>
        </w:r>
        <w:r w:rsidR="00DD47A2">
          <w:rPr>
            <w:sz w:val="14"/>
          </w:rPr>
          <w:t>2017</w:t>
        </w:r>
      </w:sdtContent>
    </w:sdt>
  </w:p>
  <w:p w:rsidR="00DD47A2" w:rsidRDefault="00DD47A2" w:rsidP="00AF425B">
    <w:pPr>
      <w:pStyle w:val="Footer"/>
      <w:pBdr>
        <w:top w:val="single" w:sz="4" w:space="1" w:color="auto"/>
      </w:pBdr>
      <w:tabs>
        <w:tab w:val="clear" w:pos="9026"/>
        <w:tab w:val="right" w:pos="8931"/>
      </w:tabs>
      <w:ind w:right="-142"/>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Default="00DD47A2" w:rsidP="00A91F30">
    <w:pPr>
      <w:pStyle w:val="Footer"/>
      <w:ind w:left="-127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Pr="00824C10" w:rsidRDefault="00067A9F" w:rsidP="00EA409F">
    <w:pPr>
      <w:pStyle w:val="Footer"/>
      <w:pBdr>
        <w:top w:val="single" w:sz="4" w:space="1" w:color="auto"/>
      </w:pBdr>
      <w:tabs>
        <w:tab w:val="clear" w:pos="9026"/>
        <w:tab w:val="left" w:pos="11482"/>
      </w:tabs>
      <w:ind w:right="-142"/>
      <w:rPr>
        <w:b/>
        <w:sz w:val="18"/>
      </w:rPr>
    </w:pPr>
    <w:sdt>
      <w:sdtPr>
        <w:id w:val="-896122205"/>
        <w:docPartObj>
          <w:docPartGallery w:val="Page Numbers (Bottom of Page)"/>
          <w:docPartUnique/>
        </w:docPartObj>
      </w:sdtPr>
      <w:sdtEndPr>
        <w:rPr>
          <w:b/>
          <w:noProof/>
          <w:sz w:val="18"/>
        </w:rPr>
      </w:sdtEndPr>
      <w:sdtContent>
        <w:r w:rsidR="00DD47A2" w:rsidRPr="002B20C0">
          <w:rPr>
            <w:sz w:val="14"/>
          </w:rPr>
          <w:t>Page</w:t>
        </w:r>
        <w:r w:rsidR="00DD47A2">
          <w:rPr>
            <w:sz w:val="14"/>
          </w:rPr>
          <w:t xml:space="preserve">  </w:t>
        </w:r>
        <w:r w:rsidR="00DD47A2" w:rsidRPr="002B20C0">
          <w:rPr>
            <w:sz w:val="14"/>
          </w:rPr>
          <w:t xml:space="preserve"> </w:t>
        </w:r>
        <w:r w:rsidR="00DD47A2" w:rsidRPr="002B20C0">
          <w:rPr>
            <w:b/>
            <w:sz w:val="18"/>
          </w:rPr>
          <w:fldChar w:fldCharType="begin"/>
        </w:r>
        <w:r w:rsidR="00DD47A2" w:rsidRPr="002B20C0">
          <w:rPr>
            <w:b/>
            <w:sz w:val="18"/>
          </w:rPr>
          <w:instrText xml:space="preserve"> PAGE   \* MERGEFORMAT </w:instrText>
        </w:r>
        <w:r w:rsidR="00DD47A2" w:rsidRPr="002B20C0">
          <w:rPr>
            <w:b/>
            <w:sz w:val="18"/>
          </w:rPr>
          <w:fldChar w:fldCharType="separate"/>
        </w:r>
        <w:r>
          <w:rPr>
            <w:b/>
            <w:noProof/>
            <w:sz w:val="18"/>
          </w:rPr>
          <w:t>89</w:t>
        </w:r>
        <w:r w:rsidR="00DD47A2" w:rsidRPr="002B20C0">
          <w:rPr>
            <w:b/>
            <w:noProof/>
            <w:sz w:val="18"/>
          </w:rPr>
          <w:fldChar w:fldCharType="end"/>
        </w:r>
        <w:r w:rsidR="00DD47A2">
          <w:rPr>
            <w:sz w:val="14"/>
          </w:rPr>
          <w:t xml:space="preserve"> </w:t>
        </w:r>
        <w:r w:rsidR="00DD47A2">
          <w:rPr>
            <w:sz w:val="14"/>
          </w:rPr>
          <w:tab/>
        </w:r>
        <w:r w:rsidR="00DD47A2">
          <w:rPr>
            <w:sz w:val="14"/>
          </w:rPr>
          <w:tab/>
          <w:t xml:space="preserve">Victoria’s Key Metrics Update – </w:t>
        </w:r>
        <w:r w:rsidR="00EE6B7A">
          <w:rPr>
            <w:sz w:val="14"/>
          </w:rPr>
          <w:t xml:space="preserve">June </w:t>
        </w:r>
        <w:r w:rsidR="00DD47A2">
          <w:rPr>
            <w:sz w:val="14"/>
          </w:rPr>
          <w:t>2017</w:t>
        </w:r>
      </w:sdtContent>
    </w:sdt>
  </w:p>
  <w:p w:rsidR="00DD47A2" w:rsidRDefault="00DD47A2" w:rsidP="00AF425B">
    <w:pPr>
      <w:pStyle w:val="Footer"/>
      <w:pBdr>
        <w:top w:val="single" w:sz="4" w:space="1" w:color="auto"/>
      </w:pBdr>
      <w:tabs>
        <w:tab w:val="clear" w:pos="9026"/>
        <w:tab w:val="right" w:pos="8931"/>
      </w:tabs>
      <w:ind w:right="-142"/>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7A2" w:rsidRDefault="00DD47A2" w:rsidP="00385888">
      <w:pPr>
        <w:spacing w:after="0" w:line="240" w:lineRule="auto"/>
      </w:pPr>
      <w:r>
        <w:separator/>
      </w:r>
    </w:p>
  </w:footnote>
  <w:footnote w:type="continuationSeparator" w:id="0">
    <w:p w:rsidR="00DD47A2" w:rsidRDefault="00DD47A2" w:rsidP="00385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Pr="00A25460" w:rsidRDefault="00DD47A2" w:rsidP="00A25460">
    <w:pPr>
      <w:pStyle w:val="Header"/>
    </w:pPr>
    <w:r>
      <w:rPr>
        <w:noProof/>
        <w:lang w:eastAsia="en-AU"/>
      </w:rPr>
      <w:drawing>
        <wp:anchor distT="0" distB="0" distL="114300" distR="114300" simplePos="0" relativeHeight="251686912" behindDoc="0" locked="0" layoutInCell="1" allowOverlap="1" wp14:anchorId="3F584A3A" wp14:editId="39245AB4">
          <wp:simplePos x="0" y="0"/>
          <wp:positionH relativeFrom="margin">
            <wp:align>right</wp:align>
          </wp:positionH>
          <wp:positionV relativeFrom="margin">
            <wp:posOffset>-633095</wp:posOffset>
          </wp:positionV>
          <wp:extent cx="918000" cy="374400"/>
          <wp:effectExtent l="0" t="0" r="0" b="6985"/>
          <wp:wrapSquare wrapText="bothSides"/>
          <wp:docPr id="82" name="Picture 82" descr="X:\Drawings &amp; Graphics\VPA_Branding\01_VPA_logo\VPA_logo_CMY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rawings &amp; Graphics\VPA_Branding\01_VPA_logo\VPA_logo_CMYK_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8000" cy="374400"/>
                  </a:xfrm>
                  <a:prstGeom prst="rect">
                    <a:avLst/>
                  </a:prstGeom>
                  <a:noFill/>
                  <a:ln>
                    <a:noFill/>
                  </a:ln>
                </pic:spPr>
              </pic:pic>
            </a:graphicData>
          </a:graphic>
        </wp:anchor>
      </w:drawing>
    </w:r>
    <w:r>
      <w:rPr>
        <w:noProof/>
        <w:color w:val="1F497D"/>
        <w:sz w:val="21"/>
        <w:szCs w:val="21"/>
        <w:lang w:eastAsia="en-AU"/>
      </w:rPr>
      <mc:AlternateContent>
        <mc:Choice Requires="wps">
          <w:drawing>
            <wp:anchor distT="0" distB="0" distL="114300" distR="114300" simplePos="0" relativeHeight="251673600" behindDoc="0" locked="0" layoutInCell="1" allowOverlap="1" wp14:anchorId="42B877BE" wp14:editId="39D69163">
              <wp:simplePos x="0" y="0"/>
              <wp:positionH relativeFrom="margin">
                <wp:posOffset>0</wp:posOffset>
              </wp:positionH>
              <wp:positionV relativeFrom="paragraph">
                <wp:posOffset>302115</wp:posOffset>
              </wp:positionV>
              <wp:extent cx="6146156"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6146156" cy="0"/>
                      </a:xfrm>
                      <a:prstGeom prst="line">
                        <a:avLst/>
                      </a:prstGeom>
                      <a:ln>
                        <a:solidFill>
                          <a:srgbClr val="0051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F6C90"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8pt" to="483.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AK0wEAAAQEAAAOAAAAZHJzL2Uyb0RvYy54bWysU02P0zAQvSPxHyzfaZLCVihquoeulguC&#10;ioUf4DrjxJK/NDZN++8ZO212BUgIxGWSsee9mfdsb+/P1rATYNTedbxZ1ZyBk77Xbuj4t6+Pb95z&#10;FpNwvTDeQccvEPn97vWr7RRaWPvRmx6QEYmL7RQ6PqYU2qqKcgQr4soHcLSpPFqRKMWh6lFMxG5N&#10;ta7rTTV57AN6CTHS6sO8yXeFXymQ6bNSERIzHafZUolY4jHHarcV7YAijFpexxD/MIUV2lHThepB&#10;JMG+o/6FymqJPnqVVtLbyiulJRQNpKapf1LzNIoARQuZE8NiU/x/tPLT6YBM9x1fc+aEpSN6Sij0&#10;MCa2986RgR7ZOvs0hdhS+d4d8JrFcMAs+qzQ5i/JYefi7WXxFs6JSVrcNO82zd2GM3nbq56BAWP6&#10;AN6y/NNxo12WLVpx+hgTNaPSW0leNi7H6I3uH7UxJcHhuDfITiIfdH3XbN7mmQn4ooyyDK2yknn2&#10;8pcuBmbaL6DIC5q2Ke3LLYSFVkgJLjVXXuOoOsMUjbAA6z8Dr/UZCuWG/g14QZTO3qUFbLXz+Lvu&#10;6XwbWc31Nwdm3dmCo+8v5VSLNXTVinPXZ5Hv8su8wJ8f7+4HAAAA//8DAFBLAwQUAAYACAAAACEA&#10;fwan3dwAAAAGAQAADwAAAGRycy9kb3ducmV2LnhtbEyPQUvDQBCF74L/YRnBm920lNSmmRQtCCJS&#10;tErP0+yYRLOzMbtN4793xYMe573He9/k69G2auDeN04QppMEFEvpTCMVwuvL3dU1KB9IDLVOGOGL&#10;PayL87OcMuNO8szDLlQqlojPCKEOocu09mXNlvzEdSzRe3O9pRDPvtKmp1Mst62eJUmqLTUSF2rq&#10;eFNz+bE7WgS7f3rfDNv77XzaPNyaWUXm8zFFvLwYb1agAo/hLww/+BEdish0cEcxXrUI8ZGAMF+k&#10;oKK7TBdLUIdfQRe5/o9ffAMAAP//AwBQSwECLQAUAAYACAAAACEAtoM4kv4AAADhAQAAEwAAAAAA&#10;AAAAAAAAAAAAAAAAW0NvbnRlbnRfVHlwZXNdLnhtbFBLAQItABQABgAIAAAAIQA4/SH/1gAAAJQB&#10;AAALAAAAAAAAAAAAAAAAAC8BAABfcmVscy8ucmVsc1BLAQItABQABgAIAAAAIQB6leAK0wEAAAQE&#10;AAAOAAAAAAAAAAAAAAAAAC4CAABkcnMvZTJvRG9jLnhtbFBLAQItABQABgAIAAAAIQB/Bqfd3AAA&#10;AAYBAAAPAAAAAAAAAAAAAAAAAC0EAABkcnMvZG93bnJldi54bWxQSwUGAAAAAAQABADzAAAANgUA&#10;AAAA&#10;" strokecolor="#005163" strokeweight=".5pt">
              <v:stroke joinstyle="miter"/>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Default="00DD47A2" w:rsidP="001C35C3">
    <w:pPr>
      <w:pStyle w:val="Header"/>
      <w:tabs>
        <w:tab w:val="clear" w:pos="4513"/>
        <w:tab w:val="clear" w:pos="9026"/>
        <w:tab w:val="left" w:pos="2136"/>
      </w:tabs>
    </w:pPr>
    <w:r>
      <w:rPr>
        <w:noProof/>
        <w:lang w:eastAsia="en-AU"/>
      </w:rPr>
      <w:drawing>
        <wp:anchor distT="0" distB="0" distL="114300" distR="114300" simplePos="0" relativeHeight="251684864" behindDoc="0" locked="0" layoutInCell="1" allowOverlap="1" wp14:anchorId="779442E0" wp14:editId="0DD68942">
          <wp:simplePos x="0" y="0"/>
          <wp:positionH relativeFrom="margin">
            <wp:align>left</wp:align>
          </wp:positionH>
          <wp:positionV relativeFrom="margin">
            <wp:posOffset>-655955</wp:posOffset>
          </wp:positionV>
          <wp:extent cx="918000" cy="374400"/>
          <wp:effectExtent l="0" t="0" r="0" b="6985"/>
          <wp:wrapSquare wrapText="bothSides"/>
          <wp:docPr id="102" name="Picture 102" descr="X:\Drawings &amp; Graphics\VPA_Branding\01_VPA_logo\VPA_logo_CMY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rawings &amp; Graphics\VPA_Branding\01_VPA_logo\VPA_logo_CMYK_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8000" cy="374400"/>
                  </a:xfrm>
                  <a:prstGeom prst="rect">
                    <a:avLst/>
                  </a:prstGeom>
                  <a:noFill/>
                  <a:ln>
                    <a:noFill/>
                  </a:ln>
                </pic:spPr>
              </pic:pic>
            </a:graphicData>
          </a:graphic>
        </wp:anchor>
      </w:drawing>
    </w:r>
    <w:r>
      <w:rPr>
        <w:noProof/>
        <w:color w:val="1F497D"/>
        <w:sz w:val="21"/>
        <w:szCs w:val="21"/>
        <w:lang w:eastAsia="en-AU"/>
      </w:rPr>
      <mc:AlternateContent>
        <mc:Choice Requires="wps">
          <w:drawing>
            <wp:anchor distT="0" distB="0" distL="114300" distR="114300" simplePos="0" relativeHeight="251670528" behindDoc="0" locked="0" layoutInCell="1" allowOverlap="1" wp14:anchorId="7A5C6271" wp14:editId="45399577">
              <wp:simplePos x="0" y="0"/>
              <wp:positionH relativeFrom="margin">
                <wp:posOffset>11543</wp:posOffset>
              </wp:positionH>
              <wp:positionV relativeFrom="paragraph">
                <wp:posOffset>299712</wp:posOffset>
              </wp:positionV>
              <wp:extent cx="6146156" cy="0"/>
              <wp:effectExtent l="0" t="0" r="26670" b="19050"/>
              <wp:wrapNone/>
              <wp:docPr id="20" name="Straight Connector 20"/>
              <wp:cNvGraphicFramePr/>
              <a:graphic xmlns:a="http://schemas.openxmlformats.org/drawingml/2006/main">
                <a:graphicData uri="http://schemas.microsoft.com/office/word/2010/wordprocessingShape">
                  <wps:wsp>
                    <wps:cNvCnPr/>
                    <wps:spPr>
                      <a:xfrm>
                        <a:off x="0" y="0"/>
                        <a:ext cx="6146156" cy="0"/>
                      </a:xfrm>
                      <a:prstGeom prst="line">
                        <a:avLst/>
                      </a:prstGeom>
                      <a:ln>
                        <a:solidFill>
                          <a:srgbClr val="0051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810C5"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3.6pt" to="484.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BF0wEAAAYEAAAOAAAAZHJzL2Uyb0RvYy54bWysU02P0zAQvSPxHyzfaZLCVihquoeulguC&#10;ioUf4DrjxJK/NDZN++8ZO212BUgIxGWSsee9mfdsb+/P1rATYNTedbxZ1ZyBk77Xbuj4t6+Pb95z&#10;FpNwvTDeQccvEPn97vWr7RRaWPvRmx6QEYmL7RQ6PqYU2qqKcgQr4soHcLSpPFqRKMWh6lFMxG5N&#10;ta7rTTV57AN6CTHS6sO8yXeFXymQ6bNSERIzHafZUolY4jHHarcV7YAijFpexxD/MIUV2lHThepB&#10;JMG+o/6FymqJPnqVVtLbyiulJRQNpKapf1LzNIoARQuZE8NiU/x/tPLT6YBM9x1fkz1OWDqjp4RC&#10;D2Nie+8cOeiR0SY5NYXYEmDvDnjNYjhgln1WaPOXBLFzcfeyuAvnxCQtbpp3m+Zuw5m87VXPwIAx&#10;fQBvWf7puNEuCxetOH2MiZpR6a0kLxuXY/RG94/amJLgcNwbZCeRj7q+azZv88wEfFFGWYZWWck8&#10;e/lLFwMz7RdQ5AZN25T25R7CQiukBJeaK69xVJ1hikZYgPWfgdf6DIVyR/8GvCBKZ+/SArbaefxd&#10;93S+jazm+psDs+5swdH3l3KqxRq6bMW568PIt/llXuDPz3f3AwAA//8DAFBLAwQUAAYACAAAACEA&#10;m24ogtoAAAAHAQAADwAAAGRycy9kb3ducmV2LnhtbEyOT0vDQBDF74LfYRnBm900lNTGbIoWBBEp&#10;WsXzNDsm0exszG7T+O0d8aDH94f3fsV6cp0aaQitZwPzWQKKuPK25drAy/PtxSWoEJEtdp7JwBcF&#10;WJenJwXm1h/5icZdrJWMcMjRQBNjn2sdqoYchpnviSV784PDKHKotR3wKOOu02mSZNphy/LQYE+b&#10;hqqP3cEZcK+P75txe7ddzNv7G5vWaD8fMmPOz6brK1CRpvhXhh98QYdSmPb+wDaoTrSARwOLZQpK&#10;4lW2WoLa/xq6LPR//vIbAAD//wMAUEsBAi0AFAAGAAgAAAAhALaDOJL+AAAA4QEAABMAAAAAAAAA&#10;AAAAAAAAAAAAAFtDb250ZW50X1R5cGVzXS54bWxQSwECLQAUAAYACAAAACEAOP0h/9YAAACUAQAA&#10;CwAAAAAAAAAAAAAAAAAvAQAAX3JlbHMvLnJlbHNQSwECLQAUAAYACAAAACEALukgRdMBAAAGBAAA&#10;DgAAAAAAAAAAAAAAAAAuAgAAZHJzL2Uyb0RvYy54bWxQSwECLQAUAAYACAAAACEAm24ogtoAAAAH&#10;AQAADwAAAAAAAAAAAAAAAAAtBAAAZHJzL2Rvd25yZXYueG1sUEsFBgAAAAAEAAQA8wAAADQFAAAA&#10;AA==&#10;" strokecolor="#005163" strokeweight=".5pt">
              <v:stroke joinstyle="miter"/>
              <w10:wrap anchorx="margin"/>
            </v:line>
          </w:pict>
        </mc:Fallback>
      </mc:AlternateContent>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Pr="00A25460" w:rsidRDefault="00DD47A2" w:rsidP="00A25460">
    <w:pPr>
      <w:pStyle w:val="Header"/>
    </w:pPr>
    <w:r>
      <w:rPr>
        <w:noProof/>
        <w:lang w:eastAsia="en-AU"/>
      </w:rPr>
      <w:drawing>
        <wp:anchor distT="0" distB="0" distL="114300" distR="114300" simplePos="0" relativeHeight="251688960" behindDoc="0" locked="0" layoutInCell="1" allowOverlap="1" wp14:anchorId="2EB106F6" wp14:editId="5864CC07">
          <wp:simplePos x="0" y="0"/>
          <wp:positionH relativeFrom="margin">
            <wp:posOffset>0</wp:posOffset>
          </wp:positionH>
          <wp:positionV relativeFrom="margin">
            <wp:posOffset>-281940</wp:posOffset>
          </wp:positionV>
          <wp:extent cx="918000" cy="374400"/>
          <wp:effectExtent l="0" t="0" r="0" b="6985"/>
          <wp:wrapSquare wrapText="bothSides"/>
          <wp:docPr id="50" name="Picture 50" descr="X:\Drawings &amp; Graphics\VPA_Branding\01_VPA_logo\VPA_logo_CMY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rawings &amp; Graphics\VPA_Branding\01_VPA_logo\VPA_logo_CMYK_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8000" cy="374400"/>
                  </a:xfrm>
                  <a:prstGeom prst="rect">
                    <a:avLst/>
                  </a:prstGeom>
                  <a:noFill/>
                  <a:ln>
                    <a:noFill/>
                  </a:ln>
                </pic:spPr>
              </pic:pic>
            </a:graphicData>
          </a:graphic>
        </wp:anchor>
      </w:drawing>
    </w:r>
    <w:r>
      <w:rPr>
        <w:noProof/>
        <w:color w:val="1F497D"/>
        <w:sz w:val="21"/>
        <w:szCs w:val="21"/>
        <w:lang w:eastAsia="en-AU"/>
      </w:rPr>
      <mc:AlternateContent>
        <mc:Choice Requires="wps">
          <w:drawing>
            <wp:anchor distT="0" distB="0" distL="114300" distR="114300" simplePos="0" relativeHeight="251683840" behindDoc="0" locked="0" layoutInCell="1" allowOverlap="1" wp14:anchorId="2DF41F61" wp14:editId="0964A93A">
              <wp:simplePos x="0" y="0"/>
              <wp:positionH relativeFrom="margin">
                <wp:posOffset>0</wp:posOffset>
              </wp:positionH>
              <wp:positionV relativeFrom="paragraph">
                <wp:posOffset>285605</wp:posOffset>
              </wp:positionV>
              <wp:extent cx="94678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9467850" cy="0"/>
                      </a:xfrm>
                      <a:prstGeom prst="line">
                        <a:avLst/>
                      </a:prstGeom>
                      <a:ln>
                        <a:solidFill>
                          <a:srgbClr val="0051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27BE7" id="Straight Connector 41"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5pt" to="74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nz1gEAAAYEAAAOAAAAZHJzL2Uyb0RvYy54bWysU8Fu2zAMvQ/YPwi6L3a6NmuNOD2k6C7D&#10;FqzbByiyFAuQRIHSYufvR8mJW2wDhg670KbE98j3JK3vR2fZUWE04Fu+XNScKS+hM/7Q8u/fHt/d&#10;chaT8J2w4FXLTyry+83bN+shNOoKerCdQkYkPjZDaHmfUmiqKspeOREXEJSnTQ3oRKIUD1WHYiB2&#10;Z6urul5VA2AXEKSKkVYfpk2+KfxaK5m+aB1VYrblNFsqEUvc51ht1qI5oAi9kecxxD9M4YTx1HSm&#10;ehBJsB9ofqNyRiJE0GkhwVWgtZGqaCA1y/oXNU+9CKpoIXNimG2K/49Wfj7ukJmu5ddLzrxwdEZP&#10;CYU59IltwXtyEJDRJjk1hNgQYOt3eM5i2GGWPWp0+UuC2FjcPc3uqjExSYt316sPtzd0CPKyVz0D&#10;A8b0UYFj+afl1vgsXDTi+Ckmakall5K8bH2OEazpHo21JcHDfmuRHUU+6vpmuXqfZybgizLKMrTK&#10;SqbZy186WTXRflWa3KBpl6V9uYdqphVSKp+KF4WJqjNM0wgzsP478Fyfoarc0deAZ0TpDD7NYGc8&#10;4J+6p/Eysp7qLw5MurMFe+hO5VSLNXTZinPnh5Fv88u8wJ+f7+YnAAAA//8DAFBLAwQUAAYACAAA&#10;ACEAVqB67tsAAAAHAQAADwAAAGRycy9kb3ducmV2LnhtbEyPT0vDQBDF74LfYRnBm92kxKIxm6IF&#10;QURKreJ5mh2TaHY2Zrdp/PZO8aCn+fOG935TLCfXqZGG0Ho2kM4SUMSVty3XBl5f7i+uQIWIbLHz&#10;TAa+KcCyPD0pMLf+wM80bmOtxIRDjgaaGPtc61A15DDMfE8s2rsfHEYZh1rbAQ9i7jo9T5KFdtiy&#10;JDTY06qh6nO7dwbc2+ZjNa4f1lnaPt7ZeY3262lhzPnZdHsDKtIU/47hiC/oUArTzu/ZBtUZkEei&#10;gexS6lHNrlPpdr8bXRb6P3/5AwAA//8DAFBLAQItABQABgAIAAAAIQC2gziS/gAAAOEBAAATAAAA&#10;AAAAAAAAAAAAAAAAAABbQ29udGVudF9UeXBlc10ueG1sUEsBAi0AFAAGAAgAAAAhADj9If/WAAAA&#10;lAEAAAsAAAAAAAAAAAAAAAAALwEAAF9yZWxzLy5yZWxzUEsBAi0AFAAGAAgAAAAhAC0AWfPWAQAA&#10;BgQAAA4AAAAAAAAAAAAAAAAALgIAAGRycy9lMm9Eb2MueG1sUEsBAi0AFAAGAAgAAAAhAFageu7b&#10;AAAABwEAAA8AAAAAAAAAAAAAAAAAMAQAAGRycy9kb3ducmV2LnhtbFBLBQYAAAAABAAEAPMAAAA4&#10;BQAAAAA=&#10;" strokecolor="#005163" strokeweight=".5pt">
              <v:stroke joinstyle="miter"/>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A2" w:rsidRDefault="00DD47A2">
    <w:pPr>
      <w:pStyle w:val="Header"/>
    </w:pPr>
    <w:r>
      <w:rPr>
        <w:noProof/>
        <w:color w:val="1F497D"/>
        <w:sz w:val="21"/>
        <w:szCs w:val="21"/>
        <w:lang w:eastAsia="en-AU"/>
      </w:rPr>
      <mc:AlternateContent>
        <mc:Choice Requires="wps">
          <w:drawing>
            <wp:anchor distT="0" distB="0" distL="114300" distR="114300" simplePos="0" relativeHeight="251678720" behindDoc="0" locked="0" layoutInCell="1" allowOverlap="1" wp14:anchorId="56572B22" wp14:editId="691E977B">
              <wp:simplePos x="0" y="0"/>
              <wp:positionH relativeFrom="margin">
                <wp:posOffset>15200</wp:posOffset>
              </wp:positionH>
              <wp:positionV relativeFrom="paragraph">
                <wp:posOffset>299712</wp:posOffset>
              </wp:positionV>
              <wp:extent cx="9468091"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468091" cy="0"/>
                      </a:xfrm>
                      <a:prstGeom prst="line">
                        <a:avLst/>
                      </a:prstGeom>
                      <a:ln>
                        <a:solidFill>
                          <a:srgbClr val="0051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A8478"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23.6pt" to="746.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vd1AEAAAQEAAAOAAAAZHJzL2Uyb0RvYy54bWysU02P0zAQvSPxHyzfaZKFVrtR0z10tVwQ&#10;VOzyA1xn3Fjyl8amaf89Y6fNrgAJgbhMMva8N/Oe7fX9yRp2BIzau443i5ozcNL32h06/u358d0t&#10;ZzEJ1wvjHXT8DJHfb96+WY+hhRs/eNMDMiJxsR1Dx4eUQltVUQ5gRVz4AI42lUcrEqV4qHoUI7Fb&#10;U93U9aoaPfYBvYQYafVh2uSbwq8UyPRFqQiJmY7TbKlELHGfY7VZi/aAIgxaXsYQ/zCFFdpR05nq&#10;QSTBvqP+hcpqiT56lRbS28orpSUUDaSmqX9S8zSIAEULmRPDbFP8f7Ty83GHTPcdX3LmhKUjekoo&#10;9GFIbOudIwM9smX2aQyxpfKt2+Eli2GHWfRJoc1fksNOxdvz7C2cEpO0ePdhdVvfNZzJ6171AgwY&#10;00fwluWfjhvtsmzRiuOnmKgZlV5L8rJxOUZvdP+ojSkJHvZbg+wo8kHXy2b1Ps9MwFdllGVolZVM&#10;s5e/dDYw0X4FRV7QtE1pX24hzLRCSnCpufAaR9UZpmiEGVj/GXipz1AoN/RvwDOidPYuzWCrncff&#10;dU+n68hqqr86MOnOFux9fy6nWqyhq1acuzyLfJdf5wX+8ng3PwAAAP//AwBQSwMEFAAGAAgAAAAh&#10;AD0lhOfcAAAACAEAAA8AAABkcnMvZG93bnJldi54bWxMj0FLw0AQhe+C/2EZwZvdNIaqMZOiBUFE&#10;ilbxPM2OSTQ7G7PbNP57t3jQ47z3ePO9YjnZTo08+NYJwnyWgGKpnGmlRnh9uTu7BOUDiaHOCSN8&#10;s4dleXxUUG7cXp553IRaxRLxOSE0IfS51r5q2JKfuZ4leu9usBTiOdTaDLSP5bbTaZIstKVW4oeG&#10;el41XH1udhbBvj19rMb1/Tqbtw+3Jq3JfD0uEE9PpptrUIGn8BeGA35EhzIybd1OjFcdQprFIEJ2&#10;kYI62NnVeVS2v4ouC/1/QPkDAAD//wMAUEsBAi0AFAAGAAgAAAAhALaDOJL+AAAA4QEAABMAAAAA&#10;AAAAAAAAAAAAAAAAAFtDb250ZW50X1R5cGVzXS54bWxQSwECLQAUAAYACAAAACEAOP0h/9YAAACU&#10;AQAACwAAAAAAAAAAAAAAAAAvAQAAX3JlbHMvLnJlbHNQSwECLQAUAAYACAAAACEAyDu73dQBAAAE&#10;BAAADgAAAAAAAAAAAAAAAAAuAgAAZHJzL2Uyb0RvYy54bWxQSwECLQAUAAYACAAAACEAPSWE59wA&#10;AAAIAQAADwAAAAAAAAAAAAAAAAAuBAAAZHJzL2Rvd25yZXYueG1sUEsFBgAAAAAEAAQA8wAAADcF&#10;AAAAAA==&#10;" strokecolor="#005163" strokeweight=".5pt">
              <v:stroke joinstyle="miter"/>
              <w10:wrap anchorx="margin"/>
            </v:line>
          </w:pict>
        </mc:Fallback>
      </mc:AlternateContent>
    </w:r>
    <w:r>
      <w:rPr>
        <w:noProof/>
        <w:lang w:eastAsia="en-AU"/>
      </w:rPr>
      <w:drawing>
        <wp:inline distT="0" distB="0" distL="0" distR="0" wp14:anchorId="45A08E67" wp14:editId="3B83E075">
          <wp:extent cx="914400" cy="3778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7782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76A1F"/>
    <w:multiLevelType w:val="hybridMultilevel"/>
    <w:tmpl w:val="5B0C3AF8"/>
    <w:lvl w:ilvl="0" w:tplc="0C090019">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D466BB"/>
    <w:multiLevelType w:val="hybridMultilevel"/>
    <w:tmpl w:val="CD7A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82185"/>
    <w:multiLevelType w:val="hybridMultilevel"/>
    <w:tmpl w:val="E0FCD290"/>
    <w:lvl w:ilvl="0" w:tplc="5BAA2050">
      <w:start w:val="2"/>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 w15:restartNumberingAfterBreak="0">
    <w:nsid w:val="0B7830FB"/>
    <w:multiLevelType w:val="hybridMultilevel"/>
    <w:tmpl w:val="B7526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893F4A"/>
    <w:multiLevelType w:val="hybridMultilevel"/>
    <w:tmpl w:val="57FA675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7974337"/>
    <w:multiLevelType w:val="hybridMultilevel"/>
    <w:tmpl w:val="9678E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D30E4A"/>
    <w:multiLevelType w:val="hybridMultilevel"/>
    <w:tmpl w:val="AF38630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2016244F"/>
    <w:multiLevelType w:val="hybridMultilevel"/>
    <w:tmpl w:val="67E0929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D70A59"/>
    <w:multiLevelType w:val="hybridMultilevel"/>
    <w:tmpl w:val="48706B2A"/>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9" w15:restartNumberingAfterBreak="0">
    <w:nsid w:val="37882D28"/>
    <w:multiLevelType w:val="hybridMultilevel"/>
    <w:tmpl w:val="451CB85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3D7E40DF"/>
    <w:multiLevelType w:val="multilevel"/>
    <w:tmpl w:val="7EA4E2F2"/>
    <w:lvl w:ilvl="0">
      <w:start w:val="1"/>
      <w:numFmt w:val="decimal"/>
      <w:pStyle w:val="Heading2numbered"/>
      <w:lvlText w:val="%1."/>
      <w:lvlJc w:val="left"/>
      <w:pPr>
        <w:ind w:left="360" w:hanging="360"/>
      </w:pPr>
    </w:lvl>
    <w:lvl w:ilvl="1">
      <w:start w:val="1"/>
      <w:numFmt w:val="lowerLetter"/>
      <w:pStyle w:val="Heading3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Heading4list"/>
      <w:lvlText w:val="%9."/>
      <w:lvlJc w:val="left"/>
      <w:pPr>
        <w:ind w:left="3240" w:hanging="360"/>
      </w:pPr>
    </w:lvl>
  </w:abstractNum>
  <w:abstractNum w:abstractNumId="11" w15:restartNumberingAfterBreak="0">
    <w:nsid w:val="5ED8463D"/>
    <w:multiLevelType w:val="hybridMultilevel"/>
    <w:tmpl w:val="9C34F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1E7C95"/>
    <w:multiLevelType w:val="hybridMultilevel"/>
    <w:tmpl w:val="AA0876AE"/>
    <w:lvl w:ilvl="0" w:tplc="11ECEA22">
      <w:start w:val="2"/>
      <w:numFmt w:val="upp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3807DB3"/>
    <w:multiLevelType w:val="hybridMultilevel"/>
    <w:tmpl w:val="4B7E929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647D6776"/>
    <w:multiLevelType w:val="hybridMultilevel"/>
    <w:tmpl w:val="53E282F6"/>
    <w:lvl w:ilvl="0" w:tplc="0C090001">
      <w:start w:val="1"/>
      <w:numFmt w:val="bullet"/>
      <w:lvlText w:val=""/>
      <w:lvlJc w:val="left"/>
      <w:pPr>
        <w:ind w:left="6480" w:hanging="360"/>
      </w:pPr>
      <w:rPr>
        <w:rFonts w:ascii="Symbol" w:hAnsi="Symbol" w:hint="default"/>
      </w:rPr>
    </w:lvl>
    <w:lvl w:ilvl="1" w:tplc="0C090003">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num w:numId="1">
    <w:abstractNumId w:val="10"/>
  </w:num>
  <w:num w:numId="2">
    <w:abstractNumId w:val="5"/>
  </w:num>
  <w:num w:numId="3">
    <w:abstractNumId w:val="9"/>
  </w:num>
  <w:num w:numId="4">
    <w:abstractNumId w:val="13"/>
  </w:num>
  <w:num w:numId="5">
    <w:abstractNumId w:val="11"/>
  </w:num>
  <w:num w:numId="6">
    <w:abstractNumId w:val="6"/>
  </w:num>
  <w:num w:numId="7">
    <w:abstractNumId w:val="8"/>
  </w:num>
  <w:num w:numId="8">
    <w:abstractNumId w:val="2"/>
  </w:num>
  <w:num w:numId="9">
    <w:abstractNumId w:val="0"/>
  </w:num>
  <w:num w:numId="10">
    <w:abstractNumId w:val="12"/>
  </w:num>
  <w:num w:numId="11">
    <w:abstractNumId w:val="4"/>
  </w:num>
  <w:num w:numId="12">
    <w:abstractNumId w:val="14"/>
  </w:num>
  <w:num w:numId="13">
    <w:abstractNumId w:val="1"/>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39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3A9"/>
    <w:rsid w:val="0000010D"/>
    <w:rsid w:val="000002C4"/>
    <w:rsid w:val="000174C5"/>
    <w:rsid w:val="00020CD5"/>
    <w:rsid w:val="00021B45"/>
    <w:rsid w:val="000236C4"/>
    <w:rsid w:val="0002371E"/>
    <w:rsid w:val="00030C92"/>
    <w:rsid w:val="0003287B"/>
    <w:rsid w:val="000348E1"/>
    <w:rsid w:val="00034CAD"/>
    <w:rsid w:val="000401C2"/>
    <w:rsid w:val="0004101F"/>
    <w:rsid w:val="00041823"/>
    <w:rsid w:val="00046FD5"/>
    <w:rsid w:val="00055988"/>
    <w:rsid w:val="00056A7E"/>
    <w:rsid w:val="000604EE"/>
    <w:rsid w:val="00066468"/>
    <w:rsid w:val="00067A9F"/>
    <w:rsid w:val="000722BA"/>
    <w:rsid w:val="00073D92"/>
    <w:rsid w:val="000819F4"/>
    <w:rsid w:val="00081CB1"/>
    <w:rsid w:val="00082734"/>
    <w:rsid w:val="00083715"/>
    <w:rsid w:val="000850CD"/>
    <w:rsid w:val="00087737"/>
    <w:rsid w:val="0009388B"/>
    <w:rsid w:val="00095C58"/>
    <w:rsid w:val="00097ACA"/>
    <w:rsid w:val="00097D72"/>
    <w:rsid w:val="000A48B4"/>
    <w:rsid w:val="000A7D00"/>
    <w:rsid w:val="000A7D6C"/>
    <w:rsid w:val="000B6A15"/>
    <w:rsid w:val="000B7AB0"/>
    <w:rsid w:val="000C6FB8"/>
    <w:rsid w:val="000D03DC"/>
    <w:rsid w:val="000D10A5"/>
    <w:rsid w:val="000D377F"/>
    <w:rsid w:val="000D3CB3"/>
    <w:rsid w:val="000D543A"/>
    <w:rsid w:val="000E29A1"/>
    <w:rsid w:val="000E53CB"/>
    <w:rsid w:val="000F2445"/>
    <w:rsid w:val="000F462C"/>
    <w:rsid w:val="000F5421"/>
    <w:rsid w:val="000F691A"/>
    <w:rsid w:val="000F7487"/>
    <w:rsid w:val="00101A76"/>
    <w:rsid w:val="00101E64"/>
    <w:rsid w:val="00104188"/>
    <w:rsid w:val="001210F1"/>
    <w:rsid w:val="001216AF"/>
    <w:rsid w:val="00122436"/>
    <w:rsid w:val="00125468"/>
    <w:rsid w:val="00127C1A"/>
    <w:rsid w:val="00133B2E"/>
    <w:rsid w:val="0013600E"/>
    <w:rsid w:val="00137DCB"/>
    <w:rsid w:val="0014025C"/>
    <w:rsid w:val="001431AD"/>
    <w:rsid w:val="001505B0"/>
    <w:rsid w:val="00150B4F"/>
    <w:rsid w:val="00152208"/>
    <w:rsid w:val="00154F86"/>
    <w:rsid w:val="001559D3"/>
    <w:rsid w:val="0016005C"/>
    <w:rsid w:val="00162D82"/>
    <w:rsid w:val="00163F22"/>
    <w:rsid w:val="001661D2"/>
    <w:rsid w:val="001669EC"/>
    <w:rsid w:val="001729A9"/>
    <w:rsid w:val="00172F48"/>
    <w:rsid w:val="0017352E"/>
    <w:rsid w:val="00180C84"/>
    <w:rsid w:val="00181675"/>
    <w:rsid w:val="00182660"/>
    <w:rsid w:val="00182BCD"/>
    <w:rsid w:val="00185F40"/>
    <w:rsid w:val="00190068"/>
    <w:rsid w:val="00190DC4"/>
    <w:rsid w:val="001A12FA"/>
    <w:rsid w:val="001A20A2"/>
    <w:rsid w:val="001A49BF"/>
    <w:rsid w:val="001A4BCB"/>
    <w:rsid w:val="001A6FB8"/>
    <w:rsid w:val="001B26B8"/>
    <w:rsid w:val="001B6126"/>
    <w:rsid w:val="001C23AD"/>
    <w:rsid w:val="001C35C3"/>
    <w:rsid w:val="001C3970"/>
    <w:rsid w:val="001C39E9"/>
    <w:rsid w:val="001C4915"/>
    <w:rsid w:val="001C7AD6"/>
    <w:rsid w:val="001D71EC"/>
    <w:rsid w:val="001D7FBA"/>
    <w:rsid w:val="001E3608"/>
    <w:rsid w:val="001E39BC"/>
    <w:rsid w:val="001F1E50"/>
    <w:rsid w:val="001F223E"/>
    <w:rsid w:val="001F4367"/>
    <w:rsid w:val="001F6C42"/>
    <w:rsid w:val="00204184"/>
    <w:rsid w:val="00204D55"/>
    <w:rsid w:val="00205994"/>
    <w:rsid w:val="00210FC8"/>
    <w:rsid w:val="00211644"/>
    <w:rsid w:val="00215649"/>
    <w:rsid w:val="00217E2F"/>
    <w:rsid w:val="00223957"/>
    <w:rsid w:val="00224274"/>
    <w:rsid w:val="00225ABE"/>
    <w:rsid w:val="00226236"/>
    <w:rsid w:val="00226DB9"/>
    <w:rsid w:val="002328D9"/>
    <w:rsid w:val="00236C9C"/>
    <w:rsid w:val="002374AA"/>
    <w:rsid w:val="002378AD"/>
    <w:rsid w:val="002420B5"/>
    <w:rsid w:val="002513C6"/>
    <w:rsid w:val="002514BF"/>
    <w:rsid w:val="002533A9"/>
    <w:rsid w:val="00253E13"/>
    <w:rsid w:val="00254D03"/>
    <w:rsid w:val="002607D4"/>
    <w:rsid w:val="002725AA"/>
    <w:rsid w:val="002775F4"/>
    <w:rsid w:val="00285496"/>
    <w:rsid w:val="002867E0"/>
    <w:rsid w:val="002936A9"/>
    <w:rsid w:val="00294E27"/>
    <w:rsid w:val="0029550A"/>
    <w:rsid w:val="0029639C"/>
    <w:rsid w:val="00296B56"/>
    <w:rsid w:val="00297D19"/>
    <w:rsid w:val="002A1EB1"/>
    <w:rsid w:val="002A47D7"/>
    <w:rsid w:val="002B20C0"/>
    <w:rsid w:val="002B2108"/>
    <w:rsid w:val="002B250B"/>
    <w:rsid w:val="002B6F49"/>
    <w:rsid w:val="002B74EC"/>
    <w:rsid w:val="002D25B8"/>
    <w:rsid w:val="002D2C81"/>
    <w:rsid w:val="002D5A37"/>
    <w:rsid w:val="002D7483"/>
    <w:rsid w:val="002E0376"/>
    <w:rsid w:val="002E1961"/>
    <w:rsid w:val="002E3D04"/>
    <w:rsid w:val="002E42A5"/>
    <w:rsid w:val="002F08B8"/>
    <w:rsid w:val="002F0F3E"/>
    <w:rsid w:val="002F348B"/>
    <w:rsid w:val="00304506"/>
    <w:rsid w:val="00311577"/>
    <w:rsid w:val="00311777"/>
    <w:rsid w:val="00316E36"/>
    <w:rsid w:val="00321043"/>
    <w:rsid w:val="00321877"/>
    <w:rsid w:val="0033049F"/>
    <w:rsid w:val="00331CF2"/>
    <w:rsid w:val="00337DE6"/>
    <w:rsid w:val="00340EB3"/>
    <w:rsid w:val="003412FC"/>
    <w:rsid w:val="00341351"/>
    <w:rsid w:val="00342E73"/>
    <w:rsid w:val="003457A4"/>
    <w:rsid w:val="00352D4B"/>
    <w:rsid w:val="0035585F"/>
    <w:rsid w:val="003565F0"/>
    <w:rsid w:val="00356C36"/>
    <w:rsid w:val="003571BF"/>
    <w:rsid w:val="00357C83"/>
    <w:rsid w:val="00362941"/>
    <w:rsid w:val="00364839"/>
    <w:rsid w:val="00371147"/>
    <w:rsid w:val="003711B2"/>
    <w:rsid w:val="003747A3"/>
    <w:rsid w:val="003750D7"/>
    <w:rsid w:val="00385326"/>
    <w:rsid w:val="00385888"/>
    <w:rsid w:val="00386819"/>
    <w:rsid w:val="0039023D"/>
    <w:rsid w:val="003922FF"/>
    <w:rsid w:val="00392845"/>
    <w:rsid w:val="00393BA5"/>
    <w:rsid w:val="00394760"/>
    <w:rsid w:val="003949A3"/>
    <w:rsid w:val="0039729C"/>
    <w:rsid w:val="003A1A01"/>
    <w:rsid w:val="003B5617"/>
    <w:rsid w:val="003C041A"/>
    <w:rsid w:val="003C3F41"/>
    <w:rsid w:val="003C4829"/>
    <w:rsid w:val="003C6A8A"/>
    <w:rsid w:val="003D2B97"/>
    <w:rsid w:val="003D484A"/>
    <w:rsid w:val="003D6BF1"/>
    <w:rsid w:val="003D7127"/>
    <w:rsid w:val="003E0ED4"/>
    <w:rsid w:val="003E3C38"/>
    <w:rsid w:val="003E4040"/>
    <w:rsid w:val="003E5800"/>
    <w:rsid w:val="003E6177"/>
    <w:rsid w:val="003E64EE"/>
    <w:rsid w:val="003E7733"/>
    <w:rsid w:val="003F078D"/>
    <w:rsid w:val="003F18CE"/>
    <w:rsid w:val="003F71C5"/>
    <w:rsid w:val="003F7814"/>
    <w:rsid w:val="00403297"/>
    <w:rsid w:val="0040342F"/>
    <w:rsid w:val="00407102"/>
    <w:rsid w:val="00416341"/>
    <w:rsid w:val="00420840"/>
    <w:rsid w:val="00420CBD"/>
    <w:rsid w:val="00423E97"/>
    <w:rsid w:val="0042419D"/>
    <w:rsid w:val="00426562"/>
    <w:rsid w:val="00426DC1"/>
    <w:rsid w:val="00432E29"/>
    <w:rsid w:val="004333C0"/>
    <w:rsid w:val="00436D9A"/>
    <w:rsid w:val="00437188"/>
    <w:rsid w:val="00440762"/>
    <w:rsid w:val="0044449C"/>
    <w:rsid w:val="00444778"/>
    <w:rsid w:val="004514ED"/>
    <w:rsid w:val="00452EF8"/>
    <w:rsid w:val="004538F8"/>
    <w:rsid w:val="0045597D"/>
    <w:rsid w:val="004569EC"/>
    <w:rsid w:val="00457D55"/>
    <w:rsid w:val="00461E52"/>
    <w:rsid w:val="00463F26"/>
    <w:rsid w:val="00463F52"/>
    <w:rsid w:val="00464D36"/>
    <w:rsid w:val="00484EC1"/>
    <w:rsid w:val="004919D7"/>
    <w:rsid w:val="00491A75"/>
    <w:rsid w:val="004926D1"/>
    <w:rsid w:val="004A2D5B"/>
    <w:rsid w:val="004A5277"/>
    <w:rsid w:val="004B1E13"/>
    <w:rsid w:val="004B7E39"/>
    <w:rsid w:val="004C29EB"/>
    <w:rsid w:val="004C2E67"/>
    <w:rsid w:val="004C3734"/>
    <w:rsid w:val="004C7F4D"/>
    <w:rsid w:val="004D0226"/>
    <w:rsid w:val="004D0CCD"/>
    <w:rsid w:val="004E03C8"/>
    <w:rsid w:val="004E470E"/>
    <w:rsid w:val="004F465D"/>
    <w:rsid w:val="004F6754"/>
    <w:rsid w:val="004F6EC6"/>
    <w:rsid w:val="0050044B"/>
    <w:rsid w:val="00501120"/>
    <w:rsid w:val="0050486F"/>
    <w:rsid w:val="005051E3"/>
    <w:rsid w:val="005209DD"/>
    <w:rsid w:val="00521242"/>
    <w:rsid w:val="00524330"/>
    <w:rsid w:val="00524AB0"/>
    <w:rsid w:val="0053025E"/>
    <w:rsid w:val="00530F62"/>
    <w:rsid w:val="00531FB7"/>
    <w:rsid w:val="00532C80"/>
    <w:rsid w:val="00534D67"/>
    <w:rsid w:val="00534D71"/>
    <w:rsid w:val="00540674"/>
    <w:rsid w:val="00543006"/>
    <w:rsid w:val="005437D0"/>
    <w:rsid w:val="0054382A"/>
    <w:rsid w:val="00543AE1"/>
    <w:rsid w:val="005501FD"/>
    <w:rsid w:val="00557FCA"/>
    <w:rsid w:val="005603D0"/>
    <w:rsid w:val="005604B9"/>
    <w:rsid w:val="00565B68"/>
    <w:rsid w:val="00571481"/>
    <w:rsid w:val="00572759"/>
    <w:rsid w:val="0057466D"/>
    <w:rsid w:val="0058393A"/>
    <w:rsid w:val="00585FED"/>
    <w:rsid w:val="00586416"/>
    <w:rsid w:val="0058655D"/>
    <w:rsid w:val="005868D1"/>
    <w:rsid w:val="00587425"/>
    <w:rsid w:val="00590D0A"/>
    <w:rsid w:val="00591DB5"/>
    <w:rsid w:val="0059252E"/>
    <w:rsid w:val="005938BF"/>
    <w:rsid w:val="005945E3"/>
    <w:rsid w:val="005950B6"/>
    <w:rsid w:val="0059535D"/>
    <w:rsid w:val="005A0660"/>
    <w:rsid w:val="005A0E53"/>
    <w:rsid w:val="005A14E0"/>
    <w:rsid w:val="005B20E7"/>
    <w:rsid w:val="005B5D83"/>
    <w:rsid w:val="005B7FE9"/>
    <w:rsid w:val="005D20A2"/>
    <w:rsid w:val="005E0C53"/>
    <w:rsid w:val="005E2E23"/>
    <w:rsid w:val="005F1F9F"/>
    <w:rsid w:val="005F4FE7"/>
    <w:rsid w:val="005F6451"/>
    <w:rsid w:val="005F6535"/>
    <w:rsid w:val="00600F55"/>
    <w:rsid w:val="00605BFF"/>
    <w:rsid w:val="00611DB4"/>
    <w:rsid w:val="006169FE"/>
    <w:rsid w:val="00617619"/>
    <w:rsid w:val="00622648"/>
    <w:rsid w:val="0062285A"/>
    <w:rsid w:val="00624593"/>
    <w:rsid w:val="00625153"/>
    <w:rsid w:val="00625626"/>
    <w:rsid w:val="00626AB9"/>
    <w:rsid w:val="00626C3F"/>
    <w:rsid w:val="00630725"/>
    <w:rsid w:val="00632450"/>
    <w:rsid w:val="006358DE"/>
    <w:rsid w:val="00635E6D"/>
    <w:rsid w:val="00652CB4"/>
    <w:rsid w:val="00653C21"/>
    <w:rsid w:val="006549ED"/>
    <w:rsid w:val="00666B54"/>
    <w:rsid w:val="00670ABA"/>
    <w:rsid w:val="00670F1F"/>
    <w:rsid w:val="00674901"/>
    <w:rsid w:val="00684CA9"/>
    <w:rsid w:val="00686E77"/>
    <w:rsid w:val="006879C8"/>
    <w:rsid w:val="00690B60"/>
    <w:rsid w:val="00695995"/>
    <w:rsid w:val="006A209C"/>
    <w:rsid w:val="006B1B0A"/>
    <w:rsid w:val="006B4FD4"/>
    <w:rsid w:val="006B7500"/>
    <w:rsid w:val="006C319F"/>
    <w:rsid w:val="006C5EAB"/>
    <w:rsid w:val="006D4BB2"/>
    <w:rsid w:val="006E2822"/>
    <w:rsid w:val="006E2DBB"/>
    <w:rsid w:val="006E413D"/>
    <w:rsid w:val="006E5E26"/>
    <w:rsid w:val="007068F1"/>
    <w:rsid w:val="00710564"/>
    <w:rsid w:val="007127DF"/>
    <w:rsid w:val="007147BA"/>
    <w:rsid w:val="007160E3"/>
    <w:rsid w:val="00716793"/>
    <w:rsid w:val="007169B3"/>
    <w:rsid w:val="0072166A"/>
    <w:rsid w:val="00725DC1"/>
    <w:rsid w:val="00725DED"/>
    <w:rsid w:val="0072703D"/>
    <w:rsid w:val="00732620"/>
    <w:rsid w:val="00741490"/>
    <w:rsid w:val="00742B73"/>
    <w:rsid w:val="00744190"/>
    <w:rsid w:val="007469C7"/>
    <w:rsid w:val="00750BD5"/>
    <w:rsid w:val="007525B6"/>
    <w:rsid w:val="00752880"/>
    <w:rsid w:val="0075321C"/>
    <w:rsid w:val="007545C6"/>
    <w:rsid w:val="00762B17"/>
    <w:rsid w:val="00764441"/>
    <w:rsid w:val="00764EB6"/>
    <w:rsid w:val="0076667C"/>
    <w:rsid w:val="00770C6A"/>
    <w:rsid w:val="00773E81"/>
    <w:rsid w:val="00774AAB"/>
    <w:rsid w:val="00775EEC"/>
    <w:rsid w:val="00777DE8"/>
    <w:rsid w:val="00781951"/>
    <w:rsid w:val="00782193"/>
    <w:rsid w:val="0078268B"/>
    <w:rsid w:val="00786B2B"/>
    <w:rsid w:val="00791B90"/>
    <w:rsid w:val="00796E60"/>
    <w:rsid w:val="007A1F3D"/>
    <w:rsid w:val="007A2194"/>
    <w:rsid w:val="007A3433"/>
    <w:rsid w:val="007C0CC6"/>
    <w:rsid w:val="007C2A94"/>
    <w:rsid w:val="007C3B36"/>
    <w:rsid w:val="007C6433"/>
    <w:rsid w:val="007C6BAA"/>
    <w:rsid w:val="007D30B8"/>
    <w:rsid w:val="007D4D11"/>
    <w:rsid w:val="007D6864"/>
    <w:rsid w:val="00800434"/>
    <w:rsid w:val="00801D65"/>
    <w:rsid w:val="00803F7A"/>
    <w:rsid w:val="00807FEF"/>
    <w:rsid w:val="00813D57"/>
    <w:rsid w:val="00813EE9"/>
    <w:rsid w:val="008150A9"/>
    <w:rsid w:val="00817E02"/>
    <w:rsid w:val="00820F2C"/>
    <w:rsid w:val="008224ED"/>
    <w:rsid w:val="00824C10"/>
    <w:rsid w:val="008254C2"/>
    <w:rsid w:val="00827AD7"/>
    <w:rsid w:val="00827E06"/>
    <w:rsid w:val="00833155"/>
    <w:rsid w:val="008363D1"/>
    <w:rsid w:val="0084601C"/>
    <w:rsid w:val="00846F0D"/>
    <w:rsid w:val="008475FF"/>
    <w:rsid w:val="008502E2"/>
    <w:rsid w:val="00850ADA"/>
    <w:rsid w:val="00854A29"/>
    <w:rsid w:val="008565C9"/>
    <w:rsid w:val="008703C3"/>
    <w:rsid w:val="008708BA"/>
    <w:rsid w:val="008709EC"/>
    <w:rsid w:val="008752A7"/>
    <w:rsid w:val="008760D3"/>
    <w:rsid w:val="00876E32"/>
    <w:rsid w:val="00880060"/>
    <w:rsid w:val="0088099F"/>
    <w:rsid w:val="00882A09"/>
    <w:rsid w:val="008876BF"/>
    <w:rsid w:val="0089226E"/>
    <w:rsid w:val="00896431"/>
    <w:rsid w:val="00897506"/>
    <w:rsid w:val="00897A22"/>
    <w:rsid w:val="008A0308"/>
    <w:rsid w:val="008A3DBB"/>
    <w:rsid w:val="008A519F"/>
    <w:rsid w:val="008A6BB2"/>
    <w:rsid w:val="008A75EC"/>
    <w:rsid w:val="008B0767"/>
    <w:rsid w:val="008B0BC9"/>
    <w:rsid w:val="008B26BD"/>
    <w:rsid w:val="008B5216"/>
    <w:rsid w:val="008B61C8"/>
    <w:rsid w:val="008C1BF5"/>
    <w:rsid w:val="008C37AB"/>
    <w:rsid w:val="008C4964"/>
    <w:rsid w:val="008C7BD8"/>
    <w:rsid w:val="008D4E35"/>
    <w:rsid w:val="008E16FC"/>
    <w:rsid w:val="008E344F"/>
    <w:rsid w:val="008F1EF2"/>
    <w:rsid w:val="008F2638"/>
    <w:rsid w:val="008F517C"/>
    <w:rsid w:val="008F6150"/>
    <w:rsid w:val="008F7483"/>
    <w:rsid w:val="00900CE0"/>
    <w:rsid w:val="009024DC"/>
    <w:rsid w:val="0090339F"/>
    <w:rsid w:val="0090544B"/>
    <w:rsid w:val="00911E1B"/>
    <w:rsid w:val="00914B2E"/>
    <w:rsid w:val="00915F41"/>
    <w:rsid w:val="00917C55"/>
    <w:rsid w:val="0092005C"/>
    <w:rsid w:val="00923AFF"/>
    <w:rsid w:val="00923D42"/>
    <w:rsid w:val="009310FB"/>
    <w:rsid w:val="00932482"/>
    <w:rsid w:val="0094234B"/>
    <w:rsid w:val="00946F4B"/>
    <w:rsid w:val="009534B7"/>
    <w:rsid w:val="00954CA4"/>
    <w:rsid w:val="00956523"/>
    <w:rsid w:val="0095724D"/>
    <w:rsid w:val="00962092"/>
    <w:rsid w:val="00966CC5"/>
    <w:rsid w:val="00973120"/>
    <w:rsid w:val="00973450"/>
    <w:rsid w:val="00975BA2"/>
    <w:rsid w:val="00977DAD"/>
    <w:rsid w:val="00980327"/>
    <w:rsid w:val="00980BC2"/>
    <w:rsid w:val="00982AF4"/>
    <w:rsid w:val="009870F4"/>
    <w:rsid w:val="00990C56"/>
    <w:rsid w:val="009928AA"/>
    <w:rsid w:val="009935CB"/>
    <w:rsid w:val="00993E13"/>
    <w:rsid w:val="009A7358"/>
    <w:rsid w:val="009B2D78"/>
    <w:rsid w:val="009B694A"/>
    <w:rsid w:val="009C0D5D"/>
    <w:rsid w:val="009C75E0"/>
    <w:rsid w:val="009D0CB6"/>
    <w:rsid w:val="009D104D"/>
    <w:rsid w:val="009E1A0C"/>
    <w:rsid w:val="009F25ED"/>
    <w:rsid w:val="009F5A06"/>
    <w:rsid w:val="009F7638"/>
    <w:rsid w:val="009F7708"/>
    <w:rsid w:val="009F776B"/>
    <w:rsid w:val="009F7C5B"/>
    <w:rsid w:val="00A0349D"/>
    <w:rsid w:val="00A05044"/>
    <w:rsid w:val="00A066EC"/>
    <w:rsid w:val="00A06E70"/>
    <w:rsid w:val="00A101BA"/>
    <w:rsid w:val="00A20757"/>
    <w:rsid w:val="00A2202E"/>
    <w:rsid w:val="00A22309"/>
    <w:rsid w:val="00A25460"/>
    <w:rsid w:val="00A33375"/>
    <w:rsid w:val="00A3527F"/>
    <w:rsid w:val="00A35E5C"/>
    <w:rsid w:val="00A45D4F"/>
    <w:rsid w:val="00A46978"/>
    <w:rsid w:val="00A518FB"/>
    <w:rsid w:val="00A5398D"/>
    <w:rsid w:val="00A54DA9"/>
    <w:rsid w:val="00A570F0"/>
    <w:rsid w:val="00A64DD6"/>
    <w:rsid w:val="00A65C03"/>
    <w:rsid w:val="00A672CE"/>
    <w:rsid w:val="00A67B1C"/>
    <w:rsid w:val="00A67B96"/>
    <w:rsid w:val="00A72AF4"/>
    <w:rsid w:val="00A74874"/>
    <w:rsid w:val="00A75E5E"/>
    <w:rsid w:val="00A76857"/>
    <w:rsid w:val="00A8071A"/>
    <w:rsid w:val="00A81D87"/>
    <w:rsid w:val="00A878D9"/>
    <w:rsid w:val="00A91F30"/>
    <w:rsid w:val="00A9213C"/>
    <w:rsid w:val="00AB5CD7"/>
    <w:rsid w:val="00AB5F93"/>
    <w:rsid w:val="00AC1FC2"/>
    <w:rsid w:val="00AC4E6E"/>
    <w:rsid w:val="00AC4EB8"/>
    <w:rsid w:val="00AC5460"/>
    <w:rsid w:val="00AC5CC9"/>
    <w:rsid w:val="00AC6980"/>
    <w:rsid w:val="00AC7747"/>
    <w:rsid w:val="00AD124E"/>
    <w:rsid w:val="00AD48E1"/>
    <w:rsid w:val="00AD5DD8"/>
    <w:rsid w:val="00AD7F2E"/>
    <w:rsid w:val="00AE29A9"/>
    <w:rsid w:val="00AE4443"/>
    <w:rsid w:val="00AE5712"/>
    <w:rsid w:val="00AE7072"/>
    <w:rsid w:val="00AF08F2"/>
    <w:rsid w:val="00AF12A8"/>
    <w:rsid w:val="00AF425B"/>
    <w:rsid w:val="00AF64EE"/>
    <w:rsid w:val="00AF6EDC"/>
    <w:rsid w:val="00AF7156"/>
    <w:rsid w:val="00B01E93"/>
    <w:rsid w:val="00B0327E"/>
    <w:rsid w:val="00B039D4"/>
    <w:rsid w:val="00B04860"/>
    <w:rsid w:val="00B07BEA"/>
    <w:rsid w:val="00B136D4"/>
    <w:rsid w:val="00B15608"/>
    <w:rsid w:val="00B17EC8"/>
    <w:rsid w:val="00B2406D"/>
    <w:rsid w:val="00B2411B"/>
    <w:rsid w:val="00B329BB"/>
    <w:rsid w:val="00B33D08"/>
    <w:rsid w:val="00B33F58"/>
    <w:rsid w:val="00B36733"/>
    <w:rsid w:val="00B4038E"/>
    <w:rsid w:val="00B47CC9"/>
    <w:rsid w:val="00B5136D"/>
    <w:rsid w:val="00B52500"/>
    <w:rsid w:val="00B52AB2"/>
    <w:rsid w:val="00B56B82"/>
    <w:rsid w:val="00B63C7E"/>
    <w:rsid w:val="00B7276A"/>
    <w:rsid w:val="00B755E9"/>
    <w:rsid w:val="00B77701"/>
    <w:rsid w:val="00B77E0B"/>
    <w:rsid w:val="00B8132A"/>
    <w:rsid w:val="00BA2483"/>
    <w:rsid w:val="00BA3FDE"/>
    <w:rsid w:val="00BA4E8B"/>
    <w:rsid w:val="00BB6568"/>
    <w:rsid w:val="00BC021C"/>
    <w:rsid w:val="00BC410C"/>
    <w:rsid w:val="00BC5B4A"/>
    <w:rsid w:val="00BD09F7"/>
    <w:rsid w:val="00BE237F"/>
    <w:rsid w:val="00BE384F"/>
    <w:rsid w:val="00BE4FE2"/>
    <w:rsid w:val="00BE62FD"/>
    <w:rsid w:val="00BF20D3"/>
    <w:rsid w:val="00BF22E9"/>
    <w:rsid w:val="00BF2A29"/>
    <w:rsid w:val="00BF5BFD"/>
    <w:rsid w:val="00C02544"/>
    <w:rsid w:val="00C06567"/>
    <w:rsid w:val="00C06F6E"/>
    <w:rsid w:val="00C145CE"/>
    <w:rsid w:val="00C14A86"/>
    <w:rsid w:val="00C2072C"/>
    <w:rsid w:val="00C223D0"/>
    <w:rsid w:val="00C22DA1"/>
    <w:rsid w:val="00C322A7"/>
    <w:rsid w:val="00C33B4C"/>
    <w:rsid w:val="00C3552A"/>
    <w:rsid w:val="00C43786"/>
    <w:rsid w:val="00C55201"/>
    <w:rsid w:val="00C5684F"/>
    <w:rsid w:val="00C60B9A"/>
    <w:rsid w:val="00C623E3"/>
    <w:rsid w:val="00C64905"/>
    <w:rsid w:val="00C759B1"/>
    <w:rsid w:val="00C7766C"/>
    <w:rsid w:val="00C83306"/>
    <w:rsid w:val="00C833F3"/>
    <w:rsid w:val="00C85F00"/>
    <w:rsid w:val="00C92B0F"/>
    <w:rsid w:val="00CA3773"/>
    <w:rsid w:val="00CB004B"/>
    <w:rsid w:val="00CB0D04"/>
    <w:rsid w:val="00CB28DB"/>
    <w:rsid w:val="00CB5AD3"/>
    <w:rsid w:val="00CB7202"/>
    <w:rsid w:val="00CB7519"/>
    <w:rsid w:val="00CB7F22"/>
    <w:rsid w:val="00CC1CB6"/>
    <w:rsid w:val="00CC302C"/>
    <w:rsid w:val="00CC33FD"/>
    <w:rsid w:val="00CC72A0"/>
    <w:rsid w:val="00CD47B4"/>
    <w:rsid w:val="00CD6F7E"/>
    <w:rsid w:val="00CE2BBA"/>
    <w:rsid w:val="00CE65FF"/>
    <w:rsid w:val="00CF4258"/>
    <w:rsid w:val="00CF5153"/>
    <w:rsid w:val="00CF65F2"/>
    <w:rsid w:val="00CF7ADB"/>
    <w:rsid w:val="00D030E9"/>
    <w:rsid w:val="00D03698"/>
    <w:rsid w:val="00D052C9"/>
    <w:rsid w:val="00D06BEC"/>
    <w:rsid w:val="00D10F47"/>
    <w:rsid w:val="00D13945"/>
    <w:rsid w:val="00D14303"/>
    <w:rsid w:val="00D143F4"/>
    <w:rsid w:val="00D15226"/>
    <w:rsid w:val="00D169B7"/>
    <w:rsid w:val="00D206D4"/>
    <w:rsid w:val="00D24127"/>
    <w:rsid w:val="00D2602C"/>
    <w:rsid w:val="00D27053"/>
    <w:rsid w:val="00D3280A"/>
    <w:rsid w:val="00D36B7F"/>
    <w:rsid w:val="00D411C9"/>
    <w:rsid w:val="00D41FEE"/>
    <w:rsid w:val="00D42925"/>
    <w:rsid w:val="00D4673A"/>
    <w:rsid w:val="00D46BFD"/>
    <w:rsid w:val="00D47500"/>
    <w:rsid w:val="00D5032F"/>
    <w:rsid w:val="00D5172A"/>
    <w:rsid w:val="00D53856"/>
    <w:rsid w:val="00D556D9"/>
    <w:rsid w:val="00D55AAF"/>
    <w:rsid w:val="00D5664F"/>
    <w:rsid w:val="00D62B01"/>
    <w:rsid w:val="00D66575"/>
    <w:rsid w:val="00D72D9D"/>
    <w:rsid w:val="00D72F84"/>
    <w:rsid w:val="00D73971"/>
    <w:rsid w:val="00D75A3E"/>
    <w:rsid w:val="00D77620"/>
    <w:rsid w:val="00D80D48"/>
    <w:rsid w:val="00D8473C"/>
    <w:rsid w:val="00D90C54"/>
    <w:rsid w:val="00D922BB"/>
    <w:rsid w:val="00D961F2"/>
    <w:rsid w:val="00D9799B"/>
    <w:rsid w:val="00DA3915"/>
    <w:rsid w:val="00DA46C5"/>
    <w:rsid w:val="00DB0A6A"/>
    <w:rsid w:val="00DB1E84"/>
    <w:rsid w:val="00DB269F"/>
    <w:rsid w:val="00DC1ECE"/>
    <w:rsid w:val="00DC6F2E"/>
    <w:rsid w:val="00DC6F5A"/>
    <w:rsid w:val="00DD0231"/>
    <w:rsid w:val="00DD2EB9"/>
    <w:rsid w:val="00DD47A2"/>
    <w:rsid w:val="00DD5912"/>
    <w:rsid w:val="00DE1F0E"/>
    <w:rsid w:val="00DE1F95"/>
    <w:rsid w:val="00DF261F"/>
    <w:rsid w:val="00DF5E03"/>
    <w:rsid w:val="00E01889"/>
    <w:rsid w:val="00E048B4"/>
    <w:rsid w:val="00E05567"/>
    <w:rsid w:val="00E064D4"/>
    <w:rsid w:val="00E07C7A"/>
    <w:rsid w:val="00E1460D"/>
    <w:rsid w:val="00E275A5"/>
    <w:rsid w:val="00E27ACB"/>
    <w:rsid w:val="00E35100"/>
    <w:rsid w:val="00E40CD2"/>
    <w:rsid w:val="00E45DAF"/>
    <w:rsid w:val="00E469CF"/>
    <w:rsid w:val="00E52D8F"/>
    <w:rsid w:val="00E53224"/>
    <w:rsid w:val="00E5387D"/>
    <w:rsid w:val="00E55087"/>
    <w:rsid w:val="00E61CCB"/>
    <w:rsid w:val="00E633C4"/>
    <w:rsid w:val="00E76CF2"/>
    <w:rsid w:val="00E7716A"/>
    <w:rsid w:val="00E83E26"/>
    <w:rsid w:val="00E845E0"/>
    <w:rsid w:val="00E84FDD"/>
    <w:rsid w:val="00E91BCF"/>
    <w:rsid w:val="00E92E50"/>
    <w:rsid w:val="00EA409F"/>
    <w:rsid w:val="00EA42DD"/>
    <w:rsid w:val="00EB6895"/>
    <w:rsid w:val="00EB6EF6"/>
    <w:rsid w:val="00EB7F21"/>
    <w:rsid w:val="00EC385D"/>
    <w:rsid w:val="00ED0BC8"/>
    <w:rsid w:val="00ED1847"/>
    <w:rsid w:val="00ED2E46"/>
    <w:rsid w:val="00ED31C5"/>
    <w:rsid w:val="00ED4520"/>
    <w:rsid w:val="00EE258C"/>
    <w:rsid w:val="00EE6B7A"/>
    <w:rsid w:val="00EF3939"/>
    <w:rsid w:val="00EF5716"/>
    <w:rsid w:val="00F012F4"/>
    <w:rsid w:val="00F01808"/>
    <w:rsid w:val="00F02BAB"/>
    <w:rsid w:val="00F05FFC"/>
    <w:rsid w:val="00F071C8"/>
    <w:rsid w:val="00F0741A"/>
    <w:rsid w:val="00F07DB1"/>
    <w:rsid w:val="00F10A60"/>
    <w:rsid w:val="00F10D07"/>
    <w:rsid w:val="00F1313E"/>
    <w:rsid w:val="00F139C2"/>
    <w:rsid w:val="00F13E28"/>
    <w:rsid w:val="00F15296"/>
    <w:rsid w:val="00F1749B"/>
    <w:rsid w:val="00F20AEB"/>
    <w:rsid w:val="00F232DC"/>
    <w:rsid w:val="00F236D8"/>
    <w:rsid w:val="00F238A7"/>
    <w:rsid w:val="00F258E5"/>
    <w:rsid w:val="00F30272"/>
    <w:rsid w:val="00F310A8"/>
    <w:rsid w:val="00F356AA"/>
    <w:rsid w:val="00F370AB"/>
    <w:rsid w:val="00F40C33"/>
    <w:rsid w:val="00F45CEA"/>
    <w:rsid w:val="00F51B05"/>
    <w:rsid w:val="00F52474"/>
    <w:rsid w:val="00F61C41"/>
    <w:rsid w:val="00F62D67"/>
    <w:rsid w:val="00F660F5"/>
    <w:rsid w:val="00F702E7"/>
    <w:rsid w:val="00F73890"/>
    <w:rsid w:val="00F7651B"/>
    <w:rsid w:val="00F8120C"/>
    <w:rsid w:val="00F82FF4"/>
    <w:rsid w:val="00F87F37"/>
    <w:rsid w:val="00F9033F"/>
    <w:rsid w:val="00FA233C"/>
    <w:rsid w:val="00FA40FE"/>
    <w:rsid w:val="00FA41DD"/>
    <w:rsid w:val="00FB691D"/>
    <w:rsid w:val="00FB6FE5"/>
    <w:rsid w:val="00FC41A3"/>
    <w:rsid w:val="00FC686D"/>
    <w:rsid w:val="00FC73F9"/>
    <w:rsid w:val="00FD4456"/>
    <w:rsid w:val="00FD7D2A"/>
    <w:rsid w:val="00FE3ABF"/>
    <w:rsid w:val="00FE4EBA"/>
    <w:rsid w:val="00FF2512"/>
    <w:rsid w:val="00FF2A70"/>
    <w:rsid w:val="00FF403E"/>
    <w:rsid w:val="00FF4A68"/>
    <w:rsid w:val="00FF5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5:chartTrackingRefBased/>
  <w15:docId w15:val="{520A5B98-944D-4C98-8B34-E6996D36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9D3"/>
  </w:style>
  <w:style w:type="paragraph" w:styleId="Heading1">
    <w:name w:val="heading 1"/>
    <w:basedOn w:val="Normal"/>
    <w:next w:val="Normal"/>
    <w:link w:val="Heading1Char"/>
    <w:uiPriority w:val="9"/>
    <w:qFormat/>
    <w:rsid w:val="0072166A"/>
    <w:pPr>
      <w:keepNext/>
      <w:keepLines/>
      <w:spacing w:before="400" w:after="40" w:line="240" w:lineRule="auto"/>
      <w:outlineLvl w:val="0"/>
    </w:pPr>
    <w:rPr>
      <w:rFonts w:asciiTheme="majorHAnsi" w:eastAsiaTheme="majorEastAsia" w:hAnsiTheme="majorHAnsi" w:cstheme="majorBidi"/>
      <w:b/>
      <w:caps/>
      <w:color w:val="005163"/>
      <w:sz w:val="28"/>
      <w:szCs w:val="36"/>
    </w:rPr>
  </w:style>
  <w:style w:type="paragraph" w:styleId="Heading2">
    <w:name w:val="heading 2"/>
    <w:basedOn w:val="Normal"/>
    <w:next w:val="Normal"/>
    <w:link w:val="Heading2Char"/>
    <w:uiPriority w:val="9"/>
    <w:unhideWhenUsed/>
    <w:qFormat/>
    <w:rsid w:val="001559D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1559D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1559D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1559D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1559D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1559D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559D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1559D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5888"/>
    <w:pPr>
      <w:ind w:left="720"/>
      <w:contextualSpacing/>
    </w:pPr>
  </w:style>
  <w:style w:type="paragraph" w:styleId="Header">
    <w:name w:val="header"/>
    <w:basedOn w:val="Normal"/>
    <w:link w:val="HeaderChar"/>
    <w:uiPriority w:val="99"/>
    <w:unhideWhenUsed/>
    <w:rsid w:val="00385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888"/>
  </w:style>
  <w:style w:type="paragraph" w:styleId="Footer">
    <w:name w:val="footer"/>
    <w:basedOn w:val="Normal"/>
    <w:link w:val="FooterChar"/>
    <w:uiPriority w:val="99"/>
    <w:unhideWhenUsed/>
    <w:rsid w:val="00385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888"/>
  </w:style>
  <w:style w:type="character" w:customStyle="1" w:styleId="Heading1Char">
    <w:name w:val="Heading 1 Char"/>
    <w:basedOn w:val="DefaultParagraphFont"/>
    <w:link w:val="Heading1"/>
    <w:uiPriority w:val="9"/>
    <w:rsid w:val="0072166A"/>
    <w:rPr>
      <w:rFonts w:asciiTheme="majorHAnsi" w:eastAsiaTheme="majorEastAsia" w:hAnsiTheme="majorHAnsi" w:cstheme="majorBidi"/>
      <w:b/>
      <w:caps/>
      <w:color w:val="005163"/>
      <w:sz w:val="28"/>
      <w:szCs w:val="36"/>
    </w:rPr>
  </w:style>
  <w:style w:type="character" w:customStyle="1" w:styleId="Heading2Char">
    <w:name w:val="Heading 2 Char"/>
    <w:basedOn w:val="DefaultParagraphFont"/>
    <w:link w:val="Heading2"/>
    <w:uiPriority w:val="9"/>
    <w:rsid w:val="001559D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1559D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1559D3"/>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1559D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1559D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1559D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559D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559D3"/>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1559D3"/>
    <w:pPr>
      <w:spacing w:line="240" w:lineRule="auto"/>
    </w:pPr>
    <w:rPr>
      <w:b/>
      <w:bCs/>
      <w:smallCaps/>
      <w:color w:val="595959" w:themeColor="text1" w:themeTint="A6"/>
    </w:rPr>
  </w:style>
  <w:style w:type="paragraph" w:styleId="Title">
    <w:name w:val="Title"/>
    <w:basedOn w:val="Normal"/>
    <w:next w:val="Normal"/>
    <w:link w:val="TitleChar"/>
    <w:uiPriority w:val="10"/>
    <w:qFormat/>
    <w:rsid w:val="001559D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1559D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1559D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1559D3"/>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1559D3"/>
    <w:rPr>
      <w:b/>
      <w:bCs/>
    </w:rPr>
  </w:style>
  <w:style w:type="character" w:styleId="Emphasis">
    <w:name w:val="Emphasis"/>
    <w:basedOn w:val="DefaultParagraphFont"/>
    <w:uiPriority w:val="20"/>
    <w:qFormat/>
    <w:rsid w:val="001559D3"/>
    <w:rPr>
      <w:i/>
      <w:iCs/>
    </w:rPr>
  </w:style>
  <w:style w:type="paragraph" w:styleId="NoSpacing">
    <w:name w:val="No Spacing"/>
    <w:uiPriority w:val="1"/>
    <w:qFormat/>
    <w:rsid w:val="001559D3"/>
    <w:pPr>
      <w:spacing w:after="0" w:line="240" w:lineRule="auto"/>
    </w:pPr>
  </w:style>
  <w:style w:type="paragraph" w:styleId="Quote">
    <w:name w:val="Quote"/>
    <w:basedOn w:val="Normal"/>
    <w:next w:val="Normal"/>
    <w:link w:val="QuoteChar"/>
    <w:uiPriority w:val="29"/>
    <w:qFormat/>
    <w:rsid w:val="001559D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1559D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1559D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1559D3"/>
    <w:rPr>
      <w:color w:val="404040" w:themeColor="text1" w:themeTint="BF"/>
      <w:sz w:val="32"/>
      <w:szCs w:val="32"/>
    </w:rPr>
  </w:style>
  <w:style w:type="character" w:styleId="SubtleEmphasis">
    <w:name w:val="Subtle Emphasis"/>
    <w:basedOn w:val="DefaultParagraphFont"/>
    <w:uiPriority w:val="19"/>
    <w:qFormat/>
    <w:rsid w:val="001559D3"/>
    <w:rPr>
      <w:i/>
      <w:iCs/>
      <w:color w:val="595959" w:themeColor="text1" w:themeTint="A6"/>
    </w:rPr>
  </w:style>
  <w:style w:type="character" w:styleId="IntenseEmphasis">
    <w:name w:val="Intense Emphasis"/>
    <w:basedOn w:val="DefaultParagraphFont"/>
    <w:uiPriority w:val="21"/>
    <w:qFormat/>
    <w:rsid w:val="001559D3"/>
    <w:rPr>
      <w:b/>
      <w:bCs/>
      <w:i/>
      <w:iCs/>
    </w:rPr>
  </w:style>
  <w:style w:type="character" w:styleId="SubtleReference">
    <w:name w:val="Subtle Reference"/>
    <w:basedOn w:val="DefaultParagraphFont"/>
    <w:uiPriority w:val="31"/>
    <w:qFormat/>
    <w:rsid w:val="001559D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559D3"/>
    <w:rPr>
      <w:b/>
      <w:bCs/>
      <w:caps w:val="0"/>
      <w:smallCaps/>
      <w:color w:val="auto"/>
      <w:spacing w:val="3"/>
      <w:u w:val="single"/>
    </w:rPr>
  </w:style>
  <w:style w:type="character" w:styleId="BookTitle">
    <w:name w:val="Book Title"/>
    <w:basedOn w:val="DefaultParagraphFont"/>
    <w:uiPriority w:val="33"/>
    <w:qFormat/>
    <w:rsid w:val="001559D3"/>
    <w:rPr>
      <w:b/>
      <w:bCs/>
      <w:smallCaps/>
      <w:spacing w:val="7"/>
    </w:rPr>
  </w:style>
  <w:style w:type="paragraph" w:styleId="TOCHeading">
    <w:name w:val="TOC Heading"/>
    <w:basedOn w:val="Heading1"/>
    <w:next w:val="Normal"/>
    <w:uiPriority w:val="39"/>
    <w:unhideWhenUsed/>
    <w:qFormat/>
    <w:rsid w:val="001559D3"/>
    <w:pPr>
      <w:outlineLvl w:val="9"/>
    </w:pPr>
  </w:style>
  <w:style w:type="paragraph" w:styleId="TOC3">
    <w:name w:val="toc 3"/>
    <w:basedOn w:val="Normal"/>
    <w:next w:val="Normal"/>
    <w:autoRedefine/>
    <w:uiPriority w:val="39"/>
    <w:unhideWhenUsed/>
    <w:rsid w:val="00626AB9"/>
    <w:pPr>
      <w:spacing w:after="100"/>
      <w:ind w:left="440"/>
    </w:pPr>
  </w:style>
  <w:style w:type="character" w:styleId="Hyperlink">
    <w:name w:val="Hyperlink"/>
    <w:basedOn w:val="DefaultParagraphFont"/>
    <w:uiPriority w:val="99"/>
    <w:unhideWhenUsed/>
    <w:rsid w:val="00626AB9"/>
    <w:rPr>
      <w:color w:val="0563C1" w:themeColor="hyperlink"/>
      <w:u w:val="single"/>
    </w:rPr>
  </w:style>
  <w:style w:type="paragraph" w:styleId="TOC1">
    <w:name w:val="toc 1"/>
    <w:basedOn w:val="Normal"/>
    <w:next w:val="Normal"/>
    <w:autoRedefine/>
    <w:uiPriority w:val="39"/>
    <w:unhideWhenUsed/>
    <w:rsid w:val="00626AB9"/>
    <w:pPr>
      <w:spacing w:after="100"/>
    </w:pPr>
  </w:style>
  <w:style w:type="paragraph" w:styleId="TOC2">
    <w:name w:val="toc 2"/>
    <w:basedOn w:val="Normal"/>
    <w:next w:val="Normal"/>
    <w:autoRedefine/>
    <w:uiPriority w:val="39"/>
    <w:unhideWhenUsed/>
    <w:rsid w:val="00626AB9"/>
    <w:pPr>
      <w:spacing w:after="100"/>
      <w:ind w:left="220"/>
    </w:pPr>
  </w:style>
  <w:style w:type="paragraph" w:styleId="BalloonText">
    <w:name w:val="Balloon Text"/>
    <w:basedOn w:val="Normal"/>
    <w:link w:val="BalloonTextChar"/>
    <w:uiPriority w:val="99"/>
    <w:semiHidden/>
    <w:unhideWhenUsed/>
    <w:rsid w:val="003558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85F"/>
    <w:rPr>
      <w:rFonts w:ascii="Segoe UI" w:hAnsi="Segoe UI" w:cs="Segoe UI"/>
      <w:sz w:val="18"/>
      <w:szCs w:val="18"/>
    </w:rPr>
  </w:style>
  <w:style w:type="paragraph" w:customStyle="1" w:styleId="Heading2numbered">
    <w:name w:val="Heading 2 numbered"/>
    <w:basedOn w:val="ListParagraph"/>
    <w:link w:val="Heading2numberedChar"/>
    <w:qFormat/>
    <w:rsid w:val="0072166A"/>
    <w:pPr>
      <w:numPr>
        <w:numId w:val="1"/>
      </w:numPr>
      <w:outlineLvl w:val="0"/>
    </w:pPr>
    <w:rPr>
      <w:rFonts w:asciiTheme="majorHAnsi" w:hAnsiTheme="majorHAnsi"/>
      <w:b/>
      <w:color w:val="00788E"/>
      <w:sz w:val="24"/>
    </w:rPr>
  </w:style>
  <w:style w:type="paragraph" w:customStyle="1" w:styleId="Heading3list">
    <w:name w:val="Heading 3 list"/>
    <w:basedOn w:val="ListParagraph"/>
    <w:link w:val="Heading3listChar"/>
    <w:qFormat/>
    <w:rsid w:val="0072166A"/>
    <w:pPr>
      <w:numPr>
        <w:ilvl w:val="1"/>
        <w:numId w:val="1"/>
      </w:numPr>
      <w:ind w:left="851" w:hanging="425"/>
      <w:outlineLvl w:val="1"/>
    </w:pPr>
    <w:rPr>
      <w:b/>
      <w:sz w:val="20"/>
    </w:rPr>
  </w:style>
  <w:style w:type="character" w:customStyle="1" w:styleId="ListParagraphChar">
    <w:name w:val="List Paragraph Char"/>
    <w:basedOn w:val="DefaultParagraphFont"/>
    <w:link w:val="ListParagraph"/>
    <w:uiPriority w:val="34"/>
    <w:rsid w:val="0072166A"/>
  </w:style>
  <w:style w:type="character" w:customStyle="1" w:styleId="Heading2numberedChar">
    <w:name w:val="Heading 2 numbered Char"/>
    <w:basedOn w:val="ListParagraphChar"/>
    <w:link w:val="Heading2numbered"/>
    <w:rsid w:val="0072166A"/>
    <w:rPr>
      <w:rFonts w:asciiTheme="majorHAnsi" w:hAnsiTheme="majorHAnsi"/>
      <w:b/>
      <w:color w:val="00788E"/>
      <w:sz w:val="24"/>
    </w:rPr>
  </w:style>
  <w:style w:type="paragraph" w:customStyle="1" w:styleId="Heading4list">
    <w:name w:val="Heading 4 list"/>
    <w:basedOn w:val="ListParagraph"/>
    <w:qFormat/>
    <w:rsid w:val="003C4829"/>
    <w:pPr>
      <w:numPr>
        <w:ilvl w:val="8"/>
        <w:numId w:val="1"/>
      </w:numPr>
      <w:ind w:left="1276" w:hanging="425"/>
      <w:outlineLvl w:val="2"/>
    </w:pPr>
    <w:rPr>
      <w:b/>
      <w:sz w:val="20"/>
    </w:rPr>
  </w:style>
  <w:style w:type="character" w:customStyle="1" w:styleId="Heading3listChar">
    <w:name w:val="Heading 3 list Char"/>
    <w:basedOn w:val="ListParagraphChar"/>
    <w:link w:val="Heading3list"/>
    <w:rsid w:val="0072166A"/>
    <w:rPr>
      <w:b/>
      <w:sz w:val="20"/>
    </w:rPr>
  </w:style>
  <w:style w:type="paragraph" w:customStyle="1" w:styleId="Appendicesnumbered">
    <w:name w:val="Appendices numbered"/>
    <w:next w:val="Heading2numbered"/>
    <w:qFormat/>
    <w:rsid w:val="002A47D7"/>
    <w:pPr>
      <w:ind w:left="357" w:hanging="357"/>
    </w:pPr>
    <w:rPr>
      <w:rFonts w:asciiTheme="majorHAnsi" w:hAnsiTheme="majorHAnsi"/>
      <w:b/>
      <w:caps/>
      <w:color w:val="00788E"/>
      <w:sz w:val="24"/>
    </w:rPr>
  </w:style>
  <w:style w:type="paragraph" w:styleId="NormalWeb">
    <w:name w:val="Normal (Web)"/>
    <w:basedOn w:val="Normal"/>
    <w:uiPriority w:val="99"/>
    <w:semiHidden/>
    <w:unhideWhenUsed/>
    <w:rsid w:val="00217E2F"/>
    <w:pPr>
      <w:spacing w:before="100" w:beforeAutospacing="1" w:after="100" w:afterAutospacing="1" w:line="240" w:lineRule="auto"/>
    </w:pPr>
    <w:rPr>
      <w:rFonts w:ascii="Times New Roman" w:hAnsi="Times New Roman" w:cs="Times New Roman"/>
      <w:sz w:val="24"/>
      <w:szCs w:val="24"/>
      <w:lang w:eastAsia="en-AU"/>
    </w:rPr>
  </w:style>
  <w:style w:type="character" w:customStyle="1" w:styleId="apple-converted-space">
    <w:name w:val="apple-converted-space"/>
    <w:basedOn w:val="DefaultParagraphFont"/>
    <w:rsid w:val="00D46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fontTable" Target="fontTable.xml"/><Relationship Id="rId16" Type="http://schemas.openxmlformats.org/officeDocument/2006/relationships/chart" Target="charts/chart8.xml"/><Relationship Id="rId107" Type="http://schemas.openxmlformats.org/officeDocument/2006/relationships/image" Target="media/image8.jpeg"/><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theme" Target="theme/theme1.xml"/><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image" Target="media/image4.jpeg"/><Relationship Id="rId108" Type="http://schemas.openxmlformats.org/officeDocument/2006/relationships/chart" Target="charts/chart89.xml"/><Relationship Id="rId54" Type="http://schemas.openxmlformats.org/officeDocument/2006/relationships/chart" Target="charts/chart46.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image" Target="media/image7.jpeg"/><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footer" Target="footer2.xml"/><Relationship Id="rId101" Type="http://schemas.openxmlformats.org/officeDocument/2006/relationships/chart" Target="charts/chart88.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header" Target="header3.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header" Target="header2.xm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header" Target="header4.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footer" Target="footer3.xml"/><Relationship Id="rId105"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vpa-fs1\users$\David.Lees\My%20Documents\Demographic%208301%20Sept%2020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elfp\drafts\David%20Lees\Reporting\Population\VIF%202016\VIF%202016%20Quick%20Analysi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1" Type="http://schemas.openxmlformats.org/officeDocument/2006/relationships/oleObject" Target="file:///\\melfp\drafts\David%20Lees\Reporting\Population\Births%20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melfp\drafts\David%20Lees\Reporting\Population\Births%202015.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melfp\drafts\David%20Lees\Reporting\Population\dEATHS%202015.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melfp\drafts\David%20Lees\Reporting\Population\dEATHS%202015.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melfp\drafts\David%20Lees\Reporting\Building%20Approvals\Building%20Approvals%202015%20-16%20Dwellings.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vpa-fs1\users$\David.Lees\My%20Documents\Building%20Approvals%202016%20december.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vpa-fs1\users$\David.Lees\My%20Documents\Demographic%208301%20Sept%20201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First%20Half%20of%20%20201617.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Dwelling%20Approvals%20by%20LGA%209%20months%20to%20March%202017.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oleObject" Target="file:///\\vpa-fs1\drafts$\Research\Staff\David%20Lees\Reporting\RBL%20Crane%20Index.xlsx" TargetMode="External"/><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file:///\\vpa-fs1\drafts$\Research\Staff\David%20Lees\Reporting\RBL%20Crane%20Index.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vpa-fs1\users$\David.Lees\My%20Documents\Demographic%208301%20Sept%20201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oleObject" Target="file:///\\vpa-fs1\drafts$\Research\Staff\David%20Lees\Reporting\Cordell\Cordell%20Graphs.xlsx" TargetMode="External"/><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1" Type="http://schemas.openxmlformats.org/officeDocument/2006/relationships/oleObject" Target="file:///\\vpa-fs1\drafts$\Research\Staff\David%20Lees\Reporting\CKC%20Research%204%20Data\Copy%20of%20Land%20Sales%20Data%20from%20CKC%20Research%204%20Summary.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vpa-fs1\drafts$\Research\Staff\David%20Lees\Reporting\CKC%20Research%204%20Data\MPA_Datatable_NLSP%20Corridor%20graphs.xlsx" TargetMode="External"/><Relationship Id="rId2" Type="http://schemas.microsoft.com/office/2011/relationships/chartColorStyle" Target="colors29.xml"/><Relationship Id="rId1" Type="http://schemas.microsoft.com/office/2011/relationships/chartStyle" Target="style29.xml"/></Relationships>
</file>

<file path=word/charts/_rels/chart34.xml.rels><?xml version="1.0" encoding="UTF-8" standalone="yes"?>
<Relationships xmlns="http://schemas.openxmlformats.org/package/2006/relationships"><Relationship Id="rId1" Type="http://schemas.openxmlformats.org/officeDocument/2006/relationships/oleObject" Target="file:///\\vpa-fs1\drafts$\Research\Staff\David%20Lees\Reporting\CKC%20Research%204%20Data\Copy%20of%20Land%20Sales%20Data%20from%20CKC%20Research%204%20Summary.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melfp\drafts\David%20Lees\Saw%20Tooth\The%20Graph.xlsx"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vpa-fs1\users$\David.Lees\My%20Documents\Demographic%208301%20Sept%202016.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oleObject" Target="file:///\\vpa-fs1\drafts$\Research\Staff\David%20Lees\Landata\32-Y2016-01-01-PSVExport%20@%20Feb%2022%202017\MAy%202017\Detached%20Dwellings.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vpa-fs1\users$\David.Lees\My%20Documents\Demographic%208301%20Sept%202016.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6.xml"/><Relationship Id="rId1" Type="http://schemas.microsoft.com/office/2011/relationships/chartStyle" Target="style46.xml"/></Relationships>
</file>

<file path=word/charts/_rels/chart52.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7.xml"/><Relationship Id="rId1" Type="http://schemas.microsoft.com/office/2011/relationships/chartStyle" Target="style47.xml"/></Relationships>
</file>

<file path=word/charts/_rels/chart53.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8.xml"/><Relationship Id="rId1" Type="http://schemas.microsoft.com/office/2011/relationships/chartStyle" Target="style48.xml"/></Relationships>
</file>

<file path=word/charts/_rels/chart54.xml.rels><?xml version="1.0" encoding="UTF-8" standalone="yes"?>
<Relationships xmlns="http://schemas.openxmlformats.org/package/2006/relationships"><Relationship Id="rId3" Type="http://schemas.openxmlformats.org/officeDocument/2006/relationships/oleObject" Target="file:///\\vpa-fs1\drafts$\Research\Staff\David%20Lees\Reporting\Rents\December%202016%20Graphs%20of%20Rents.xlsx" TargetMode="External"/><Relationship Id="rId2" Type="http://schemas.microsoft.com/office/2011/relationships/chartColorStyle" Target="colors49.xml"/><Relationship Id="rId1" Type="http://schemas.microsoft.com/office/2011/relationships/chartStyle" Target="style49.xml"/></Relationships>
</file>

<file path=word/charts/_rels/chart55.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0.xml"/><Relationship Id="rId1" Type="http://schemas.microsoft.com/office/2011/relationships/chartStyle" Target="style50.xml"/></Relationships>
</file>

<file path=word/charts/_rels/chart56.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1.xml"/><Relationship Id="rId1" Type="http://schemas.microsoft.com/office/2011/relationships/chartStyle" Target="style51.xml"/></Relationships>
</file>

<file path=word/charts/_rels/chart57.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2.xml"/><Relationship Id="rId1" Type="http://schemas.microsoft.com/office/2011/relationships/chartStyle" Target="style52.xml"/></Relationships>
</file>

<file path=word/charts/_rels/chart58.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3.xml"/><Relationship Id="rId1" Type="http://schemas.microsoft.com/office/2011/relationships/chartStyle" Target="style53.xml"/></Relationships>
</file>

<file path=word/charts/_rels/chart59.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1" Type="http://schemas.openxmlformats.org/officeDocument/2006/relationships/oleObject" Target="file:///\\melfp\drafts\David%20Lees\Reporting\Population\Births%202015.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5.xml"/><Relationship Id="rId1" Type="http://schemas.microsoft.com/office/2011/relationships/chartStyle" Target="style55.xml"/></Relationships>
</file>

<file path=word/charts/_rels/chart61.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September%202016%20Graphs%20Labour%20Force.xlsx" TargetMode="External"/><Relationship Id="rId2" Type="http://schemas.microsoft.com/office/2011/relationships/chartColorStyle" Target="colors56.xml"/><Relationship Id="rId1" Type="http://schemas.microsoft.com/office/2011/relationships/chartStyle" Target="style56.xml"/></Relationships>
</file>

<file path=word/charts/_rels/chart62.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Labour%20Force%20by%20Industry%20over%20time%20May%202016.xlsx" TargetMode="External"/><Relationship Id="rId2" Type="http://schemas.microsoft.com/office/2011/relationships/chartColorStyle" Target="colors57.xml"/><Relationship Id="rId1" Type="http://schemas.microsoft.com/office/2011/relationships/chartStyle" Target="style57.xml"/></Relationships>
</file>

<file path=word/charts/_rels/chart63.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58.xml"/><Relationship Id="rId1" Type="http://schemas.microsoft.com/office/2011/relationships/chartStyle" Target="style58.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9.xml"/><Relationship Id="rId1" Type="http://schemas.microsoft.com/office/2011/relationships/chartStyle" Target="style59.xml"/></Relationships>
</file>

<file path=word/charts/_rels/chart65.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0.xml"/><Relationship Id="rId1" Type="http://schemas.microsoft.com/office/2011/relationships/chartStyle" Target="style60.xml"/></Relationships>
</file>

<file path=word/charts/_rels/chart66.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1.xml"/><Relationship Id="rId1" Type="http://schemas.microsoft.com/office/2011/relationships/chartStyle" Target="style61.xml"/></Relationships>
</file>

<file path=word/charts/_rels/chart67.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2.xml"/><Relationship Id="rId1" Type="http://schemas.microsoft.com/office/2011/relationships/chartStyle" Target="style62.xml"/></Relationships>
</file>

<file path=word/charts/_rels/chart68.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3.xml"/><Relationship Id="rId1" Type="http://schemas.microsoft.com/office/2011/relationships/chartStyle" Target="style63.xml"/></Relationships>
</file>

<file path=word/charts/_rels/chart69.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4.xml"/><Relationship Id="rId1" Type="http://schemas.microsoft.com/office/2011/relationships/chartStyle" Target="style64.xml"/></Relationships>
</file>

<file path=word/charts/_rels/chart7.xml.rels><?xml version="1.0" encoding="UTF-8" standalone="yes"?>
<Relationships xmlns="http://schemas.openxmlformats.org/package/2006/relationships"><Relationship Id="rId3" Type="http://schemas.openxmlformats.org/officeDocument/2006/relationships/oleObject" Target="file:///\\vpa-fs1\drafts$\Research\Staff\David%20Lees\Reporting\Population\LGA%20Population%202016%20with%20Graphs.xlsx" TargetMode="External"/><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5.xml"/><Relationship Id="rId1" Type="http://schemas.microsoft.com/office/2011/relationships/chartStyle" Target="style65.xml"/></Relationships>
</file>

<file path=word/charts/_rels/chart71.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6.xml"/><Relationship Id="rId1" Type="http://schemas.microsoft.com/office/2011/relationships/chartStyle" Target="style66.xml"/></Relationships>
</file>

<file path=word/charts/_rels/chart72.xml.rels><?xml version="1.0" encoding="UTF-8" standalone="yes"?>
<Relationships xmlns="http://schemas.openxmlformats.org/package/2006/relationships"><Relationship Id="rId3" Type="http://schemas.openxmlformats.org/officeDocument/2006/relationships/oleObject" Target="file:///\\vpa-fs1\drafts$\Research\Staff\David%20Lees\Reporting\Building%20Approvals\Building%20Approvals%202015%20-16%20Dwellings.xlsx" TargetMode="External"/><Relationship Id="rId2" Type="http://schemas.microsoft.com/office/2011/relationships/chartColorStyle" Target="colors67.xml"/><Relationship Id="rId1" Type="http://schemas.microsoft.com/office/2011/relationships/chartStyle" Target="style67.xml"/></Relationships>
</file>

<file path=word/charts/_rels/chart73.xml.rels><?xml version="1.0" encoding="UTF-8" standalone="yes"?>
<Relationships xmlns="http://schemas.openxmlformats.org/package/2006/relationships"><Relationship Id="rId3" Type="http://schemas.openxmlformats.org/officeDocument/2006/relationships/oleObject" Target="file:///\\vpa-fs1\drafts$\Research\Staff\David%20Lees\Reporting\Population\LGA%20Population%202016%20with%20Graphs.xlsx" TargetMode="External"/><Relationship Id="rId2" Type="http://schemas.microsoft.com/office/2011/relationships/chartColorStyle" Target="colors68.xml"/><Relationship Id="rId1" Type="http://schemas.microsoft.com/office/2011/relationships/chartStyle" Target="style68.xml"/></Relationships>
</file>

<file path=word/charts/_rels/chart74.xml.rels><?xml version="1.0" encoding="UTF-8" standalone="yes"?>
<Relationships xmlns="http://schemas.openxmlformats.org/package/2006/relationships"><Relationship Id="rId3" Type="http://schemas.openxmlformats.org/officeDocument/2006/relationships/oleObject" Target="file:///\\vpa-fs1\drafts$\Research\Staff\David%20Lees\Reporting\Population\LGA%20Population%202016%20with%20Graphs.xlsx" TargetMode="External"/><Relationship Id="rId2" Type="http://schemas.microsoft.com/office/2011/relationships/chartColorStyle" Target="colors69.xml"/><Relationship Id="rId1" Type="http://schemas.microsoft.com/office/2011/relationships/chartStyle" Target="style69.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0.xml"/><Relationship Id="rId1" Type="http://schemas.microsoft.com/office/2011/relationships/chartStyle" Target="style70.xml"/></Relationships>
</file>

<file path=word/charts/_rels/chart76.xml.rels><?xml version="1.0" encoding="UTF-8" standalone="yes"?>
<Relationships xmlns="http://schemas.openxmlformats.org/package/2006/relationships"><Relationship Id="rId3" Type="http://schemas.openxmlformats.org/officeDocument/2006/relationships/oleObject" Target="file:///\\vpa-fs1\drafts$\Research\Staff\David%20Lees\Reporting\Cordell\Cordell%20Graphs.xlsx" TargetMode="External"/><Relationship Id="rId2" Type="http://schemas.microsoft.com/office/2011/relationships/chartColorStyle" Target="colors71.xml"/><Relationship Id="rId1" Type="http://schemas.microsoft.com/office/2011/relationships/chartStyle" Target="style71.xml"/></Relationships>
</file>

<file path=word/charts/_rels/chart77.xml.rels><?xml version="1.0" encoding="UTF-8" standalone="yes"?>
<Relationships xmlns="http://schemas.openxmlformats.org/package/2006/relationships"><Relationship Id="rId3" Type="http://schemas.openxmlformats.org/officeDocument/2006/relationships/oleObject" Target="file:///\\vpa-fs1\drafts$\Research\Staff\David%20Lees\Reporting\Cordell\Cordell%20Graphs.xlsx" TargetMode="External"/><Relationship Id="rId2" Type="http://schemas.microsoft.com/office/2011/relationships/chartColorStyle" Target="colors72.xml"/><Relationship Id="rId1" Type="http://schemas.microsoft.com/office/2011/relationships/chartStyle" Target="style72.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3.xml"/><Relationship Id="rId1" Type="http://schemas.microsoft.com/office/2011/relationships/chartStyle" Target="style73.xml"/></Relationships>
</file>

<file path=word/charts/_rels/chart79.xml.rels><?xml version="1.0" encoding="UTF-8" standalone="yes"?>
<Relationships xmlns="http://schemas.openxmlformats.org/package/2006/relationships"><Relationship Id="rId3" Type="http://schemas.openxmlformats.org/officeDocument/2006/relationships/oleObject" Target="file:///\\melfp\drafts\David%20Lees\Reporting\Property%20Prices\Copy%20of%20Summary%20of%20Sales%20for%20the%20whole%20of%202015.xlsx" TargetMode="External"/><Relationship Id="rId2" Type="http://schemas.microsoft.com/office/2011/relationships/chartColorStyle" Target="colors74.xml"/><Relationship Id="rId1" Type="http://schemas.microsoft.com/office/2011/relationships/chartStyle" Target="style74.xml"/></Relationships>
</file>

<file path=word/charts/_rels/chart8.xml.rels><?xml version="1.0" encoding="UTF-8" standalone="yes"?>
<Relationships xmlns="http://schemas.openxmlformats.org/package/2006/relationships"><Relationship Id="rId3" Type="http://schemas.openxmlformats.org/officeDocument/2006/relationships/oleObject" Target="file:///\\vpa-fs1\drafts$\Research\Staff\David%20Lees\Reporting\Population\LGA%20Population%202016%20with%20Graphs.xlsx" TargetMode="External"/><Relationship Id="rId2" Type="http://schemas.microsoft.com/office/2011/relationships/chartColorStyle" Target="colors7.xml"/><Relationship Id="rId1" Type="http://schemas.microsoft.com/office/2011/relationships/chartStyle" Target="style7.xml"/></Relationships>
</file>

<file path=word/charts/_rels/chart80.xml.rels><?xml version="1.0" encoding="UTF-8" standalone="yes"?>
<Relationships xmlns="http://schemas.openxmlformats.org/package/2006/relationships"><Relationship Id="rId3" Type="http://schemas.openxmlformats.org/officeDocument/2006/relationships/oleObject" Target="file:///\\melfp\drafts\David%20Lees\Reporting\Property%20Prices\Copy%20of%20Summary%20of%20Sales%20for%20the%20whole%20of%202015.xlsx" TargetMode="External"/><Relationship Id="rId2" Type="http://schemas.microsoft.com/office/2011/relationships/chartColorStyle" Target="colors75.xml"/><Relationship Id="rId1" Type="http://schemas.microsoft.com/office/2011/relationships/chartStyle" Target="style75.xml"/></Relationships>
</file>

<file path=word/charts/_rels/chart81.xml.rels><?xml version="1.0" encoding="UTF-8" standalone="yes"?>
<Relationships xmlns="http://schemas.openxmlformats.org/package/2006/relationships"><Relationship Id="rId3" Type="http://schemas.openxmlformats.org/officeDocument/2006/relationships/oleObject" Target="file:///\\melfp\drafts\David%20Lees\Reporting\Property%20Prices\Copy%20of%20Summary%20of%20Sales%20for%20the%20whole%20of%202015.xlsx" TargetMode="External"/><Relationship Id="rId2" Type="http://schemas.microsoft.com/office/2011/relationships/chartColorStyle" Target="colors76.xml"/><Relationship Id="rId1" Type="http://schemas.microsoft.com/office/2011/relationships/chartStyle" Target="style76.xml"/></Relationships>
</file>

<file path=word/charts/_rels/chart82.xml.rels><?xml version="1.0" encoding="UTF-8" standalone="yes"?>
<Relationships xmlns="http://schemas.openxmlformats.org/package/2006/relationships"><Relationship Id="rId3" Type="http://schemas.openxmlformats.org/officeDocument/2006/relationships/oleObject" Target="file:///\\melfp\drafts\David%20Lees\Reporting\Property%20Prices\Copy%20of%20Summary%20of%20Sales%20for%20the%20whole%20of%202015.xlsx" TargetMode="External"/><Relationship Id="rId2" Type="http://schemas.microsoft.com/office/2011/relationships/chartColorStyle" Target="colors77.xml"/><Relationship Id="rId1" Type="http://schemas.microsoft.com/office/2011/relationships/chartStyle" Target="style77.xml"/></Relationships>
</file>

<file path=word/charts/_rels/chart83.xml.rels><?xml version="1.0" encoding="UTF-8" standalone="yes"?>
<Relationships xmlns="http://schemas.openxmlformats.org/package/2006/relationships"><Relationship Id="rId3" Type="http://schemas.openxmlformats.org/officeDocument/2006/relationships/oleObject" Target="file:///\\melfp\drafts\David%20Lees\Reporting\Property%20Prices\Summary%20of%20Sales%20for%20the%20whole%20of%202015.xlsx" TargetMode="External"/><Relationship Id="rId2" Type="http://schemas.microsoft.com/office/2011/relationships/chartColorStyle" Target="colors78.xml"/><Relationship Id="rId1" Type="http://schemas.microsoft.com/office/2011/relationships/chartStyle" Target="style78.xml"/></Relationships>
</file>

<file path=word/charts/_rels/chart84.xml.rels><?xml version="1.0" encoding="UTF-8" standalone="yes"?>
<Relationships xmlns="http://schemas.openxmlformats.org/package/2006/relationships"><Relationship Id="rId3" Type="http://schemas.openxmlformats.org/officeDocument/2006/relationships/oleObject" Target="file:///\\melfp\drafts\David%20Lees\Reporting\Property%20Prices\Copy%20of%20Summary%20of%20Sales%20for%20the%20whole%20of%202015.xlsx" TargetMode="External"/><Relationship Id="rId2" Type="http://schemas.microsoft.com/office/2011/relationships/chartColorStyle" Target="colors79.xml"/><Relationship Id="rId1" Type="http://schemas.microsoft.com/office/2011/relationships/chartStyle" Target="style79.xml"/></Relationships>
</file>

<file path=word/charts/_rels/chart85.xml.rels><?xml version="1.0" encoding="UTF-8" standalone="yes"?>
<Relationships xmlns="http://schemas.openxmlformats.org/package/2006/relationships"><Relationship Id="rId3" Type="http://schemas.openxmlformats.org/officeDocument/2006/relationships/oleObject" Target="file:///\\melfp\drafts\David%20Lees\Reporting\Property%20Prices\Summary%20of%20Sales%20for%20the%20whole%20of%202015.xlsx" TargetMode="External"/><Relationship Id="rId2" Type="http://schemas.microsoft.com/office/2011/relationships/chartColorStyle" Target="colors80.xml"/><Relationship Id="rId1" Type="http://schemas.microsoft.com/office/2011/relationships/chartStyle" Target="style80.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1.xml"/><Relationship Id="rId1" Type="http://schemas.microsoft.com/office/2011/relationships/chartStyle" Target="style81.xml"/></Relationships>
</file>

<file path=word/charts/_rels/chart87.xml.rels><?xml version="1.0" encoding="UTF-8" standalone="yes"?>
<Relationships xmlns="http://schemas.openxmlformats.org/package/2006/relationships"><Relationship Id="rId3" Type="http://schemas.openxmlformats.org/officeDocument/2006/relationships/oleObject" Target="file:///\\vpa-fs1\drafts$\Research\Staff\David%20Lees\Reporting\Population\Internal%20Migration.xlsx" TargetMode="External"/><Relationship Id="rId2" Type="http://schemas.microsoft.com/office/2011/relationships/chartColorStyle" Target="colors82.xml"/><Relationship Id="rId1" Type="http://schemas.microsoft.com/office/2011/relationships/chartStyle" Target="style82.xml"/></Relationships>
</file>

<file path=word/charts/_rels/chart88.xml.rels><?xml version="1.0" encoding="UTF-8" standalone="yes"?>
<Relationships xmlns="http://schemas.openxmlformats.org/package/2006/relationships"><Relationship Id="rId3" Type="http://schemas.openxmlformats.org/officeDocument/2006/relationships/oleObject" Target="file:///\\vpa-fs1\drafts$\Research\Staff\David%20Lees\Reporting\Population\Internal%20Migration.xlsx" TargetMode="External"/><Relationship Id="rId2" Type="http://schemas.microsoft.com/office/2011/relationships/chartColorStyle" Target="colors83.xml"/><Relationship Id="rId1" Type="http://schemas.microsoft.com/office/2011/relationships/chartStyle" Target="style83.xml"/></Relationships>
</file>

<file path=word/charts/_rels/chart89.xml.rels><?xml version="1.0" encoding="UTF-8" standalone="yes"?>
<Relationships xmlns="http://schemas.openxmlformats.org/package/2006/relationships"><Relationship Id="rId3" Type="http://schemas.openxmlformats.org/officeDocument/2006/relationships/oleObject" Target="file:///\\vpa-fs1\drafts$\Research\Staff\David%20Lees\Reporting\Labour%20Force\Labour%20Force%20by%20Industry%20over%20time%20May%202016.xlsx" TargetMode="External"/><Relationship Id="rId2" Type="http://schemas.microsoft.com/office/2011/relationships/chartColorStyle" Target="colors84.xml"/><Relationship Id="rId1" Type="http://schemas.microsoft.com/office/2011/relationships/chartStyle" Target="style84.xml"/></Relationships>
</file>

<file path=word/charts/_rels/chart9.xml.rels><?xml version="1.0" encoding="UTF-8" standalone="yes"?>
<Relationships xmlns="http://schemas.openxmlformats.org/package/2006/relationships"><Relationship Id="rId3" Type="http://schemas.openxmlformats.org/officeDocument/2006/relationships/oleObject" Target="file:///\\melfp\drafts\David%20Lees\Reporting\Population\VIF%202016\VIF%202016%20Quick%20Analysis%20take%20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Population of States &amp; Territories</a:t>
            </a:r>
            <a:r>
              <a:rPr lang="en-AU" baseline="0"/>
              <a:t> at September 30 2016</a:t>
            </a:r>
          </a:p>
          <a:p>
            <a:pPr algn="l">
              <a:defRPr/>
            </a:pPr>
            <a:r>
              <a:rPr lang="en-AU" sz="1000" baseline="0"/>
              <a:t>Source: ABS 3101.0</a:t>
            </a:r>
            <a:endParaRPr lang="en-AU" sz="1000"/>
          </a:p>
        </c:rich>
      </c:tx>
      <c:layout>
        <c:manualLayout>
          <c:xMode val="edge"/>
          <c:yMode val="edge"/>
          <c:x val="1.657887870533013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'Popuatlion Graph'!$B$8</c:f>
              <c:strCache>
                <c:ptCount val="1"/>
              </c:strCache>
            </c:strRef>
          </c:tx>
          <c:spPr>
            <a:solidFill>
              <a:schemeClr val="accent1"/>
            </a:solidFill>
            <a:ln>
              <a:solidFill>
                <a:schemeClr val="tx1"/>
              </a:solidFill>
            </a:ln>
            <a:effectLst/>
          </c:spPr>
          <c:invertIfNegative val="0"/>
          <c:dPt>
            <c:idx val="1"/>
            <c:invertIfNegative val="0"/>
            <c:bubble3D val="0"/>
            <c:spPr>
              <a:solidFill>
                <a:schemeClr val="tx2"/>
              </a:solidFill>
              <a:ln>
                <a:solidFill>
                  <a:schemeClr val="tx1"/>
                </a:solidFill>
              </a:ln>
              <a:effectLst/>
            </c:spPr>
          </c:dPt>
          <c:dPt>
            <c:idx val="2"/>
            <c:invertIfNegative val="0"/>
            <c:bubble3D val="0"/>
            <c:spPr>
              <a:solidFill>
                <a:srgbClr val="C00000"/>
              </a:solidFill>
              <a:ln>
                <a:solidFill>
                  <a:schemeClr val="tx1"/>
                </a:solidFill>
              </a:ln>
              <a:effectLst/>
            </c:spPr>
          </c:dPt>
          <c:dPt>
            <c:idx val="3"/>
            <c:invertIfNegative val="0"/>
            <c:bubble3D val="0"/>
            <c:spPr>
              <a:solidFill>
                <a:srgbClr val="FF0000"/>
              </a:solidFill>
              <a:ln>
                <a:solidFill>
                  <a:schemeClr val="tx1"/>
                </a:solidFill>
              </a:ln>
              <a:effectLst/>
            </c:spPr>
          </c:dPt>
          <c:dPt>
            <c:idx val="4"/>
            <c:invertIfNegative val="0"/>
            <c:bubble3D val="0"/>
            <c:spPr>
              <a:solidFill>
                <a:schemeClr val="accent4"/>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2">
                  <a:lumMod val="75000"/>
                </a:schemeClr>
              </a:solidFill>
              <a:ln>
                <a:solidFill>
                  <a:schemeClr val="tx1"/>
                </a:solidFill>
              </a:ln>
              <a:effectLst/>
            </c:spPr>
          </c:dPt>
          <c:dPt>
            <c:idx val="7"/>
            <c:invertIfNegative val="0"/>
            <c:bubble3D val="0"/>
            <c:spPr>
              <a:solidFill>
                <a:schemeClr val="accent4">
                  <a:lumMod val="75000"/>
                </a:schemeClr>
              </a:solidFill>
              <a:ln>
                <a:solidFill>
                  <a:schemeClr val="tx1"/>
                </a:solidFill>
              </a:ln>
              <a:effectLst/>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dLbl>
              <c:idx val="6"/>
              <c:layout/>
              <c:showLegendKey val="0"/>
              <c:showVal val="1"/>
              <c:showCatName val="0"/>
              <c:showSerName val="0"/>
              <c:showPercent val="0"/>
              <c:showBubbleSize val="0"/>
              <c:extLst>
                <c:ext xmlns:c15="http://schemas.microsoft.com/office/drawing/2012/chart" uri="{CE6537A1-D6FC-4f65-9D91-7224C49458BB}">
                  <c15:layout/>
                </c:ext>
              </c:extLst>
            </c:dLbl>
            <c:dLbl>
              <c:idx val="7"/>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'Popuatlion Graph'!$C$7:$J$7</c:f>
              <c:strCache>
                <c:ptCount val="8"/>
                <c:pt idx="0">
                  <c:v>NSW</c:v>
                </c:pt>
                <c:pt idx="1">
                  <c:v>VIC</c:v>
                </c:pt>
                <c:pt idx="2">
                  <c:v>QLD</c:v>
                </c:pt>
                <c:pt idx="3">
                  <c:v>SA</c:v>
                </c:pt>
                <c:pt idx="4">
                  <c:v>WA</c:v>
                </c:pt>
                <c:pt idx="5">
                  <c:v>TAS</c:v>
                </c:pt>
                <c:pt idx="6">
                  <c:v>NT</c:v>
                </c:pt>
                <c:pt idx="7">
                  <c:v>ACT</c:v>
                </c:pt>
              </c:strCache>
            </c:strRef>
          </c:cat>
          <c:val>
            <c:numRef>
              <c:f>'Popuatlion Graph'!$C$8:$J$8</c:f>
              <c:numCache>
                <c:formatCode>_-* #,##0_-;\-* #,##0_-;_-* "-"??_-;_-@_-</c:formatCode>
                <c:ptCount val="8"/>
                <c:pt idx="0">
                  <c:v>7757843</c:v>
                </c:pt>
                <c:pt idx="1">
                  <c:v>6100877</c:v>
                </c:pt>
                <c:pt idx="2">
                  <c:v>4860448</c:v>
                </c:pt>
                <c:pt idx="3">
                  <c:v>1710804</c:v>
                </c:pt>
                <c:pt idx="4">
                  <c:v>2623164</c:v>
                </c:pt>
                <c:pt idx="5">
                  <c:v>519783</c:v>
                </c:pt>
                <c:pt idx="6">
                  <c:v>245657</c:v>
                </c:pt>
                <c:pt idx="7">
                  <c:v>398349</c:v>
                </c:pt>
              </c:numCache>
            </c:numRef>
          </c:val>
        </c:ser>
        <c:dLbls>
          <c:showLegendKey val="0"/>
          <c:showVal val="0"/>
          <c:showCatName val="0"/>
          <c:showSerName val="0"/>
          <c:showPercent val="0"/>
          <c:showBubbleSize val="0"/>
        </c:dLbls>
        <c:gapWidth val="20"/>
        <c:overlap val="-27"/>
        <c:axId val="137928704"/>
        <c:axId val="137929264"/>
      </c:barChart>
      <c:catAx>
        <c:axId val="1379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29264"/>
        <c:crosses val="autoZero"/>
        <c:auto val="1"/>
        <c:lblAlgn val="ctr"/>
        <c:lblOffset val="100"/>
        <c:noMultiLvlLbl val="0"/>
      </c:catAx>
      <c:valAx>
        <c:axId val="13792926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28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ViF</a:t>
            </a:r>
            <a:r>
              <a:rPr lang="en-AU" baseline="0"/>
              <a:t> 2016 LGA projections 2016 &amp; 2031 Population -</a:t>
            </a:r>
          </a:p>
          <a:p>
            <a:pPr algn="l">
              <a:defRPr/>
            </a:pPr>
            <a:r>
              <a:rPr lang="en-AU" baseline="0"/>
              <a:t>Regional Victoria </a:t>
            </a:r>
            <a:endParaRPr lang="en-AU"/>
          </a:p>
        </c:rich>
      </c:tx>
      <c:layout>
        <c:manualLayout>
          <c:xMode val="edge"/>
          <c:yMode val="edge"/>
          <c:x val="1.9114173228346409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381151574803149"/>
          <c:y val="7.3707593414887737E-2"/>
          <c:w val="0.76284990157480315"/>
          <c:h val="0.91302020962050001"/>
        </c:manualLayout>
      </c:layout>
      <c:barChart>
        <c:barDir val="bar"/>
        <c:grouping val="clustered"/>
        <c:varyColors val="0"/>
        <c:ser>
          <c:idx val="0"/>
          <c:order val="0"/>
          <c:tx>
            <c:strRef>
              <c:f>'LGA areas'!$C$4</c:f>
              <c:strCache>
                <c:ptCount val="1"/>
                <c:pt idx="0">
                  <c:v>Estiamted Population 2016</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'LGA areas'!$B$47:$B$99</c:f>
              <c:strCache>
                <c:ptCount val="53"/>
                <c:pt idx="0">
                  <c:v>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Peri-Urban and Coastal</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pt idx="52">
                  <c:v>Unincorporated Vic</c:v>
                </c:pt>
              </c:strCache>
            </c:strRef>
          </c:cat>
          <c:val>
            <c:numRef>
              <c:f>'LGA areas'!$C$47:$C$99</c:f>
              <c:numCache>
                <c:formatCode>#,##0</c:formatCode>
                <c:ptCount val="53"/>
                <c:pt idx="1">
                  <c:v>103249.4387189463</c:v>
                </c:pt>
                <c:pt idx="2">
                  <c:v>110445.60027557699</c:v>
                </c:pt>
                <c:pt idx="3">
                  <c:v>233348.65199136257</c:v>
                </c:pt>
                <c:pt idx="4">
                  <c:v>63827.77764931626</c:v>
                </c:pt>
                <c:pt idx="5">
                  <c:v>19887.147579163415</c:v>
                </c:pt>
                <c:pt idx="6">
                  <c:v>73646.311000414004</c:v>
                </c:pt>
                <c:pt idx="7">
                  <c:v>53355.90223872762</c:v>
                </c:pt>
                <c:pt idx="8">
                  <c:v>27040.415032728204</c:v>
                </c:pt>
                <c:pt idx="9">
                  <c:v>33947.664108665966</c:v>
                </c:pt>
                <c:pt idx="10">
                  <c:v>39358.311929271455</c:v>
                </c:pt>
                <c:pt idx="13">
                  <c:v>32825.367502181049</c:v>
                </c:pt>
                <c:pt idx="14">
                  <c:v>47578.386736274588</c:v>
                </c:pt>
                <c:pt idx="15">
                  <c:v>21216.092111823029</c:v>
                </c:pt>
                <c:pt idx="16">
                  <c:v>46022.914138261352</c:v>
                </c:pt>
                <c:pt idx="17">
                  <c:v>32126.259731125301</c:v>
                </c:pt>
                <c:pt idx="18">
                  <c:v>13758.441764715928</c:v>
                </c:pt>
                <c:pt idx="19">
                  <c:v>3017.8012559652111</c:v>
                </c:pt>
                <c:pt idx="20">
                  <c:v>27750.941863525284</c:v>
                </c:pt>
                <c:pt idx="21">
                  <c:v>29386.482539680699</c:v>
                </c:pt>
                <c:pt idx="24">
                  <c:v>11834.899042695339</c:v>
                </c:pt>
                <c:pt idx="25">
                  <c:v>10952.497178879148</c:v>
                </c:pt>
                <c:pt idx="26">
                  <c:v>13389.909617896061</c:v>
                </c:pt>
                <c:pt idx="27">
                  <c:v>5858.2216529508905</c:v>
                </c:pt>
                <c:pt idx="28">
                  <c:v>36813.741000021575</c:v>
                </c:pt>
                <c:pt idx="29">
                  <c:v>12560.998037598598</c:v>
                </c:pt>
                <c:pt idx="30">
                  <c:v>20142.215909853803</c:v>
                </c:pt>
                <c:pt idx="31">
                  <c:v>15553.365162717553</c:v>
                </c:pt>
                <c:pt idx="32">
                  <c:v>44415.316335320698</c:v>
                </c:pt>
                <c:pt idx="33">
                  <c:v>9919.2770659742309</c:v>
                </c:pt>
                <c:pt idx="34">
                  <c:v>19041.500933277322</c:v>
                </c:pt>
                <c:pt idx="35">
                  <c:v>14859.448932160132</c:v>
                </c:pt>
                <c:pt idx="36">
                  <c:v>5392.6871113703446</c:v>
                </c:pt>
                <c:pt idx="37">
                  <c:v>15464.794604446914</c:v>
                </c:pt>
                <c:pt idx="38">
                  <c:v>7268.2600830581432</c:v>
                </c:pt>
                <c:pt idx="39">
                  <c:v>8324.9085386722727</c:v>
                </c:pt>
                <c:pt idx="40">
                  <c:v>28942.277806727179</c:v>
                </c:pt>
                <c:pt idx="41">
                  <c:v>18238.680943281215</c:v>
                </c:pt>
                <c:pt idx="42">
                  <c:v>16271.840632376461</c:v>
                </c:pt>
                <c:pt idx="43">
                  <c:v>11420.02704224367</c:v>
                </c:pt>
                <c:pt idx="44">
                  <c:v>6867.432487122871</c:v>
                </c:pt>
                <c:pt idx="45">
                  <c:v>15656.554741409698</c:v>
                </c:pt>
                <c:pt idx="46">
                  <c:v>9881.4272280761525</c:v>
                </c:pt>
                <c:pt idx="47">
                  <c:v>20393.956818368504</c:v>
                </c:pt>
                <c:pt idx="48">
                  <c:v>5747.0543884107356</c:v>
                </c:pt>
                <c:pt idx="49">
                  <c:v>41923.142067097157</c:v>
                </c:pt>
                <c:pt idx="50">
                  <c:v>3810.9120972439787</c:v>
                </c:pt>
                <c:pt idx="51">
                  <c:v>6644.7995284680692</c:v>
                </c:pt>
                <c:pt idx="52">
                  <c:v>774.53581079602316</c:v>
                </c:pt>
              </c:numCache>
            </c:numRef>
          </c:val>
        </c:ser>
        <c:ser>
          <c:idx val="1"/>
          <c:order val="1"/>
          <c:tx>
            <c:strRef>
              <c:f>'LGA areas'!$D$4</c:f>
              <c:strCache>
                <c:ptCount val="1"/>
                <c:pt idx="0">
                  <c:v>Estimated Population 2031</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'LGA areas'!$B$47:$B$99</c:f>
              <c:strCache>
                <c:ptCount val="53"/>
                <c:pt idx="0">
                  <c:v>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Peri-Urban and Coastal</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pt idx="52">
                  <c:v>Unincorporated Vic</c:v>
                </c:pt>
              </c:strCache>
            </c:strRef>
          </c:cat>
          <c:val>
            <c:numRef>
              <c:f>'LGA areas'!$D$47:$D$99</c:f>
              <c:numCache>
                <c:formatCode>#,##0</c:formatCode>
                <c:ptCount val="53"/>
                <c:pt idx="1">
                  <c:v>136872.76985484909</c:v>
                </c:pt>
                <c:pt idx="2">
                  <c:v>144631.67174054304</c:v>
                </c:pt>
                <c:pt idx="3">
                  <c:v>296360.20583173732</c:v>
                </c:pt>
                <c:pt idx="4">
                  <c:v>73676.064698584712</c:v>
                </c:pt>
                <c:pt idx="5">
                  <c:v>21792.828212149903</c:v>
                </c:pt>
                <c:pt idx="6">
                  <c:v>81222.39301778248</c:v>
                </c:pt>
                <c:pt idx="7">
                  <c:v>59439.133176968549</c:v>
                </c:pt>
                <c:pt idx="8">
                  <c:v>27804.30117741194</c:v>
                </c:pt>
                <c:pt idx="9">
                  <c:v>38708.244738342</c:v>
                </c:pt>
                <c:pt idx="10">
                  <c:v>52072.715666515986</c:v>
                </c:pt>
                <c:pt idx="13">
                  <c:v>44797.710754422165</c:v>
                </c:pt>
                <c:pt idx="14">
                  <c:v>67742.651050740824</c:v>
                </c:pt>
                <c:pt idx="15">
                  <c:v>28963.850780837467</c:v>
                </c:pt>
                <c:pt idx="16">
                  <c:v>57486.525683860324</c:v>
                </c:pt>
                <c:pt idx="17">
                  <c:v>46123.876528022833</c:v>
                </c:pt>
                <c:pt idx="18">
                  <c:v>15628.380920107174</c:v>
                </c:pt>
                <c:pt idx="19">
                  <c:v>3061.1399756554615</c:v>
                </c:pt>
                <c:pt idx="20">
                  <c:v>30676.728887386427</c:v>
                </c:pt>
                <c:pt idx="21">
                  <c:v>39577.046591597784</c:v>
                </c:pt>
                <c:pt idx="24">
                  <c:v>11942.281114327099</c:v>
                </c:pt>
                <c:pt idx="25">
                  <c:v>10613.553499283465</c:v>
                </c:pt>
                <c:pt idx="26">
                  <c:v>13427.430729426385</c:v>
                </c:pt>
                <c:pt idx="27">
                  <c:v>4924.8234364616737</c:v>
                </c:pt>
                <c:pt idx="28">
                  <c:v>38785.504872907673</c:v>
                </c:pt>
                <c:pt idx="29">
                  <c:v>13087.916738583353</c:v>
                </c:pt>
                <c:pt idx="30">
                  <c:v>19969.037610678435</c:v>
                </c:pt>
                <c:pt idx="31">
                  <c:v>14211.994085056391</c:v>
                </c:pt>
                <c:pt idx="32">
                  <c:v>52150.189943732476</c:v>
                </c:pt>
                <c:pt idx="33">
                  <c:v>8772.6046513320871</c:v>
                </c:pt>
                <c:pt idx="34">
                  <c:v>18267.07747163187</c:v>
                </c:pt>
                <c:pt idx="35">
                  <c:v>16478.757296118376</c:v>
                </c:pt>
                <c:pt idx="36">
                  <c:v>4640.9336311875386</c:v>
                </c:pt>
                <c:pt idx="37">
                  <c:v>16346.459298001084</c:v>
                </c:pt>
                <c:pt idx="38">
                  <c:v>6709.712570933988</c:v>
                </c:pt>
                <c:pt idx="39">
                  <c:v>9595.0579347921775</c:v>
                </c:pt>
                <c:pt idx="40">
                  <c:v>32043.328159798541</c:v>
                </c:pt>
                <c:pt idx="41">
                  <c:v>19967.900980378898</c:v>
                </c:pt>
                <c:pt idx="42">
                  <c:v>17425.774329852313</c:v>
                </c:pt>
                <c:pt idx="43">
                  <c:v>10819.696237634995</c:v>
                </c:pt>
                <c:pt idx="44">
                  <c:v>7418.9232176268761</c:v>
                </c:pt>
                <c:pt idx="45">
                  <c:v>14824.336566721977</c:v>
                </c:pt>
                <c:pt idx="46">
                  <c:v>10843.685357614069</c:v>
                </c:pt>
                <c:pt idx="47">
                  <c:v>20707.870465059234</c:v>
                </c:pt>
                <c:pt idx="48">
                  <c:v>5503.3201387866093</c:v>
                </c:pt>
                <c:pt idx="49">
                  <c:v>45152.767823444134</c:v>
                </c:pt>
                <c:pt idx="50">
                  <c:v>2987.9727392467926</c:v>
                </c:pt>
                <c:pt idx="51">
                  <c:v>5618.3850578029715</c:v>
                </c:pt>
                <c:pt idx="52">
                  <c:v>825.33324402695916</c:v>
                </c:pt>
              </c:numCache>
            </c:numRef>
          </c:val>
        </c:ser>
        <c:dLbls>
          <c:showLegendKey val="0"/>
          <c:showVal val="0"/>
          <c:showCatName val="0"/>
          <c:showSerName val="0"/>
          <c:showPercent val="0"/>
          <c:showBubbleSize val="0"/>
        </c:dLbls>
        <c:gapWidth val="40"/>
        <c:axId val="201981504"/>
        <c:axId val="201982064"/>
      </c:barChart>
      <c:catAx>
        <c:axId val="201981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82064"/>
        <c:crosses val="autoZero"/>
        <c:auto val="1"/>
        <c:lblAlgn val="ctr"/>
        <c:lblOffset val="100"/>
        <c:noMultiLvlLbl val="0"/>
      </c:catAx>
      <c:valAx>
        <c:axId val="2019820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81504"/>
        <c:crosses val="autoZero"/>
        <c:crossBetween val="between"/>
      </c:valAx>
      <c:spPr>
        <a:noFill/>
        <a:ln>
          <a:noFill/>
        </a:ln>
        <a:effectLst/>
      </c:spPr>
    </c:plotArea>
    <c:legend>
      <c:legendPos val="b"/>
      <c:layout>
        <c:manualLayout>
          <c:xMode val="edge"/>
          <c:yMode val="edge"/>
          <c:x val="0.6071458184204247"/>
          <c:y val="0"/>
          <c:w val="0.3928541815795753"/>
          <c:h val="4.973643168745783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Births 2015 by Local Government Area</a:t>
            </a:r>
            <a:r>
              <a:rPr lang="en-US" baseline="0"/>
              <a:t> </a:t>
            </a:r>
          </a:p>
          <a:p>
            <a:pPr algn="l">
              <a:defRPr sz="1400" b="0" i="0" u="none" strike="noStrike" kern="1200" spc="0" baseline="0">
                <a:solidFill>
                  <a:schemeClr val="tx1">
                    <a:lumMod val="65000"/>
                    <a:lumOff val="35000"/>
                  </a:schemeClr>
                </a:solidFill>
                <a:latin typeface="+mn-lt"/>
                <a:ea typeface="+mn-ea"/>
                <a:cs typeface="+mn-cs"/>
              </a:defRPr>
            </a:pPr>
            <a:r>
              <a:rPr lang="en-US" baseline="0"/>
              <a:t>Metropolitan Melbourne</a:t>
            </a:r>
            <a:endParaRPr lang="en-US"/>
          </a:p>
          <a:p>
            <a:pPr algn="l">
              <a:defRPr sz="1400" b="0" i="0" u="none" strike="noStrike" kern="1200" spc="0" baseline="0">
                <a:solidFill>
                  <a:schemeClr val="tx1">
                    <a:lumMod val="65000"/>
                    <a:lumOff val="35000"/>
                  </a:schemeClr>
                </a:solidFill>
                <a:latin typeface="+mn-lt"/>
                <a:ea typeface="+mn-ea"/>
                <a:cs typeface="+mn-cs"/>
              </a:defRPr>
            </a:pPr>
            <a:r>
              <a:rPr lang="en-US" sz="1050"/>
              <a:t>Source:</a:t>
            </a:r>
            <a:r>
              <a:rPr lang="en-US" sz="1050" baseline="0"/>
              <a:t> ABS Births 2015</a:t>
            </a:r>
            <a:endParaRPr lang="en-US" sz="1050"/>
          </a:p>
        </c:rich>
      </c:tx>
      <c:layout>
        <c:manualLayout>
          <c:xMode val="edge"/>
          <c:yMode val="edge"/>
          <c:x val="2.3024574118244101E-4"/>
          <c:y val="4.7466690149285855E-4"/>
        </c:manualLayout>
      </c:layout>
      <c:overlay val="0"/>
      <c:spPr>
        <a:noFill/>
        <a:ln>
          <a:noFill/>
        </a:ln>
        <a:effectLst/>
      </c:spPr>
    </c:title>
    <c:autoTitleDeleted val="0"/>
    <c:plotArea>
      <c:layout>
        <c:manualLayout>
          <c:layoutTarget val="inner"/>
          <c:xMode val="edge"/>
          <c:yMode val="edge"/>
          <c:x val="0.18711595350396129"/>
          <c:y val="0.1199103257479581"/>
          <c:w val="0.77948384150932393"/>
          <c:h val="0.86145034526788533"/>
        </c:manualLayout>
      </c:layout>
      <c:barChart>
        <c:barDir val="bar"/>
        <c:grouping val="clustered"/>
        <c:varyColors val="1"/>
        <c:ser>
          <c:idx val="0"/>
          <c:order val="0"/>
          <c:tx>
            <c:strRef>
              <c:f>'Graphs of 2015 Births'!$B$3</c:f>
              <c:strCache>
                <c:ptCount val="1"/>
                <c:pt idx="0">
                  <c:v>Births 2015</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of 2015 Births'!$A$4:$A$46</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'Graphs of 2015 Births'!$B$4:$B$46</c:f>
              <c:numCache>
                <c:formatCode>#,##0</c:formatCode>
                <c:ptCount val="43"/>
                <c:pt idx="1">
                  <c:v>1209</c:v>
                </c:pt>
                <c:pt idx="2">
                  <c:v>1274</c:v>
                </c:pt>
                <c:pt idx="3">
                  <c:v>1055</c:v>
                </c:pt>
                <c:pt idx="6">
                  <c:v>1712</c:v>
                </c:pt>
                <c:pt idx="7">
                  <c:v>1063</c:v>
                </c:pt>
                <c:pt idx="8">
                  <c:v>1507</c:v>
                </c:pt>
                <c:pt idx="9">
                  <c:v>1841</c:v>
                </c:pt>
                <c:pt idx="10">
                  <c:v>1729</c:v>
                </c:pt>
                <c:pt idx="11">
                  <c:v>1740</c:v>
                </c:pt>
                <c:pt idx="14">
                  <c:v>904</c:v>
                </c:pt>
                <c:pt idx="15">
                  <c:v>1518</c:v>
                </c:pt>
                <c:pt idx="16">
                  <c:v>1700</c:v>
                </c:pt>
                <c:pt idx="17">
                  <c:v>1014</c:v>
                </c:pt>
                <c:pt idx="20">
                  <c:v>1527</c:v>
                </c:pt>
                <c:pt idx="21">
                  <c:v>1932</c:v>
                </c:pt>
                <c:pt idx="22">
                  <c:v>2987</c:v>
                </c:pt>
                <c:pt idx="23">
                  <c:v>486</c:v>
                </c:pt>
                <c:pt idx="24">
                  <c:v>2349</c:v>
                </c:pt>
                <c:pt idx="25">
                  <c:v>535</c:v>
                </c:pt>
                <c:pt idx="26">
                  <c:v>3065</c:v>
                </c:pt>
                <c:pt idx="29">
                  <c:v>1415</c:v>
                </c:pt>
                <c:pt idx="30">
                  <c:v>4389</c:v>
                </c:pt>
                <c:pt idx="31">
                  <c:v>1805</c:v>
                </c:pt>
                <c:pt idx="32">
                  <c:v>2291</c:v>
                </c:pt>
                <c:pt idx="33">
                  <c:v>1829</c:v>
                </c:pt>
                <c:pt idx="34">
                  <c:v>1478</c:v>
                </c:pt>
                <c:pt idx="37">
                  <c:v>2810</c:v>
                </c:pt>
                <c:pt idx="38">
                  <c:v>1261</c:v>
                </c:pt>
                <c:pt idx="39">
                  <c:v>1288</c:v>
                </c:pt>
                <c:pt idx="40">
                  <c:v>2137</c:v>
                </c:pt>
                <c:pt idx="41">
                  <c:v>1307</c:v>
                </c:pt>
                <c:pt idx="42">
                  <c:v>4058</c:v>
                </c:pt>
              </c:numCache>
            </c:numRef>
          </c:val>
        </c:ser>
        <c:dLbls>
          <c:showLegendKey val="0"/>
          <c:showVal val="0"/>
          <c:showCatName val="0"/>
          <c:showSerName val="0"/>
          <c:showPercent val="0"/>
          <c:showBubbleSize val="0"/>
        </c:dLbls>
        <c:gapWidth val="32"/>
        <c:axId val="202882016"/>
        <c:axId val="202882576"/>
      </c:barChart>
      <c:catAx>
        <c:axId val="202882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2576"/>
        <c:crosses val="autoZero"/>
        <c:auto val="1"/>
        <c:lblAlgn val="ctr"/>
        <c:lblOffset val="100"/>
        <c:noMultiLvlLbl val="0"/>
      </c:catAx>
      <c:valAx>
        <c:axId val="202882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2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Births 2015 by Local Government Area</a:t>
            </a:r>
            <a:r>
              <a:rPr lang="en-US" baseline="0"/>
              <a:t> </a:t>
            </a:r>
          </a:p>
          <a:p>
            <a:pPr algn="l">
              <a:defRPr sz="1400" b="0" i="0" u="none" strike="noStrike" kern="1200" spc="0" baseline="0">
                <a:solidFill>
                  <a:schemeClr val="tx1">
                    <a:lumMod val="65000"/>
                    <a:lumOff val="35000"/>
                  </a:schemeClr>
                </a:solidFill>
                <a:latin typeface="+mn-lt"/>
                <a:ea typeface="+mn-ea"/>
                <a:cs typeface="+mn-cs"/>
              </a:defRPr>
            </a:pPr>
            <a:r>
              <a:rPr lang="en-US" baseline="0"/>
              <a:t>Regional Victoria</a:t>
            </a:r>
            <a:endParaRPr lang="en-US"/>
          </a:p>
          <a:p>
            <a:pPr algn="l">
              <a:defRPr sz="1400" b="0" i="0" u="none" strike="noStrike" kern="1200" spc="0" baseline="0">
                <a:solidFill>
                  <a:schemeClr val="tx1">
                    <a:lumMod val="65000"/>
                    <a:lumOff val="35000"/>
                  </a:schemeClr>
                </a:solidFill>
                <a:latin typeface="+mn-lt"/>
                <a:ea typeface="+mn-ea"/>
                <a:cs typeface="+mn-cs"/>
              </a:defRPr>
            </a:pPr>
            <a:r>
              <a:rPr lang="en-US" sz="1050"/>
              <a:t>Source:</a:t>
            </a:r>
            <a:r>
              <a:rPr lang="en-US" sz="1050" baseline="0"/>
              <a:t> ABS Births 2015</a:t>
            </a:r>
            <a:endParaRPr lang="en-US" sz="1050"/>
          </a:p>
        </c:rich>
      </c:tx>
      <c:layout>
        <c:manualLayout>
          <c:xMode val="edge"/>
          <c:yMode val="edge"/>
          <c:x val="2.3024574118244101E-4"/>
          <c:y val="4.7467470821466456E-4"/>
        </c:manualLayout>
      </c:layout>
      <c:overlay val="0"/>
      <c:spPr>
        <a:noFill/>
        <a:ln>
          <a:noFill/>
        </a:ln>
        <a:effectLst/>
      </c:spPr>
    </c:title>
    <c:autoTitleDeleted val="0"/>
    <c:plotArea>
      <c:layout>
        <c:manualLayout>
          <c:layoutTarget val="inner"/>
          <c:xMode val="edge"/>
          <c:yMode val="edge"/>
          <c:x val="0.23029917373838449"/>
          <c:y val="0.1199103257479581"/>
          <c:w val="0.73630062127490081"/>
          <c:h val="0.86145034526788533"/>
        </c:manualLayout>
      </c:layout>
      <c:barChart>
        <c:barDir val="bar"/>
        <c:grouping val="clustered"/>
        <c:varyColors val="1"/>
        <c:ser>
          <c:idx val="0"/>
          <c:order val="0"/>
          <c:tx>
            <c:strRef>
              <c:f>'Graphs of 2015 Births'!$B$3</c:f>
              <c:strCache>
                <c:ptCount val="1"/>
                <c:pt idx="0">
                  <c:v>Births 2015</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of 2015 Births'!$A$48:$A$100</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'Graphs of 2015 Births'!$B$48:$B$100</c:f>
              <c:numCache>
                <c:formatCode>#,##0</c:formatCode>
                <c:ptCount val="53"/>
                <c:pt idx="1">
                  <c:v>1287</c:v>
                </c:pt>
                <c:pt idx="2">
                  <c:v>1237</c:v>
                </c:pt>
                <c:pt idx="3">
                  <c:v>2789</c:v>
                </c:pt>
                <c:pt idx="4">
                  <c:v>806</c:v>
                </c:pt>
                <c:pt idx="5">
                  <c:v>248</c:v>
                </c:pt>
                <c:pt idx="6">
                  <c:v>866</c:v>
                </c:pt>
                <c:pt idx="7">
                  <c:v>663</c:v>
                </c:pt>
                <c:pt idx="8">
                  <c:v>299</c:v>
                </c:pt>
                <c:pt idx="9">
                  <c:v>358</c:v>
                </c:pt>
                <c:pt idx="10">
                  <c:v>558</c:v>
                </c:pt>
                <c:pt idx="13">
                  <c:v>284</c:v>
                </c:pt>
                <c:pt idx="14">
                  <c:v>542</c:v>
                </c:pt>
                <c:pt idx="15">
                  <c:v>241</c:v>
                </c:pt>
                <c:pt idx="16">
                  <c:v>452</c:v>
                </c:pt>
                <c:pt idx="17">
                  <c:v>342</c:v>
                </c:pt>
                <c:pt idx="18">
                  <c:v>95</c:v>
                </c:pt>
                <c:pt idx="19">
                  <c:v>6</c:v>
                </c:pt>
                <c:pt idx="20">
                  <c:v>286</c:v>
                </c:pt>
                <c:pt idx="21">
                  <c:v>326</c:v>
                </c:pt>
                <c:pt idx="24">
                  <c:v>100</c:v>
                </c:pt>
                <c:pt idx="25">
                  <c:v>108</c:v>
                </c:pt>
                <c:pt idx="26">
                  <c:v>120</c:v>
                </c:pt>
                <c:pt idx="27">
                  <c:v>60</c:v>
                </c:pt>
                <c:pt idx="28">
                  <c:v>407</c:v>
                </c:pt>
                <c:pt idx="29">
                  <c:v>116</c:v>
                </c:pt>
                <c:pt idx="30">
                  <c:v>235</c:v>
                </c:pt>
                <c:pt idx="31">
                  <c:v>170</c:v>
                </c:pt>
                <c:pt idx="32">
                  <c:v>415</c:v>
                </c:pt>
                <c:pt idx="33">
                  <c:v>105</c:v>
                </c:pt>
                <c:pt idx="34">
                  <c:v>202</c:v>
                </c:pt>
                <c:pt idx="35">
                  <c:v>132</c:v>
                </c:pt>
                <c:pt idx="36">
                  <c:v>45</c:v>
                </c:pt>
                <c:pt idx="37">
                  <c:v>137</c:v>
                </c:pt>
                <c:pt idx="38">
                  <c:v>69</c:v>
                </c:pt>
                <c:pt idx="39">
                  <c:v>79</c:v>
                </c:pt>
                <c:pt idx="40">
                  <c:v>307</c:v>
                </c:pt>
                <c:pt idx="41">
                  <c:v>145</c:v>
                </c:pt>
                <c:pt idx="42">
                  <c:v>185</c:v>
                </c:pt>
                <c:pt idx="43">
                  <c:v>113</c:v>
                </c:pt>
                <c:pt idx="44">
                  <c:v>59</c:v>
                </c:pt>
                <c:pt idx="45">
                  <c:v>167</c:v>
                </c:pt>
                <c:pt idx="46">
                  <c:v>91</c:v>
                </c:pt>
                <c:pt idx="47">
                  <c:v>293</c:v>
                </c:pt>
                <c:pt idx="48">
                  <c:v>53</c:v>
                </c:pt>
                <c:pt idx="49">
                  <c:v>474</c:v>
                </c:pt>
                <c:pt idx="50">
                  <c:v>42</c:v>
                </c:pt>
                <c:pt idx="51">
                  <c:v>59</c:v>
                </c:pt>
                <c:pt idx="52">
                  <c:v>3</c:v>
                </c:pt>
              </c:numCache>
            </c:numRef>
          </c:val>
        </c:ser>
        <c:dLbls>
          <c:showLegendKey val="0"/>
          <c:showVal val="0"/>
          <c:showCatName val="0"/>
          <c:showSerName val="0"/>
          <c:showPercent val="0"/>
          <c:showBubbleSize val="0"/>
        </c:dLbls>
        <c:gapWidth val="32"/>
        <c:axId val="202884816"/>
        <c:axId val="202885376"/>
      </c:barChart>
      <c:catAx>
        <c:axId val="202884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5376"/>
        <c:crosses val="autoZero"/>
        <c:auto val="1"/>
        <c:lblAlgn val="ctr"/>
        <c:lblOffset val="100"/>
        <c:noMultiLvlLbl val="0"/>
      </c:catAx>
      <c:valAx>
        <c:axId val="2028853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Deaths by LGA in</a:t>
            </a:r>
            <a:r>
              <a:rPr lang="en-AU" baseline="0"/>
              <a:t> 2015 - Metropolitan Melbourne</a:t>
            </a:r>
          </a:p>
          <a:p>
            <a:pPr algn="l">
              <a:defRPr/>
            </a:pPr>
            <a:r>
              <a:rPr lang="en-AU" sz="1000" baseline="0"/>
              <a:t>Source: ABS Deaths 2015</a:t>
            </a:r>
            <a:endParaRPr lang="en-AU" sz="1000"/>
          </a:p>
        </c:rich>
      </c:tx>
      <c:layout>
        <c:manualLayout>
          <c:xMode val="edge"/>
          <c:yMode val="edge"/>
          <c:x val="2.3063859099060522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Sheet1!$B$2:$B$44</c:f>
              <c:numCache>
                <c:formatCode>General</c:formatCode>
                <c:ptCount val="43"/>
                <c:pt idx="1">
                  <c:v>375</c:v>
                </c:pt>
                <c:pt idx="2">
                  <c:v>517</c:v>
                </c:pt>
                <c:pt idx="3">
                  <c:v>379</c:v>
                </c:pt>
                <c:pt idx="6">
                  <c:v>960</c:v>
                </c:pt>
                <c:pt idx="7">
                  <c:v>904</c:v>
                </c:pt>
                <c:pt idx="8">
                  <c:v>857</c:v>
                </c:pt>
                <c:pt idx="9" formatCode="#,##0">
                  <c:v>1309</c:v>
                </c:pt>
                <c:pt idx="10" formatCode="#,##0">
                  <c:v>1117</c:v>
                </c:pt>
                <c:pt idx="11">
                  <c:v>874</c:v>
                </c:pt>
                <c:pt idx="14">
                  <c:v>826</c:v>
                </c:pt>
                <c:pt idx="15" formatCode="#,##0">
                  <c:v>1136</c:v>
                </c:pt>
                <c:pt idx="16">
                  <c:v>969</c:v>
                </c:pt>
                <c:pt idx="17">
                  <c:v>599</c:v>
                </c:pt>
                <c:pt idx="20">
                  <c:v>883</c:v>
                </c:pt>
                <c:pt idx="21" formatCode="#,##0">
                  <c:v>1125</c:v>
                </c:pt>
                <c:pt idx="22">
                  <c:v>846</c:v>
                </c:pt>
                <c:pt idx="23">
                  <c:v>206</c:v>
                </c:pt>
                <c:pt idx="24" formatCode="#,##0">
                  <c:v>1209</c:v>
                </c:pt>
                <c:pt idx="25">
                  <c:v>244</c:v>
                </c:pt>
                <c:pt idx="26">
                  <c:v>913</c:v>
                </c:pt>
                <c:pt idx="29">
                  <c:v>453</c:v>
                </c:pt>
                <c:pt idx="30" formatCode="#,##0">
                  <c:v>1308</c:v>
                </c:pt>
                <c:pt idx="31">
                  <c:v>976</c:v>
                </c:pt>
                <c:pt idx="32" formatCode="#,##0">
                  <c:v>1027</c:v>
                </c:pt>
                <c:pt idx="33" formatCode="#,##0">
                  <c:v>1064</c:v>
                </c:pt>
                <c:pt idx="34" formatCode="#,##0">
                  <c:v>1475</c:v>
                </c:pt>
                <c:pt idx="37" formatCode="#,##0">
                  <c:v>1095</c:v>
                </c:pt>
                <c:pt idx="38">
                  <c:v>636</c:v>
                </c:pt>
                <c:pt idx="39">
                  <c:v>490</c:v>
                </c:pt>
                <c:pt idx="40">
                  <c:v>478</c:v>
                </c:pt>
                <c:pt idx="41">
                  <c:v>805</c:v>
                </c:pt>
                <c:pt idx="42">
                  <c:v>665</c:v>
                </c:pt>
              </c:numCache>
            </c:numRef>
          </c:val>
        </c:ser>
        <c:dLbls>
          <c:showLegendKey val="0"/>
          <c:showVal val="0"/>
          <c:showCatName val="0"/>
          <c:showSerName val="0"/>
          <c:showPercent val="0"/>
          <c:showBubbleSize val="0"/>
        </c:dLbls>
        <c:gapWidth val="50"/>
        <c:axId val="202887616"/>
        <c:axId val="203201952"/>
      </c:barChart>
      <c:catAx>
        <c:axId val="202887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01952"/>
        <c:crosses val="autoZero"/>
        <c:auto val="1"/>
        <c:lblAlgn val="ctr"/>
        <c:lblOffset val="100"/>
        <c:noMultiLvlLbl val="0"/>
      </c:catAx>
      <c:valAx>
        <c:axId val="2032019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7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Deaths by LGA in</a:t>
            </a:r>
            <a:r>
              <a:rPr lang="en-AU" baseline="0"/>
              <a:t> 2015 - Regional Victoria</a:t>
            </a:r>
          </a:p>
          <a:p>
            <a:pPr algn="l">
              <a:defRPr/>
            </a:pPr>
            <a:r>
              <a:rPr lang="en-AU" sz="1000" baseline="0"/>
              <a:t>Source: ABS Deaths 2015</a:t>
            </a:r>
            <a:endParaRPr lang="en-AU" sz="1000"/>
          </a:p>
        </c:rich>
      </c:tx>
      <c:layout>
        <c:manualLayout>
          <c:xMode val="edge"/>
          <c:yMode val="edge"/>
          <c:x val="2.3063859099060522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66145691064637"/>
          <c:y val="8.6902289054358997E-2"/>
          <c:w val="0.66548002201082335"/>
          <c:h val="0.89142944555243475"/>
        </c:manualLayout>
      </c:layout>
      <c:barChart>
        <c:barDir val="bar"/>
        <c:grouping val="clustered"/>
        <c:varyColors val="0"/>
        <c:ser>
          <c:idx val="0"/>
          <c:order val="0"/>
          <c:spPr>
            <a:solidFill>
              <a:schemeClr val="bg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Sheet1!$B$46:$B$98</c:f>
              <c:numCache>
                <c:formatCode>General</c:formatCode>
                <c:ptCount val="53"/>
                <c:pt idx="1">
                  <c:v>831</c:v>
                </c:pt>
                <c:pt idx="2">
                  <c:v>919</c:v>
                </c:pt>
                <c:pt idx="3" formatCode="#,##0">
                  <c:v>1940</c:v>
                </c:pt>
                <c:pt idx="4">
                  <c:v>584</c:v>
                </c:pt>
                <c:pt idx="5">
                  <c:v>168</c:v>
                </c:pt>
                <c:pt idx="6">
                  <c:v>684</c:v>
                </c:pt>
                <c:pt idx="7">
                  <c:v>459</c:v>
                </c:pt>
                <c:pt idx="8">
                  <c:v>264</c:v>
                </c:pt>
                <c:pt idx="9">
                  <c:v>282</c:v>
                </c:pt>
                <c:pt idx="10">
                  <c:v>256</c:v>
                </c:pt>
                <c:pt idx="13">
                  <c:v>354</c:v>
                </c:pt>
                <c:pt idx="14">
                  <c:v>367</c:v>
                </c:pt>
                <c:pt idx="15">
                  <c:v>126</c:v>
                </c:pt>
                <c:pt idx="16">
                  <c:v>289</c:v>
                </c:pt>
                <c:pt idx="17">
                  <c:v>185</c:v>
                </c:pt>
                <c:pt idx="18">
                  <c:v>114</c:v>
                </c:pt>
                <c:pt idx="19">
                  <c:v>28</c:v>
                </c:pt>
                <c:pt idx="20">
                  <c:v>245</c:v>
                </c:pt>
                <c:pt idx="21">
                  <c:v>191</c:v>
                </c:pt>
                <c:pt idx="24">
                  <c:v>120</c:v>
                </c:pt>
                <c:pt idx="25">
                  <c:v>107</c:v>
                </c:pt>
                <c:pt idx="26">
                  <c:v>168</c:v>
                </c:pt>
                <c:pt idx="27">
                  <c:v>91</c:v>
                </c:pt>
                <c:pt idx="28">
                  <c:v>375</c:v>
                </c:pt>
                <c:pt idx="29">
                  <c:v>170</c:v>
                </c:pt>
                <c:pt idx="30">
                  <c:v>233</c:v>
                </c:pt>
                <c:pt idx="31">
                  <c:v>192</c:v>
                </c:pt>
                <c:pt idx="32">
                  <c:v>474</c:v>
                </c:pt>
                <c:pt idx="33">
                  <c:v>111</c:v>
                </c:pt>
                <c:pt idx="34">
                  <c:v>198</c:v>
                </c:pt>
                <c:pt idx="35">
                  <c:v>170</c:v>
                </c:pt>
                <c:pt idx="36">
                  <c:v>95</c:v>
                </c:pt>
                <c:pt idx="37">
                  <c:v>132</c:v>
                </c:pt>
                <c:pt idx="38">
                  <c:v>90</c:v>
                </c:pt>
                <c:pt idx="39">
                  <c:v>71</c:v>
                </c:pt>
                <c:pt idx="40">
                  <c:v>351</c:v>
                </c:pt>
                <c:pt idx="41">
                  <c:v>184</c:v>
                </c:pt>
                <c:pt idx="42">
                  <c:v>134</c:v>
                </c:pt>
                <c:pt idx="43">
                  <c:v>125</c:v>
                </c:pt>
                <c:pt idx="44">
                  <c:v>69</c:v>
                </c:pt>
                <c:pt idx="45">
                  <c:v>210</c:v>
                </c:pt>
                <c:pt idx="46">
                  <c:v>138</c:v>
                </c:pt>
                <c:pt idx="47">
                  <c:v>183</c:v>
                </c:pt>
                <c:pt idx="48">
                  <c:v>64</c:v>
                </c:pt>
                <c:pt idx="49">
                  <c:v>423</c:v>
                </c:pt>
                <c:pt idx="50">
                  <c:v>58</c:v>
                </c:pt>
                <c:pt idx="51">
                  <c:v>82</c:v>
                </c:pt>
                <c:pt idx="52">
                  <c:v>0</c:v>
                </c:pt>
              </c:numCache>
            </c:numRef>
          </c:val>
        </c:ser>
        <c:dLbls>
          <c:showLegendKey val="0"/>
          <c:showVal val="0"/>
          <c:showCatName val="0"/>
          <c:showSerName val="0"/>
          <c:showPercent val="0"/>
          <c:showBubbleSize val="0"/>
        </c:dLbls>
        <c:gapWidth val="50"/>
        <c:axId val="203204192"/>
        <c:axId val="203204752"/>
      </c:barChart>
      <c:catAx>
        <c:axId val="20320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04752"/>
        <c:crosses val="autoZero"/>
        <c:auto val="1"/>
        <c:lblAlgn val="ctr"/>
        <c:lblOffset val="100"/>
        <c:noMultiLvlLbl val="0"/>
      </c:catAx>
      <c:valAx>
        <c:axId val="2032047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04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Value of Building Approvals in Victoria </a:t>
            </a:r>
          </a:p>
          <a:p>
            <a:pPr>
              <a:defRPr/>
            </a:pPr>
            <a:r>
              <a:rPr lang="en-AU" baseline="0"/>
              <a:t>Full Year 2015-16 (billions)</a:t>
            </a:r>
            <a:r>
              <a:rPr lang="en-AU"/>
              <a:t> </a:t>
            </a:r>
          </a:p>
        </c:rich>
      </c:tx>
      <c:layout>
        <c:manualLayout>
          <c:xMode val="edge"/>
          <c:yMode val="edge"/>
          <c:x val="0.233727635190639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931598244875882"/>
          <c:y val="0.20664460211704305"/>
          <c:w val="0.43846727174370387"/>
          <c:h val="0.78900017305529135"/>
        </c:manualLayout>
      </c:layout>
      <c:pieChart>
        <c:varyColors val="1"/>
        <c:ser>
          <c:idx val="0"/>
          <c:order val="0"/>
          <c:dPt>
            <c:idx val="0"/>
            <c:bubble3D val="0"/>
            <c:explosion val="1"/>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8.9637139107611549E-2"/>
                  <c:y val="1.4432050160396617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3.9971950071126604E-2"/>
                  <c:y val="-5.0196129329987599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3.7613151409508924E-2"/>
                  <c:y val="6.0298231951775215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5.3107932119172127E-2"/>
                  <c:y val="6.619076461596146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Value!$E$105:$H$105</c:f>
              <c:strCache>
                <c:ptCount val="4"/>
                <c:pt idx="0">
                  <c:v>Residential </c:v>
                </c:pt>
                <c:pt idx="1">
                  <c:v>Commerical</c:v>
                </c:pt>
                <c:pt idx="2">
                  <c:v>Industrial</c:v>
                </c:pt>
                <c:pt idx="3">
                  <c:v>Other buildings</c:v>
                </c:pt>
              </c:strCache>
            </c:strRef>
          </c:cat>
          <c:val>
            <c:numRef>
              <c:f>Value!$E$106:$H$106</c:f>
              <c:numCache>
                <c:formatCode>_("$"* #,##0.00_);_("$"* \(#,##0.00\);_("$"* "-"??_);_(@_)</c:formatCode>
                <c:ptCount val="4"/>
                <c:pt idx="0">
                  <c:v>22.188690999999999</c:v>
                </c:pt>
                <c:pt idx="1">
                  <c:v>2.7107950000000001</c:v>
                </c:pt>
                <c:pt idx="2">
                  <c:v>1.502699</c:v>
                </c:pt>
                <c:pt idx="3">
                  <c:v>4.5456110000000001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Value of Building Approvals in Victoria </a:t>
            </a:r>
          </a:p>
          <a:p>
            <a:pPr>
              <a:defRPr/>
            </a:pPr>
            <a:r>
              <a:rPr lang="en-AU" sz="1400" b="0" i="0" u="none" strike="noStrike" baseline="0">
                <a:effectLst/>
              </a:rPr>
              <a:t>First 9 months of 2016-17</a:t>
            </a:r>
            <a:r>
              <a:rPr lang="en-AU"/>
              <a:t> (Billions)</a:t>
            </a:r>
          </a:p>
        </c:rich>
      </c:tx>
      <c:layout>
        <c:manualLayout>
          <c:xMode val="edge"/>
          <c:yMode val="edge"/>
          <c:x val="0.233727635190639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07965192875481"/>
          <c:y val="0.17920988871448726"/>
          <c:w val="0.5633697427165868"/>
          <c:h val="0.7926157500493659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1.9379544770018502E-2"/>
                  <c:y val="-5.8789191713475375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1463321183212754E-2"/>
                  <c:y val="2.0835080952607315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517117737332014E-2"/>
                  <c:y val="1.2296321279444682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5.3107932119172127E-2"/>
                  <c:y val="6.619076461596146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'Value Q2 1617'!$E$108:$H$108</c:f>
              <c:strCache>
                <c:ptCount val="4"/>
                <c:pt idx="0">
                  <c:v>Residential </c:v>
                </c:pt>
                <c:pt idx="1">
                  <c:v>Commerical</c:v>
                </c:pt>
                <c:pt idx="2">
                  <c:v>Industrial</c:v>
                </c:pt>
                <c:pt idx="3">
                  <c:v>Other buildings</c:v>
                </c:pt>
              </c:strCache>
            </c:strRef>
          </c:cat>
          <c:val>
            <c:numRef>
              <c:f>'Value Q2 1617'!$E$109:$H$109</c:f>
              <c:numCache>
                <c:formatCode>_("$"* #,##0.00_);_("$"* \(#,##0.00\);_("$"* "-"??_);_(@_)</c:formatCode>
                <c:ptCount val="4"/>
                <c:pt idx="0">
                  <c:v>17.572174</c:v>
                </c:pt>
                <c:pt idx="1">
                  <c:v>3.1763080000000001</c:v>
                </c:pt>
                <c:pt idx="2">
                  <c:v>1.197157</c:v>
                </c:pt>
                <c:pt idx="3">
                  <c:v>4.2559829999999996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Annual Dwelling Building Approvals in Victoria</a:t>
            </a:r>
          </a:p>
          <a:p>
            <a:pPr algn="l">
              <a:defRPr/>
            </a:pPr>
            <a:r>
              <a:rPr lang="en-AU" sz="1050"/>
              <a:t>Source:</a:t>
            </a:r>
            <a:r>
              <a:rPr lang="en-AU" sz="1050" baseline="0"/>
              <a:t> ABS building Approvals</a:t>
            </a:r>
            <a:r>
              <a:rPr lang="en-AU" sz="1050"/>
              <a:t> </a:t>
            </a:r>
          </a:p>
        </c:rich>
      </c:tx>
      <c:layout>
        <c:manualLayout>
          <c:xMode val="edge"/>
          <c:yMode val="edge"/>
          <c:x val="3.3037275610312504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62174610063505"/>
          <c:y val="0.10496319663512092"/>
          <c:w val="0.87663005975362596"/>
          <c:h val="0.73147511015423106"/>
        </c:manualLayout>
      </c:layout>
      <c:lineChart>
        <c:grouping val="standard"/>
        <c:varyColors val="0"/>
        <c:ser>
          <c:idx val="0"/>
          <c:order val="0"/>
          <c:tx>
            <c:strRef>
              <c:f>Data12!$F$12</c:f>
              <c:strCache>
                <c:ptCount val="1"/>
                <c:pt idx="0">
                  <c:v>  Houses </c:v>
                </c:pt>
              </c:strCache>
            </c:strRef>
          </c:tx>
          <c:spPr>
            <a:ln w="28575" cap="rnd">
              <a:solidFill>
                <a:schemeClr val="accent1">
                  <a:lumMod val="75000"/>
                </a:schemeClr>
              </a:solidFill>
              <a:round/>
            </a:ln>
            <a:effectLst/>
          </c:spPr>
          <c:marker>
            <c:symbol val="none"/>
          </c:marker>
          <c:cat>
            <c:numRef>
              <c:f>Data12!$E$200:$E$406</c:f>
              <c:numCache>
                <c:formatCode>mmm\-yyyy</c:formatCode>
                <c:ptCount val="207"/>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numCache>
            </c:numRef>
          </c:cat>
          <c:val>
            <c:numRef>
              <c:f>Data12!$F$200:$F$406</c:f>
              <c:numCache>
                <c:formatCode>_-* #,##0_-;\-* #,##0_-;_-* "-"??_-;_-@_-</c:formatCode>
                <c:ptCount val="207"/>
                <c:pt idx="0">
                  <c:v>34729</c:v>
                </c:pt>
                <c:pt idx="1">
                  <c:v>35889</c:v>
                </c:pt>
                <c:pt idx="2">
                  <c:v>36751</c:v>
                </c:pt>
                <c:pt idx="3">
                  <c:v>37076</c:v>
                </c:pt>
                <c:pt idx="4">
                  <c:v>36868</c:v>
                </c:pt>
                <c:pt idx="5">
                  <c:v>36533</c:v>
                </c:pt>
                <c:pt idx="6">
                  <c:v>35604</c:v>
                </c:pt>
                <c:pt idx="7">
                  <c:v>34303</c:v>
                </c:pt>
                <c:pt idx="8">
                  <c:v>32784</c:v>
                </c:pt>
                <c:pt idx="9">
                  <c:v>31392</c:v>
                </c:pt>
                <c:pt idx="10">
                  <c:v>30268</c:v>
                </c:pt>
                <c:pt idx="11">
                  <c:v>28642</c:v>
                </c:pt>
                <c:pt idx="12">
                  <c:v>27755</c:v>
                </c:pt>
                <c:pt idx="13">
                  <c:v>26430</c:v>
                </c:pt>
                <c:pt idx="14">
                  <c:v>24979</c:v>
                </c:pt>
                <c:pt idx="15">
                  <c:v>24231</c:v>
                </c:pt>
                <c:pt idx="16">
                  <c:v>24334</c:v>
                </c:pt>
                <c:pt idx="17">
                  <c:v>24565</c:v>
                </c:pt>
                <c:pt idx="18">
                  <c:v>25643</c:v>
                </c:pt>
                <c:pt idx="19">
                  <c:v>27520</c:v>
                </c:pt>
                <c:pt idx="20">
                  <c:v>28694</c:v>
                </c:pt>
                <c:pt idx="21">
                  <c:v>30468</c:v>
                </c:pt>
                <c:pt idx="22">
                  <c:v>31255</c:v>
                </c:pt>
                <c:pt idx="23">
                  <c:v>32350</c:v>
                </c:pt>
                <c:pt idx="24">
                  <c:v>33048</c:v>
                </c:pt>
                <c:pt idx="25">
                  <c:v>33818</c:v>
                </c:pt>
                <c:pt idx="26">
                  <c:v>34580</c:v>
                </c:pt>
                <c:pt idx="27">
                  <c:v>35997</c:v>
                </c:pt>
                <c:pt idx="28">
                  <c:v>36767</c:v>
                </c:pt>
                <c:pt idx="29">
                  <c:v>37071</c:v>
                </c:pt>
                <c:pt idx="30">
                  <c:v>37131</c:v>
                </c:pt>
                <c:pt idx="31">
                  <c:v>36604</c:v>
                </c:pt>
                <c:pt idx="32">
                  <c:v>36455</c:v>
                </c:pt>
                <c:pt idx="33">
                  <c:v>36293</c:v>
                </c:pt>
                <c:pt idx="34">
                  <c:v>35573</c:v>
                </c:pt>
                <c:pt idx="35">
                  <c:v>35450</c:v>
                </c:pt>
                <c:pt idx="36">
                  <c:v>35145</c:v>
                </c:pt>
                <c:pt idx="37">
                  <c:v>34859</c:v>
                </c:pt>
                <c:pt idx="38">
                  <c:v>34375</c:v>
                </c:pt>
                <c:pt idx="39">
                  <c:v>33836</c:v>
                </c:pt>
                <c:pt idx="40">
                  <c:v>33339</c:v>
                </c:pt>
                <c:pt idx="41">
                  <c:v>33525</c:v>
                </c:pt>
                <c:pt idx="42">
                  <c:v>33914</c:v>
                </c:pt>
                <c:pt idx="43">
                  <c:v>33640</c:v>
                </c:pt>
                <c:pt idx="44">
                  <c:v>33739</c:v>
                </c:pt>
                <c:pt idx="45">
                  <c:v>33853</c:v>
                </c:pt>
                <c:pt idx="46">
                  <c:v>34368</c:v>
                </c:pt>
                <c:pt idx="47">
                  <c:v>34253</c:v>
                </c:pt>
                <c:pt idx="48">
                  <c:v>34394</c:v>
                </c:pt>
                <c:pt idx="49">
                  <c:v>34253</c:v>
                </c:pt>
                <c:pt idx="50">
                  <c:v>34883</c:v>
                </c:pt>
                <c:pt idx="51">
                  <c:v>34933</c:v>
                </c:pt>
                <c:pt idx="52">
                  <c:v>34792</c:v>
                </c:pt>
                <c:pt idx="53">
                  <c:v>34643</c:v>
                </c:pt>
                <c:pt idx="54">
                  <c:v>34232</c:v>
                </c:pt>
                <c:pt idx="55">
                  <c:v>33900</c:v>
                </c:pt>
                <c:pt idx="56">
                  <c:v>33474</c:v>
                </c:pt>
                <c:pt idx="57">
                  <c:v>32701</c:v>
                </c:pt>
                <c:pt idx="58">
                  <c:v>32488</c:v>
                </c:pt>
                <c:pt idx="59">
                  <c:v>31939</c:v>
                </c:pt>
                <c:pt idx="60">
                  <c:v>31611</c:v>
                </c:pt>
                <c:pt idx="61">
                  <c:v>31329</c:v>
                </c:pt>
                <c:pt idx="62">
                  <c:v>30693</c:v>
                </c:pt>
                <c:pt idx="63">
                  <c:v>30561</c:v>
                </c:pt>
                <c:pt idx="64">
                  <c:v>30739</c:v>
                </c:pt>
                <c:pt idx="65">
                  <c:v>31304</c:v>
                </c:pt>
                <c:pt idx="66">
                  <c:v>30597</c:v>
                </c:pt>
                <c:pt idx="67">
                  <c:v>30557</c:v>
                </c:pt>
                <c:pt idx="68">
                  <c:v>30359</c:v>
                </c:pt>
                <c:pt idx="69">
                  <c:v>30038</c:v>
                </c:pt>
                <c:pt idx="70">
                  <c:v>30162</c:v>
                </c:pt>
                <c:pt idx="71">
                  <c:v>30214</c:v>
                </c:pt>
                <c:pt idx="72">
                  <c:v>30205</c:v>
                </c:pt>
                <c:pt idx="73">
                  <c:v>30253</c:v>
                </c:pt>
                <c:pt idx="74">
                  <c:v>30490</c:v>
                </c:pt>
                <c:pt idx="75">
                  <c:v>29873</c:v>
                </c:pt>
                <c:pt idx="76">
                  <c:v>29767</c:v>
                </c:pt>
                <c:pt idx="77">
                  <c:v>28812</c:v>
                </c:pt>
                <c:pt idx="78">
                  <c:v>29102</c:v>
                </c:pt>
                <c:pt idx="79">
                  <c:v>29740</c:v>
                </c:pt>
                <c:pt idx="80">
                  <c:v>29911</c:v>
                </c:pt>
                <c:pt idx="81">
                  <c:v>30162</c:v>
                </c:pt>
                <c:pt idx="82">
                  <c:v>29980</c:v>
                </c:pt>
                <c:pt idx="83">
                  <c:v>29595</c:v>
                </c:pt>
                <c:pt idx="84">
                  <c:v>29493</c:v>
                </c:pt>
                <c:pt idx="85">
                  <c:v>29356</c:v>
                </c:pt>
                <c:pt idx="86">
                  <c:v>29116</c:v>
                </c:pt>
                <c:pt idx="87">
                  <c:v>29236</c:v>
                </c:pt>
                <c:pt idx="88">
                  <c:v>28966</c:v>
                </c:pt>
                <c:pt idx="89">
                  <c:v>28895</c:v>
                </c:pt>
                <c:pt idx="90">
                  <c:v>29152</c:v>
                </c:pt>
                <c:pt idx="91">
                  <c:v>28906</c:v>
                </c:pt>
                <c:pt idx="92">
                  <c:v>28806</c:v>
                </c:pt>
                <c:pt idx="93">
                  <c:v>29328</c:v>
                </c:pt>
                <c:pt idx="94">
                  <c:v>29486</c:v>
                </c:pt>
                <c:pt idx="95">
                  <c:v>30044</c:v>
                </c:pt>
                <c:pt idx="96">
                  <c:v>30193</c:v>
                </c:pt>
                <c:pt idx="97">
                  <c:v>30548</c:v>
                </c:pt>
                <c:pt idx="98">
                  <c:v>30619</c:v>
                </c:pt>
                <c:pt idx="99">
                  <c:v>31308</c:v>
                </c:pt>
                <c:pt idx="100">
                  <c:v>31272</c:v>
                </c:pt>
                <c:pt idx="101">
                  <c:v>31558</c:v>
                </c:pt>
                <c:pt idx="102">
                  <c:v>31470</c:v>
                </c:pt>
                <c:pt idx="103">
                  <c:v>31296</c:v>
                </c:pt>
                <c:pt idx="104">
                  <c:v>31523</c:v>
                </c:pt>
                <c:pt idx="105">
                  <c:v>31174</c:v>
                </c:pt>
                <c:pt idx="106">
                  <c:v>30655</c:v>
                </c:pt>
                <c:pt idx="107">
                  <c:v>30422</c:v>
                </c:pt>
                <c:pt idx="108">
                  <c:v>30249</c:v>
                </c:pt>
                <c:pt idx="109">
                  <c:v>30067</c:v>
                </c:pt>
                <c:pt idx="110">
                  <c:v>30188</c:v>
                </c:pt>
                <c:pt idx="111">
                  <c:v>30037</c:v>
                </c:pt>
                <c:pt idx="112">
                  <c:v>30121</c:v>
                </c:pt>
                <c:pt idx="113">
                  <c:v>30502</c:v>
                </c:pt>
                <c:pt idx="114">
                  <c:v>31236</c:v>
                </c:pt>
                <c:pt idx="115">
                  <c:v>31800</c:v>
                </c:pt>
                <c:pt idx="116">
                  <c:v>32497</c:v>
                </c:pt>
                <c:pt idx="117">
                  <c:v>33753</c:v>
                </c:pt>
                <c:pt idx="118">
                  <c:v>34858</c:v>
                </c:pt>
                <c:pt idx="119">
                  <c:v>35702</c:v>
                </c:pt>
                <c:pt idx="120">
                  <c:v>36387</c:v>
                </c:pt>
                <c:pt idx="121">
                  <c:v>37401</c:v>
                </c:pt>
                <c:pt idx="122">
                  <c:v>38454</c:v>
                </c:pt>
                <c:pt idx="123">
                  <c:v>38816</c:v>
                </c:pt>
                <c:pt idx="124">
                  <c:v>39370</c:v>
                </c:pt>
                <c:pt idx="125">
                  <c:v>39516</c:v>
                </c:pt>
                <c:pt idx="126">
                  <c:v>39571</c:v>
                </c:pt>
                <c:pt idx="127">
                  <c:v>39488</c:v>
                </c:pt>
                <c:pt idx="128">
                  <c:v>39308</c:v>
                </c:pt>
                <c:pt idx="129">
                  <c:v>38619</c:v>
                </c:pt>
                <c:pt idx="130">
                  <c:v>38275</c:v>
                </c:pt>
                <c:pt idx="131">
                  <c:v>38059</c:v>
                </c:pt>
                <c:pt idx="132">
                  <c:v>37858</c:v>
                </c:pt>
                <c:pt idx="133">
                  <c:v>37177</c:v>
                </c:pt>
                <c:pt idx="134">
                  <c:v>36659</c:v>
                </c:pt>
                <c:pt idx="135">
                  <c:v>36090</c:v>
                </c:pt>
                <c:pt idx="136">
                  <c:v>35867</c:v>
                </c:pt>
                <c:pt idx="137">
                  <c:v>35464</c:v>
                </c:pt>
                <c:pt idx="138">
                  <c:v>35019</c:v>
                </c:pt>
                <c:pt idx="139">
                  <c:v>34790</c:v>
                </c:pt>
                <c:pt idx="140">
                  <c:v>34404</c:v>
                </c:pt>
                <c:pt idx="141">
                  <c:v>33653</c:v>
                </c:pt>
                <c:pt idx="142">
                  <c:v>33346</c:v>
                </c:pt>
                <c:pt idx="143">
                  <c:v>32774</c:v>
                </c:pt>
                <c:pt idx="144">
                  <c:v>32247</c:v>
                </c:pt>
                <c:pt idx="145">
                  <c:v>31895</c:v>
                </c:pt>
                <c:pt idx="146">
                  <c:v>31102</c:v>
                </c:pt>
                <c:pt idx="147">
                  <c:v>30626</c:v>
                </c:pt>
                <c:pt idx="148">
                  <c:v>30285</c:v>
                </c:pt>
                <c:pt idx="149">
                  <c:v>29862</c:v>
                </c:pt>
                <c:pt idx="150">
                  <c:v>29430</c:v>
                </c:pt>
                <c:pt idx="151">
                  <c:v>29105</c:v>
                </c:pt>
                <c:pt idx="152">
                  <c:v>28759</c:v>
                </c:pt>
                <c:pt idx="153">
                  <c:v>28931</c:v>
                </c:pt>
                <c:pt idx="154">
                  <c:v>28546</c:v>
                </c:pt>
                <c:pt idx="155">
                  <c:v>28184</c:v>
                </c:pt>
                <c:pt idx="156">
                  <c:v>28056</c:v>
                </c:pt>
                <c:pt idx="157">
                  <c:v>27842</c:v>
                </c:pt>
                <c:pt idx="158">
                  <c:v>27437</c:v>
                </c:pt>
                <c:pt idx="159">
                  <c:v>27683</c:v>
                </c:pt>
                <c:pt idx="160">
                  <c:v>27793</c:v>
                </c:pt>
                <c:pt idx="161">
                  <c:v>27357</c:v>
                </c:pt>
                <c:pt idx="162">
                  <c:v>27164</c:v>
                </c:pt>
                <c:pt idx="163">
                  <c:v>26951</c:v>
                </c:pt>
                <c:pt idx="164">
                  <c:v>26837</c:v>
                </c:pt>
                <c:pt idx="165">
                  <c:v>26882</c:v>
                </c:pt>
                <c:pt idx="166">
                  <c:v>27172</c:v>
                </c:pt>
                <c:pt idx="167">
                  <c:v>27419</c:v>
                </c:pt>
                <c:pt idx="168">
                  <c:v>28056</c:v>
                </c:pt>
                <c:pt idx="169">
                  <c:v>28473</c:v>
                </c:pt>
                <c:pt idx="170">
                  <c:v>29045</c:v>
                </c:pt>
                <c:pt idx="171">
                  <c:v>29357</c:v>
                </c:pt>
                <c:pt idx="172">
                  <c:v>29617</c:v>
                </c:pt>
                <c:pt idx="173">
                  <c:v>30154</c:v>
                </c:pt>
                <c:pt idx="174">
                  <c:v>30664</c:v>
                </c:pt>
                <c:pt idx="175">
                  <c:v>31090</c:v>
                </c:pt>
                <c:pt idx="176">
                  <c:v>31477</c:v>
                </c:pt>
                <c:pt idx="177">
                  <c:v>31906</c:v>
                </c:pt>
                <c:pt idx="178">
                  <c:v>32010</c:v>
                </c:pt>
                <c:pt idx="179">
                  <c:v>32342</c:v>
                </c:pt>
                <c:pt idx="180">
                  <c:v>32201</c:v>
                </c:pt>
                <c:pt idx="181">
                  <c:v>32474</c:v>
                </c:pt>
                <c:pt idx="182">
                  <c:v>32958</c:v>
                </c:pt>
                <c:pt idx="183">
                  <c:v>33199</c:v>
                </c:pt>
                <c:pt idx="184">
                  <c:v>33018</c:v>
                </c:pt>
                <c:pt idx="185">
                  <c:v>33221</c:v>
                </c:pt>
                <c:pt idx="186">
                  <c:v>33333</c:v>
                </c:pt>
                <c:pt idx="187">
                  <c:v>33453</c:v>
                </c:pt>
                <c:pt idx="188">
                  <c:v>33929</c:v>
                </c:pt>
                <c:pt idx="189">
                  <c:v>34011</c:v>
                </c:pt>
                <c:pt idx="190">
                  <c:v>34195</c:v>
                </c:pt>
                <c:pt idx="191">
                  <c:v>34456</c:v>
                </c:pt>
                <c:pt idx="192">
                  <c:v>34479</c:v>
                </c:pt>
                <c:pt idx="193">
                  <c:v>34707</c:v>
                </c:pt>
                <c:pt idx="194">
                  <c:v>34942</c:v>
                </c:pt>
                <c:pt idx="195">
                  <c:v>35219</c:v>
                </c:pt>
                <c:pt idx="196">
                  <c:v>35699</c:v>
                </c:pt>
                <c:pt idx="197">
                  <c:v>35986</c:v>
                </c:pt>
                <c:pt idx="198">
                  <c:v>36120</c:v>
                </c:pt>
                <c:pt idx="199">
                  <c:v>36552</c:v>
                </c:pt>
                <c:pt idx="200">
                  <c:v>36472</c:v>
                </c:pt>
                <c:pt idx="201">
                  <c:v>36257</c:v>
                </c:pt>
                <c:pt idx="202">
                  <c:v>36557</c:v>
                </c:pt>
                <c:pt idx="203">
                  <c:v>36461</c:v>
                </c:pt>
                <c:pt idx="204">
                  <c:v>36470</c:v>
                </c:pt>
                <c:pt idx="205">
                  <c:v>36281</c:v>
                </c:pt>
                <c:pt idx="206">
                  <c:v>36245</c:v>
                </c:pt>
              </c:numCache>
            </c:numRef>
          </c:val>
          <c:smooth val="0"/>
        </c:ser>
        <c:ser>
          <c:idx val="1"/>
          <c:order val="1"/>
          <c:tx>
            <c:strRef>
              <c:f>Data12!$G$12</c:f>
              <c:strCache>
                <c:ptCount val="1"/>
                <c:pt idx="0">
                  <c:v> Dwellings excluding houses</c:v>
                </c:pt>
              </c:strCache>
            </c:strRef>
          </c:tx>
          <c:spPr>
            <a:ln w="28575" cap="rnd">
              <a:solidFill>
                <a:srgbClr val="FF0000"/>
              </a:solidFill>
              <a:round/>
            </a:ln>
            <a:effectLst/>
          </c:spPr>
          <c:marker>
            <c:symbol val="none"/>
          </c:marker>
          <c:cat>
            <c:numRef>
              <c:f>Data12!$E$200:$E$406</c:f>
              <c:numCache>
                <c:formatCode>mmm\-yyyy</c:formatCode>
                <c:ptCount val="207"/>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numCache>
            </c:numRef>
          </c:cat>
          <c:val>
            <c:numRef>
              <c:f>Data12!$G$200:$G$406</c:f>
              <c:numCache>
                <c:formatCode>_-* #,##0_-;\-* #,##0_-;_-* "-"??_-;_-@_-</c:formatCode>
                <c:ptCount val="207"/>
                <c:pt idx="0">
                  <c:v>12987</c:v>
                </c:pt>
                <c:pt idx="1">
                  <c:v>12881</c:v>
                </c:pt>
                <c:pt idx="2">
                  <c:v>13344</c:v>
                </c:pt>
                <c:pt idx="3">
                  <c:v>13258</c:v>
                </c:pt>
                <c:pt idx="4">
                  <c:v>13316</c:v>
                </c:pt>
                <c:pt idx="5">
                  <c:v>13601</c:v>
                </c:pt>
                <c:pt idx="6">
                  <c:v>13983</c:v>
                </c:pt>
                <c:pt idx="7">
                  <c:v>13218</c:v>
                </c:pt>
                <c:pt idx="8">
                  <c:v>13186</c:v>
                </c:pt>
                <c:pt idx="9">
                  <c:v>12683</c:v>
                </c:pt>
                <c:pt idx="10">
                  <c:v>12337</c:v>
                </c:pt>
                <c:pt idx="11">
                  <c:v>12718</c:v>
                </c:pt>
                <c:pt idx="12">
                  <c:v>11964</c:v>
                </c:pt>
                <c:pt idx="13">
                  <c:v>11638</c:v>
                </c:pt>
                <c:pt idx="14">
                  <c:v>11523</c:v>
                </c:pt>
                <c:pt idx="15">
                  <c:v>11072</c:v>
                </c:pt>
                <c:pt idx="16">
                  <c:v>11196</c:v>
                </c:pt>
                <c:pt idx="17">
                  <c:v>11014</c:v>
                </c:pt>
                <c:pt idx="18">
                  <c:v>10322</c:v>
                </c:pt>
                <c:pt idx="19">
                  <c:v>11400</c:v>
                </c:pt>
                <c:pt idx="20">
                  <c:v>11953</c:v>
                </c:pt>
                <c:pt idx="21">
                  <c:v>12497</c:v>
                </c:pt>
                <c:pt idx="22">
                  <c:v>12395</c:v>
                </c:pt>
                <c:pt idx="23">
                  <c:v>12183</c:v>
                </c:pt>
                <c:pt idx="24">
                  <c:v>12378</c:v>
                </c:pt>
                <c:pt idx="25">
                  <c:v>12229</c:v>
                </c:pt>
                <c:pt idx="26">
                  <c:v>11601</c:v>
                </c:pt>
                <c:pt idx="27">
                  <c:v>12103</c:v>
                </c:pt>
                <c:pt idx="28">
                  <c:v>12108</c:v>
                </c:pt>
                <c:pt idx="29">
                  <c:v>12468</c:v>
                </c:pt>
                <c:pt idx="30">
                  <c:v>12834</c:v>
                </c:pt>
                <c:pt idx="31">
                  <c:v>13440</c:v>
                </c:pt>
                <c:pt idx="32">
                  <c:v>13151</c:v>
                </c:pt>
                <c:pt idx="33">
                  <c:v>13631</c:v>
                </c:pt>
                <c:pt idx="34">
                  <c:v>13862</c:v>
                </c:pt>
                <c:pt idx="35">
                  <c:v>13608</c:v>
                </c:pt>
                <c:pt idx="36">
                  <c:v>13640</c:v>
                </c:pt>
                <c:pt idx="37">
                  <c:v>13595</c:v>
                </c:pt>
                <c:pt idx="38">
                  <c:v>13953</c:v>
                </c:pt>
                <c:pt idx="39">
                  <c:v>14683</c:v>
                </c:pt>
                <c:pt idx="40">
                  <c:v>14775</c:v>
                </c:pt>
                <c:pt idx="41">
                  <c:v>14686</c:v>
                </c:pt>
                <c:pt idx="42">
                  <c:v>14081</c:v>
                </c:pt>
                <c:pt idx="43">
                  <c:v>12299</c:v>
                </c:pt>
                <c:pt idx="44">
                  <c:v>12776</c:v>
                </c:pt>
                <c:pt idx="45">
                  <c:v>13071</c:v>
                </c:pt>
                <c:pt idx="46">
                  <c:v>12798</c:v>
                </c:pt>
                <c:pt idx="47">
                  <c:v>12735</c:v>
                </c:pt>
                <c:pt idx="48">
                  <c:v>13032</c:v>
                </c:pt>
                <c:pt idx="49">
                  <c:v>13071</c:v>
                </c:pt>
                <c:pt idx="50">
                  <c:v>12876</c:v>
                </c:pt>
                <c:pt idx="51">
                  <c:v>11995</c:v>
                </c:pt>
                <c:pt idx="52">
                  <c:v>12041</c:v>
                </c:pt>
                <c:pt idx="53">
                  <c:v>11767</c:v>
                </c:pt>
                <c:pt idx="54">
                  <c:v>12016</c:v>
                </c:pt>
                <c:pt idx="55">
                  <c:v>12266</c:v>
                </c:pt>
                <c:pt idx="56">
                  <c:v>11612</c:v>
                </c:pt>
                <c:pt idx="57">
                  <c:v>10812</c:v>
                </c:pt>
                <c:pt idx="58">
                  <c:v>10994</c:v>
                </c:pt>
                <c:pt idx="59">
                  <c:v>11037</c:v>
                </c:pt>
                <c:pt idx="60">
                  <c:v>10017</c:v>
                </c:pt>
                <c:pt idx="61">
                  <c:v>10086</c:v>
                </c:pt>
                <c:pt idx="62">
                  <c:v>10246</c:v>
                </c:pt>
                <c:pt idx="63">
                  <c:v>10362</c:v>
                </c:pt>
                <c:pt idx="64">
                  <c:v>10356</c:v>
                </c:pt>
                <c:pt idx="65">
                  <c:v>11233</c:v>
                </c:pt>
                <c:pt idx="66">
                  <c:v>10890</c:v>
                </c:pt>
                <c:pt idx="67">
                  <c:v>10356</c:v>
                </c:pt>
                <c:pt idx="68">
                  <c:v>10280</c:v>
                </c:pt>
                <c:pt idx="69">
                  <c:v>10071</c:v>
                </c:pt>
                <c:pt idx="70">
                  <c:v>9860</c:v>
                </c:pt>
                <c:pt idx="71">
                  <c:v>9438</c:v>
                </c:pt>
                <c:pt idx="72">
                  <c:v>9561</c:v>
                </c:pt>
                <c:pt idx="73">
                  <c:v>9302</c:v>
                </c:pt>
                <c:pt idx="74">
                  <c:v>9333</c:v>
                </c:pt>
                <c:pt idx="75">
                  <c:v>8770</c:v>
                </c:pt>
                <c:pt idx="76">
                  <c:v>8561</c:v>
                </c:pt>
                <c:pt idx="77">
                  <c:v>7721</c:v>
                </c:pt>
                <c:pt idx="78">
                  <c:v>8323</c:v>
                </c:pt>
                <c:pt idx="79">
                  <c:v>8364</c:v>
                </c:pt>
                <c:pt idx="80">
                  <c:v>8147</c:v>
                </c:pt>
                <c:pt idx="81">
                  <c:v>8107</c:v>
                </c:pt>
                <c:pt idx="82">
                  <c:v>8260</c:v>
                </c:pt>
                <c:pt idx="83">
                  <c:v>8653</c:v>
                </c:pt>
                <c:pt idx="84">
                  <c:v>8462</c:v>
                </c:pt>
                <c:pt idx="85">
                  <c:v>9006</c:v>
                </c:pt>
                <c:pt idx="86">
                  <c:v>8762</c:v>
                </c:pt>
                <c:pt idx="87">
                  <c:v>9022</c:v>
                </c:pt>
                <c:pt idx="88">
                  <c:v>9069</c:v>
                </c:pt>
                <c:pt idx="89">
                  <c:v>9073</c:v>
                </c:pt>
                <c:pt idx="90">
                  <c:v>8820</c:v>
                </c:pt>
                <c:pt idx="91">
                  <c:v>9263</c:v>
                </c:pt>
                <c:pt idx="92">
                  <c:v>10049</c:v>
                </c:pt>
                <c:pt idx="93">
                  <c:v>10754</c:v>
                </c:pt>
                <c:pt idx="94">
                  <c:v>10819</c:v>
                </c:pt>
                <c:pt idx="95">
                  <c:v>10682</c:v>
                </c:pt>
                <c:pt idx="96">
                  <c:v>11244</c:v>
                </c:pt>
                <c:pt idx="97">
                  <c:v>11258</c:v>
                </c:pt>
                <c:pt idx="98">
                  <c:v>11247</c:v>
                </c:pt>
                <c:pt idx="99">
                  <c:v>11031</c:v>
                </c:pt>
                <c:pt idx="100">
                  <c:v>11086</c:v>
                </c:pt>
                <c:pt idx="101">
                  <c:v>11356</c:v>
                </c:pt>
                <c:pt idx="102">
                  <c:v>11881</c:v>
                </c:pt>
                <c:pt idx="103">
                  <c:v>11712</c:v>
                </c:pt>
                <c:pt idx="104">
                  <c:v>11453</c:v>
                </c:pt>
                <c:pt idx="105">
                  <c:v>11164</c:v>
                </c:pt>
                <c:pt idx="106">
                  <c:v>10950</c:v>
                </c:pt>
                <c:pt idx="107">
                  <c:v>11039</c:v>
                </c:pt>
                <c:pt idx="108">
                  <c:v>10797</c:v>
                </c:pt>
                <c:pt idx="109">
                  <c:v>10815</c:v>
                </c:pt>
                <c:pt idx="110">
                  <c:v>11510</c:v>
                </c:pt>
                <c:pt idx="111">
                  <c:v>11561</c:v>
                </c:pt>
                <c:pt idx="112">
                  <c:v>11098</c:v>
                </c:pt>
                <c:pt idx="113">
                  <c:v>11286</c:v>
                </c:pt>
                <c:pt idx="114">
                  <c:v>11511</c:v>
                </c:pt>
                <c:pt idx="115">
                  <c:v>11494</c:v>
                </c:pt>
                <c:pt idx="116">
                  <c:v>11985</c:v>
                </c:pt>
                <c:pt idx="117">
                  <c:v>11720</c:v>
                </c:pt>
                <c:pt idx="118">
                  <c:v>12471</c:v>
                </c:pt>
                <c:pt idx="119">
                  <c:v>13545</c:v>
                </c:pt>
                <c:pt idx="120">
                  <c:v>13957</c:v>
                </c:pt>
                <c:pt idx="121">
                  <c:v>14056</c:v>
                </c:pt>
                <c:pt idx="122">
                  <c:v>15017</c:v>
                </c:pt>
                <c:pt idx="123">
                  <c:v>16282</c:v>
                </c:pt>
                <c:pt idx="124">
                  <c:v>17287</c:v>
                </c:pt>
                <c:pt idx="125">
                  <c:v>18185</c:v>
                </c:pt>
                <c:pt idx="126">
                  <c:v>19160</c:v>
                </c:pt>
                <c:pt idx="127">
                  <c:v>21123</c:v>
                </c:pt>
                <c:pt idx="128">
                  <c:v>21978</c:v>
                </c:pt>
                <c:pt idx="129">
                  <c:v>23281</c:v>
                </c:pt>
                <c:pt idx="130">
                  <c:v>23885</c:v>
                </c:pt>
                <c:pt idx="131">
                  <c:v>24679</c:v>
                </c:pt>
                <c:pt idx="132">
                  <c:v>25255</c:v>
                </c:pt>
                <c:pt idx="133">
                  <c:v>25224</c:v>
                </c:pt>
                <c:pt idx="134">
                  <c:v>25366</c:v>
                </c:pt>
                <c:pt idx="135">
                  <c:v>25593</c:v>
                </c:pt>
                <c:pt idx="136">
                  <c:v>25196</c:v>
                </c:pt>
                <c:pt idx="137">
                  <c:v>25052</c:v>
                </c:pt>
                <c:pt idx="138">
                  <c:v>24159</c:v>
                </c:pt>
                <c:pt idx="139">
                  <c:v>23294</c:v>
                </c:pt>
                <c:pt idx="140">
                  <c:v>22429</c:v>
                </c:pt>
                <c:pt idx="141">
                  <c:v>21194</c:v>
                </c:pt>
                <c:pt idx="142">
                  <c:v>20968</c:v>
                </c:pt>
                <c:pt idx="143">
                  <c:v>19521</c:v>
                </c:pt>
                <c:pt idx="144">
                  <c:v>18818</c:v>
                </c:pt>
                <c:pt idx="145">
                  <c:v>19530</c:v>
                </c:pt>
                <c:pt idx="146">
                  <c:v>18362</c:v>
                </c:pt>
                <c:pt idx="147">
                  <c:v>17814</c:v>
                </c:pt>
                <c:pt idx="148">
                  <c:v>19215</c:v>
                </c:pt>
                <c:pt idx="149">
                  <c:v>20623</c:v>
                </c:pt>
                <c:pt idx="150">
                  <c:v>20067</c:v>
                </c:pt>
                <c:pt idx="151">
                  <c:v>20509</c:v>
                </c:pt>
                <c:pt idx="152">
                  <c:v>21876</c:v>
                </c:pt>
                <c:pt idx="153">
                  <c:v>22760</c:v>
                </c:pt>
                <c:pt idx="154">
                  <c:v>23193</c:v>
                </c:pt>
                <c:pt idx="155">
                  <c:v>23937</c:v>
                </c:pt>
                <c:pt idx="156">
                  <c:v>24232</c:v>
                </c:pt>
                <c:pt idx="157">
                  <c:v>23866</c:v>
                </c:pt>
                <c:pt idx="158">
                  <c:v>24194</c:v>
                </c:pt>
                <c:pt idx="159">
                  <c:v>24675</c:v>
                </c:pt>
                <c:pt idx="160">
                  <c:v>23787</c:v>
                </c:pt>
                <c:pt idx="161">
                  <c:v>21540</c:v>
                </c:pt>
                <c:pt idx="162">
                  <c:v>22681</c:v>
                </c:pt>
                <c:pt idx="163">
                  <c:v>21848</c:v>
                </c:pt>
                <c:pt idx="164">
                  <c:v>21591</c:v>
                </c:pt>
                <c:pt idx="165">
                  <c:v>22597</c:v>
                </c:pt>
                <c:pt idx="166">
                  <c:v>22488</c:v>
                </c:pt>
                <c:pt idx="167">
                  <c:v>22414</c:v>
                </c:pt>
                <c:pt idx="168">
                  <c:v>22564</c:v>
                </c:pt>
                <c:pt idx="169">
                  <c:v>23194</c:v>
                </c:pt>
                <c:pt idx="170">
                  <c:v>23141</c:v>
                </c:pt>
                <c:pt idx="171">
                  <c:v>24081</c:v>
                </c:pt>
                <c:pt idx="172">
                  <c:v>23865</c:v>
                </c:pt>
                <c:pt idx="173">
                  <c:v>24688</c:v>
                </c:pt>
                <c:pt idx="174">
                  <c:v>24613</c:v>
                </c:pt>
                <c:pt idx="175">
                  <c:v>25740</c:v>
                </c:pt>
                <c:pt idx="176">
                  <c:v>25262</c:v>
                </c:pt>
                <c:pt idx="177">
                  <c:v>25162</c:v>
                </c:pt>
                <c:pt idx="178">
                  <c:v>27304</c:v>
                </c:pt>
                <c:pt idx="179">
                  <c:v>28553</c:v>
                </c:pt>
                <c:pt idx="180">
                  <c:v>28899</c:v>
                </c:pt>
                <c:pt idx="181">
                  <c:v>30333</c:v>
                </c:pt>
                <c:pt idx="182">
                  <c:v>32058</c:v>
                </c:pt>
                <c:pt idx="183">
                  <c:v>32140</c:v>
                </c:pt>
                <c:pt idx="184">
                  <c:v>34489</c:v>
                </c:pt>
                <c:pt idx="185">
                  <c:v>34451</c:v>
                </c:pt>
                <c:pt idx="186">
                  <c:v>35098</c:v>
                </c:pt>
                <c:pt idx="187">
                  <c:v>34854</c:v>
                </c:pt>
                <c:pt idx="188">
                  <c:v>35720</c:v>
                </c:pt>
                <c:pt idx="189">
                  <c:v>37034</c:v>
                </c:pt>
                <c:pt idx="190">
                  <c:v>34415</c:v>
                </c:pt>
                <c:pt idx="191">
                  <c:v>34213</c:v>
                </c:pt>
                <c:pt idx="192">
                  <c:v>34643</c:v>
                </c:pt>
                <c:pt idx="193">
                  <c:v>33564</c:v>
                </c:pt>
                <c:pt idx="194">
                  <c:v>32541</c:v>
                </c:pt>
                <c:pt idx="195">
                  <c:v>32398</c:v>
                </c:pt>
                <c:pt idx="196">
                  <c:v>31340</c:v>
                </c:pt>
                <c:pt idx="197">
                  <c:v>32112</c:v>
                </c:pt>
                <c:pt idx="198">
                  <c:v>32375</c:v>
                </c:pt>
                <c:pt idx="199">
                  <c:v>32987</c:v>
                </c:pt>
                <c:pt idx="200">
                  <c:v>32269</c:v>
                </c:pt>
                <c:pt idx="201">
                  <c:v>29919</c:v>
                </c:pt>
                <c:pt idx="202">
                  <c:v>30936</c:v>
                </c:pt>
                <c:pt idx="203">
                  <c:v>31773</c:v>
                </c:pt>
                <c:pt idx="204">
                  <c:v>31891</c:v>
                </c:pt>
                <c:pt idx="205">
                  <c:v>32025</c:v>
                </c:pt>
                <c:pt idx="206">
                  <c:v>32055</c:v>
                </c:pt>
              </c:numCache>
            </c:numRef>
          </c:val>
          <c:smooth val="0"/>
        </c:ser>
        <c:ser>
          <c:idx val="2"/>
          <c:order val="2"/>
          <c:tx>
            <c:strRef>
              <c:f>Data12!$H$12</c:f>
              <c:strCache>
                <c:ptCount val="1"/>
                <c:pt idx="0">
                  <c:v>Total number of dwelling units</c:v>
                </c:pt>
              </c:strCache>
            </c:strRef>
          </c:tx>
          <c:spPr>
            <a:ln w="28575" cap="rnd">
              <a:solidFill>
                <a:schemeClr val="tx1"/>
              </a:solidFill>
              <a:round/>
            </a:ln>
            <a:effectLst/>
          </c:spPr>
          <c:marker>
            <c:symbol val="none"/>
          </c:marker>
          <c:cat>
            <c:numRef>
              <c:f>Data12!$E$200:$E$406</c:f>
              <c:numCache>
                <c:formatCode>mmm\-yyyy</c:formatCode>
                <c:ptCount val="207"/>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numCache>
            </c:numRef>
          </c:cat>
          <c:val>
            <c:numRef>
              <c:f>Data12!$H$200:$H$406</c:f>
              <c:numCache>
                <c:formatCode>_-* #,##0_-;\-* #,##0_-;_-* "-"??_-;_-@_-</c:formatCode>
                <c:ptCount val="207"/>
                <c:pt idx="0">
                  <c:v>47716</c:v>
                </c:pt>
                <c:pt idx="1">
                  <c:v>48770</c:v>
                </c:pt>
                <c:pt idx="2">
                  <c:v>50095</c:v>
                </c:pt>
                <c:pt idx="3">
                  <c:v>50334</c:v>
                </c:pt>
                <c:pt idx="4">
                  <c:v>50184</c:v>
                </c:pt>
                <c:pt idx="5">
                  <c:v>50134</c:v>
                </c:pt>
                <c:pt idx="6">
                  <c:v>49587</c:v>
                </c:pt>
                <c:pt idx="7">
                  <c:v>47521</c:v>
                </c:pt>
                <c:pt idx="8">
                  <c:v>45970</c:v>
                </c:pt>
                <c:pt idx="9">
                  <c:v>44075</c:v>
                </c:pt>
                <c:pt idx="10">
                  <c:v>42605</c:v>
                </c:pt>
                <c:pt idx="11">
                  <c:v>41360</c:v>
                </c:pt>
                <c:pt idx="12">
                  <c:v>39719</c:v>
                </c:pt>
                <c:pt idx="13">
                  <c:v>38068</c:v>
                </c:pt>
                <c:pt idx="14">
                  <c:v>36502</c:v>
                </c:pt>
                <c:pt idx="15">
                  <c:v>35303</c:v>
                </c:pt>
                <c:pt idx="16">
                  <c:v>35530</c:v>
                </c:pt>
                <c:pt idx="17">
                  <c:v>35579</c:v>
                </c:pt>
                <c:pt idx="18">
                  <c:v>35965</c:v>
                </c:pt>
                <c:pt idx="19">
                  <c:v>38920</c:v>
                </c:pt>
                <c:pt idx="20">
                  <c:v>40647</c:v>
                </c:pt>
                <c:pt idx="21">
                  <c:v>42965</c:v>
                </c:pt>
                <c:pt idx="22">
                  <c:v>43650</c:v>
                </c:pt>
                <c:pt idx="23">
                  <c:v>44533</c:v>
                </c:pt>
                <c:pt idx="24">
                  <c:v>45426</c:v>
                </c:pt>
                <c:pt idx="25">
                  <c:v>46047</c:v>
                </c:pt>
                <c:pt idx="26">
                  <c:v>46181</c:v>
                </c:pt>
                <c:pt idx="27">
                  <c:v>48100</c:v>
                </c:pt>
                <c:pt idx="28">
                  <c:v>48875</c:v>
                </c:pt>
                <c:pt idx="29">
                  <c:v>49539</c:v>
                </c:pt>
                <c:pt idx="30">
                  <c:v>49965</c:v>
                </c:pt>
                <c:pt idx="31">
                  <c:v>50044</c:v>
                </c:pt>
                <c:pt idx="32">
                  <c:v>49606</c:v>
                </c:pt>
                <c:pt idx="33">
                  <c:v>49924</c:v>
                </c:pt>
                <c:pt idx="34">
                  <c:v>49435</c:v>
                </c:pt>
                <c:pt idx="35">
                  <c:v>49058</c:v>
                </c:pt>
                <c:pt idx="36">
                  <c:v>48785</c:v>
                </c:pt>
                <c:pt idx="37">
                  <c:v>48454</c:v>
                </c:pt>
                <c:pt idx="38">
                  <c:v>48328</c:v>
                </c:pt>
                <c:pt idx="39">
                  <c:v>48519</c:v>
                </c:pt>
                <c:pt idx="40">
                  <c:v>48114</c:v>
                </c:pt>
                <c:pt idx="41">
                  <c:v>48211</c:v>
                </c:pt>
                <c:pt idx="42">
                  <c:v>47995</c:v>
                </c:pt>
                <c:pt idx="43">
                  <c:v>45939</c:v>
                </c:pt>
                <c:pt idx="44">
                  <c:v>46515</c:v>
                </c:pt>
                <c:pt idx="45">
                  <c:v>46924</c:v>
                </c:pt>
                <c:pt idx="46">
                  <c:v>47166</c:v>
                </c:pt>
                <c:pt idx="47">
                  <c:v>46988</c:v>
                </c:pt>
                <c:pt idx="48">
                  <c:v>47426</c:v>
                </c:pt>
                <c:pt idx="49">
                  <c:v>47324</c:v>
                </c:pt>
                <c:pt idx="50">
                  <c:v>47759</c:v>
                </c:pt>
                <c:pt idx="51">
                  <c:v>46928</c:v>
                </c:pt>
                <c:pt idx="52">
                  <c:v>46833</c:v>
                </c:pt>
                <c:pt idx="53">
                  <c:v>46410</c:v>
                </c:pt>
                <c:pt idx="54">
                  <c:v>46248</c:v>
                </c:pt>
                <c:pt idx="55">
                  <c:v>46166</c:v>
                </c:pt>
                <c:pt idx="56">
                  <c:v>45086</c:v>
                </c:pt>
                <c:pt idx="57">
                  <c:v>43513</c:v>
                </c:pt>
                <c:pt idx="58">
                  <c:v>43482</c:v>
                </c:pt>
                <c:pt idx="59">
                  <c:v>42976</c:v>
                </c:pt>
                <c:pt idx="60">
                  <c:v>41628</c:v>
                </c:pt>
                <c:pt idx="61">
                  <c:v>41415</c:v>
                </c:pt>
                <c:pt idx="62">
                  <c:v>40939</c:v>
                </c:pt>
                <c:pt idx="63">
                  <c:v>40923</c:v>
                </c:pt>
                <c:pt idx="64">
                  <c:v>41095</c:v>
                </c:pt>
                <c:pt idx="65">
                  <c:v>42537</c:v>
                </c:pt>
                <c:pt idx="66">
                  <c:v>41487</c:v>
                </c:pt>
                <c:pt idx="67">
                  <c:v>40913</c:v>
                </c:pt>
                <c:pt idx="68">
                  <c:v>40639</c:v>
                </c:pt>
                <c:pt idx="69">
                  <c:v>40109</c:v>
                </c:pt>
                <c:pt idx="70">
                  <c:v>40022</c:v>
                </c:pt>
                <c:pt idx="71">
                  <c:v>39652</c:v>
                </c:pt>
                <c:pt idx="72">
                  <c:v>39766</c:v>
                </c:pt>
                <c:pt idx="73">
                  <c:v>39555</c:v>
                </c:pt>
                <c:pt idx="74">
                  <c:v>39823</c:v>
                </c:pt>
                <c:pt idx="75">
                  <c:v>38643</c:v>
                </c:pt>
                <c:pt idx="76">
                  <c:v>38328</c:v>
                </c:pt>
                <c:pt idx="77">
                  <c:v>36533</c:v>
                </c:pt>
                <c:pt idx="78">
                  <c:v>37425</c:v>
                </c:pt>
                <c:pt idx="79">
                  <c:v>38104</c:v>
                </c:pt>
                <c:pt idx="80">
                  <c:v>38058</c:v>
                </c:pt>
                <c:pt idx="81">
                  <c:v>38269</c:v>
                </c:pt>
                <c:pt idx="82">
                  <c:v>38240</c:v>
                </c:pt>
                <c:pt idx="83">
                  <c:v>38248</c:v>
                </c:pt>
                <c:pt idx="84">
                  <c:v>37955</c:v>
                </c:pt>
                <c:pt idx="85">
                  <c:v>38362</c:v>
                </c:pt>
                <c:pt idx="86">
                  <c:v>37878</c:v>
                </c:pt>
                <c:pt idx="87">
                  <c:v>38258</c:v>
                </c:pt>
                <c:pt idx="88">
                  <c:v>38035</c:v>
                </c:pt>
                <c:pt idx="89">
                  <c:v>37968</c:v>
                </c:pt>
                <c:pt idx="90">
                  <c:v>37972</c:v>
                </c:pt>
                <c:pt idx="91">
                  <c:v>38169</c:v>
                </c:pt>
                <c:pt idx="92">
                  <c:v>38855</c:v>
                </c:pt>
                <c:pt idx="93">
                  <c:v>40082</c:v>
                </c:pt>
                <c:pt idx="94">
                  <c:v>40305</c:v>
                </c:pt>
                <c:pt idx="95">
                  <c:v>40726</c:v>
                </c:pt>
                <c:pt idx="96">
                  <c:v>41437</c:v>
                </c:pt>
                <c:pt idx="97">
                  <c:v>41806</c:v>
                </c:pt>
                <c:pt idx="98">
                  <c:v>41866</c:v>
                </c:pt>
                <c:pt idx="99">
                  <c:v>42339</c:v>
                </c:pt>
                <c:pt idx="100">
                  <c:v>42358</c:v>
                </c:pt>
                <c:pt idx="101">
                  <c:v>42914</c:v>
                </c:pt>
                <c:pt idx="102">
                  <c:v>43351</c:v>
                </c:pt>
                <c:pt idx="103">
                  <c:v>43008</c:v>
                </c:pt>
                <c:pt idx="104">
                  <c:v>42976</c:v>
                </c:pt>
                <c:pt idx="105">
                  <c:v>42338</c:v>
                </c:pt>
                <c:pt idx="106">
                  <c:v>41605</c:v>
                </c:pt>
                <c:pt idx="107">
                  <c:v>41461</c:v>
                </c:pt>
                <c:pt idx="108">
                  <c:v>41046</c:v>
                </c:pt>
                <c:pt idx="109">
                  <c:v>40882</c:v>
                </c:pt>
                <c:pt idx="110">
                  <c:v>41698</c:v>
                </c:pt>
                <c:pt idx="111">
                  <c:v>41598</c:v>
                </c:pt>
                <c:pt idx="112">
                  <c:v>41219</c:v>
                </c:pt>
                <c:pt idx="113">
                  <c:v>41788</c:v>
                </c:pt>
                <c:pt idx="114">
                  <c:v>42747</c:v>
                </c:pt>
                <c:pt idx="115">
                  <c:v>43294</c:v>
                </c:pt>
                <c:pt idx="116">
                  <c:v>44482</c:v>
                </c:pt>
                <c:pt idx="117">
                  <c:v>45473</c:v>
                </c:pt>
                <c:pt idx="118">
                  <c:v>47329</c:v>
                </c:pt>
                <c:pt idx="119">
                  <c:v>49247</c:v>
                </c:pt>
                <c:pt idx="120">
                  <c:v>50344</c:v>
                </c:pt>
                <c:pt idx="121">
                  <c:v>51457</c:v>
                </c:pt>
                <c:pt idx="122">
                  <c:v>53471</c:v>
                </c:pt>
                <c:pt idx="123">
                  <c:v>55098</c:v>
                </c:pt>
                <c:pt idx="124">
                  <c:v>56657</c:v>
                </c:pt>
                <c:pt idx="125">
                  <c:v>57701</c:v>
                </c:pt>
                <c:pt idx="126">
                  <c:v>58731</c:v>
                </c:pt>
                <c:pt idx="127">
                  <c:v>60611</c:v>
                </c:pt>
                <c:pt idx="128">
                  <c:v>61286</c:v>
                </c:pt>
                <c:pt idx="129">
                  <c:v>61900</c:v>
                </c:pt>
                <c:pt idx="130">
                  <c:v>62160</c:v>
                </c:pt>
                <c:pt idx="131">
                  <c:v>62738</c:v>
                </c:pt>
                <c:pt idx="132">
                  <c:v>63113</c:v>
                </c:pt>
                <c:pt idx="133">
                  <c:v>62401</c:v>
                </c:pt>
                <c:pt idx="134">
                  <c:v>62025</c:v>
                </c:pt>
                <c:pt idx="135">
                  <c:v>61683</c:v>
                </c:pt>
                <c:pt idx="136">
                  <c:v>61063</c:v>
                </c:pt>
                <c:pt idx="137">
                  <c:v>60516</c:v>
                </c:pt>
                <c:pt idx="138">
                  <c:v>59178</c:v>
                </c:pt>
                <c:pt idx="139">
                  <c:v>58084</c:v>
                </c:pt>
                <c:pt idx="140">
                  <c:v>56833</c:v>
                </c:pt>
                <c:pt idx="141">
                  <c:v>54847</c:v>
                </c:pt>
                <c:pt idx="142">
                  <c:v>54314</c:v>
                </c:pt>
                <c:pt idx="143">
                  <c:v>52295</c:v>
                </c:pt>
                <c:pt idx="144">
                  <c:v>51065</c:v>
                </c:pt>
                <c:pt idx="145">
                  <c:v>51425</c:v>
                </c:pt>
                <c:pt idx="146">
                  <c:v>49464</c:v>
                </c:pt>
                <c:pt idx="147">
                  <c:v>48440</c:v>
                </c:pt>
                <c:pt idx="148">
                  <c:v>49500</c:v>
                </c:pt>
                <c:pt idx="149">
                  <c:v>50485</c:v>
                </c:pt>
                <c:pt idx="150">
                  <c:v>49497</c:v>
                </c:pt>
                <c:pt idx="151">
                  <c:v>49614</c:v>
                </c:pt>
                <c:pt idx="152">
                  <c:v>50635</c:v>
                </c:pt>
                <c:pt idx="153">
                  <c:v>51691</c:v>
                </c:pt>
                <c:pt idx="154">
                  <c:v>51739</c:v>
                </c:pt>
                <c:pt idx="155">
                  <c:v>52121</c:v>
                </c:pt>
                <c:pt idx="156">
                  <c:v>52288</c:v>
                </c:pt>
                <c:pt idx="157">
                  <c:v>51708</c:v>
                </c:pt>
                <c:pt idx="158">
                  <c:v>51631</c:v>
                </c:pt>
                <c:pt idx="159">
                  <c:v>52358</c:v>
                </c:pt>
                <c:pt idx="160">
                  <c:v>51580</c:v>
                </c:pt>
                <c:pt idx="161">
                  <c:v>48897</c:v>
                </c:pt>
                <c:pt idx="162">
                  <c:v>49845</c:v>
                </c:pt>
                <c:pt idx="163">
                  <c:v>48799</c:v>
                </c:pt>
                <c:pt idx="164">
                  <c:v>48428</c:v>
                </c:pt>
                <c:pt idx="165">
                  <c:v>49479</c:v>
                </c:pt>
                <c:pt idx="166">
                  <c:v>49660</c:v>
                </c:pt>
                <c:pt idx="167">
                  <c:v>49833</c:v>
                </c:pt>
                <c:pt idx="168">
                  <c:v>50620</c:v>
                </c:pt>
                <c:pt idx="169">
                  <c:v>51667</c:v>
                </c:pt>
                <c:pt idx="170">
                  <c:v>52186</c:v>
                </c:pt>
                <c:pt idx="171">
                  <c:v>53438</c:v>
                </c:pt>
                <c:pt idx="172">
                  <c:v>53482</c:v>
                </c:pt>
                <c:pt idx="173">
                  <c:v>54842</c:v>
                </c:pt>
                <c:pt idx="174">
                  <c:v>55277</c:v>
                </c:pt>
                <c:pt idx="175">
                  <c:v>56830</c:v>
                </c:pt>
                <c:pt idx="176">
                  <c:v>56739</c:v>
                </c:pt>
                <c:pt idx="177">
                  <c:v>57068</c:v>
                </c:pt>
                <c:pt idx="178">
                  <c:v>59314</c:v>
                </c:pt>
                <c:pt idx="179">
                  <c:v>60895</c:v>
                </c:pt>
                <c:pt idx="180">
                  <c:v>61100</c:v>
                </c:pt>
                <c:pt idx="181">
                  <c:v>62807</c:v>
                </c:pt>
                <c:pt idx="182">
                  <c:v>65016</c:v>
                </c:pt>
                <c:pt idx="183">
                  <c:v>65339</c:v>
                </c:pt>
                <c:pt idx="184">
                  <c:v>67507</c:v>
                </c:pt>
                <c:pt idx="185">
                  <c:v>67672</c:v>
                </c:pt>
                <c:pt idx="186">
                  <c:v>68431</c:v>
                </c:pt>
                <c:pt idx="187">
                  <c:v>68307</c:v>
                </c:pt>
                <c:pt idx="188">
                  <c:v>69649</c:v>
                </c:pt>
                <c:pt idx="189">
                  <c:v>71045</c:v>
                </c:pt>
                <c:pt idx="190">
                  <c:v>68610</c:v>
                </c:pt>
                <c:pt idx="191">
                  <c:v>68669</c:v>
                </c:pt>
                <c:pt idx="192">
                  <c:v>69122</c:v>
                </c:pt>
                <c:pt idx="193">
                  <c:v>68271</c:v>
                </c:pt>
                <c:pt idx="194">
                  <c:v>67483</c:v>
                </c:pt>
                <c:pt idx="195">
                  <c:v>67617</c:v>
                </c:pt>
                <c:pt idx="196">
                  <c:v>67039</c:v>
                </c:pt>
                <c:pt idx="197">
                  <c:v>68098</c:v>
                </c:pt>
                <c:pt idx="198">
                  <c:v>68495</c:v>
                </c:pt>
                <c:pt idx="199">
                  <c:v>69539</c:v>
                </c:pt>
                <c:pt idx="200">
                  <c:v>68741</c:v>
                </c:pt>
                <c:pt idx="201">
                  <c:v>66176</c:v>
                </c:pt>
                <c:pt idx="202">
                  <c:v>67493</c:v>
                </c:pt>
                <c:pt idx="203">
                  <c:v>68234</c:v>
                </c:pt>
                <c:pt idx="204">
                  <c:v>68361</c:v>
                </c:pt>
                <c:pt idx="205">
                  <c:v>68301</c:v>
                </c:pt>
                <c:pt idx="206">
                  <c:v>68295</c:v>
                </c:pt>
              </c:numCache>
            </c:numRef>
          </c:val>
          <c:smooth val="0"/>
        </c:ser>
        <c:dLbls>
          <c:showLegendKey val="0"/>
          <c:showVal val="0"/>
          <c:showCatName val="0"/>
          <c:showSerName val="0"/>
          <c:showPercent val="0"/>
          <c:showBubbleSize val="0"/>
        </c:dLbls>
        <c:smooth val="0"/>
        <c:axId val="203211472"/>
        <c:axId val="203212032"/>
      </c:lineChart>
      <c:dateAx>
        <c:axId val="203211472"/>
        <c:scaling>
          <c:orientation val="minMax"/>
          <c:min val="36892"/>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12032"/>
        <c:crosses val="autoZero"/>
        <c:auto val="1"/>
        <c:lblOffset val="100"/>
        <c:baseTimeUnit val="months"/>
        <c:majorUnit val="6"/>
        <c:majorTimeUnit val="months"/>
      </c:dateAx>
      <c:valAx>
        <c:axId val="20321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Dwelling Approvals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1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Residential</a:t>
            </a:r>
            <a:r>
              <a:rPr lang="en-AU" baseline="0"/>
              <a:t> </a:t>
            </a:r>
            <a:r>
              <a:rPr lang="en-AU"/>
              <a:t>Building Approvals </a:t>
            </a:r>
          </a:p>
          <a:p>
            <a:pPr algn="l">
              <a:defRPr/>
            </a:pPr>
            <a:r>
              <a:rPr lang="en-AU" baseline="0"/>
              <a:t>First 9 Months of 2016-17</a:t>
            </a:r>
          </a:p>
          <a:p>
            <a:pPr algn="l">
              <a:defRPr/>
            </a:pPr>
            <a:r>
              <a:rPr lang="en-AU" baseline="0"/>
              <a:t>Metropolitan Melbourne</a:t>
            </a:r>
          </a:p>
          <a:p>
            <a:pPr algn="l">
              <a:defRPr/>
            </a:pPr>
            <a:r>
              <a:rPr lang="en-AU" sz="1100" baseline="0"/>
              <a:t>Source: ABS building Approvals</a:t>
            </a:r>
            <a:endParaRPr lang="en-AU"/>
          </a:p>
        </c:rich>
      </c:tx>
      <c:layout>
        <c:manualLayout>
          <c:xMode val="edge"/>
          <c:yMode val="edge"/>
          <c:x val="1.341810068532551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723921045421517"/>
          <c:y val="0.17304691601049868"/>
          <c:w val="0.72445535079673284"/>
          <c:h val="0.80127395013123359"/>
        </c:manualLayout>
      </c:layout>
      <c:barChart>
        <c:barDir val="bar"/>
        <c:grouping val="stacked"/>
        <c:varyColors val="0"/>
        <c:ser>
          <c:idx val="0"/>
          <c:order val="0"/>
          <c:tx>
            <c:strRef>
              <c:f>'Dwellings '!$B$7</c:f>
              <c:strCache>
                <c:ptCount val="1"/>
                <c:pt idx="0">
                  <c:v>Houses</c:v>
                </c:pt>
              </c:strCache>
            </c:strRef>
          </c:tx>
          <c:spPr>
            <a:solidFill>
              <a:schemeClr val="accent1"/>
            </a:solidFill>
            <a:ln>
              <a:solidFill>
                <a:schemeClr val="tx1"/>
              </a:solidFill>
            </a:ln>
            <a:effectLst/>
          </c:spPr>
          <c:invertIfNegative val="0"/>
          <c:cat>
            <c:strRef>
              <c:f>'Dwellings '!$A$8:$A$50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South-East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'Dwellings '!$B$8:$B$50</c:f>
              <c:numCache>
                <c:formatCode>General</c:formatCode>
                <c:ptCount val="43"/>
                <c:pt idx="1">
                  <c:v>14</c:v>
                </c:pt>
                <c:pt idx="2">
                  <c:v>60</c:v>
                </c:pt>
                <c:pt idx="3">
                  <c:v>50</c:v>
                </c:pt>
                <c:pt idx="6">
                  <c:v>473</c:v>
                </c:pt>
                <c:pt idx="7">
                  <c:v>238</c:v>
                </c:pt>
                <c:pt idx="8">
                  <c:v>263</c:v>
                </c:pt>
                <c:pt idx="9">
                  <c:v>507</c:v>
                </c:pt>
                <c:pt idx="10">
                  <c:v>395</c:v>
                </c:pt>
                <c:pt idx="11">
                  <c:v>365</c:v>
                </c:pt>
                <c:pt idx="14">
                  <c:v>289</c:v>
                </c:pt>
                <c:pt idx="15">
                  <c:v>335</c:v>
                </c:pt>
                <c:pt idx="16">
                  <c:v>249</c:v>
                </c:pt>
                <c:pt idx="17">
                  <c:v>114</c:v>
                </c:pt>
                <c:pt idx="20">
                  <c:v>325</c:v>
                </c:pt>
                <c:pt idx="21">
                  <c:v>170</c:v>
                </c:pt>
                <c:pt idx="22">
                  <c:v>2090</c:v>
                </c:pt>
                <c:pt idx="23">
                  <c:v>388</c:v>
                </c:pt>
                <c:pt idx="24">
                  <c:v>319</c:v>
                </c:pt>
                <c:pt idx="25">
                  <c:v>123</c:v>
                </c:pt>
                <c:pt idx="26">
                  <c:v>1447</c:v>
                </c:pt>
                <c:pt idx="29">
                  <c:v>1300</c:v>
                </c:pt>
                <c:pt idx="30">
                  <c:v>3148</c:v>
                </c:pt>
                <c:pt idx="31">
                  <c:v>232</c:v>
                </c:pt>
                <c:pt idx="32">
                  <c:v>241</c:v>
                </c:pt>
                <c:pt idx="33">
                  <c:v>373</c:v>
                </c:pt>
                <c:pt idx="34">
                  <c:v>685</c:v>
                </c:pt>
                <c:pt idx="37">
                  <c:v>169</c:v>
                </c:pt>
                <c:pt idx="38">
                  <c:v>157</c:v>
                </c:pt>
                <c:pt idx="39">
                  <c:v>147</c:v>
                </c:pt>
                <c:pt idx="40">
                  <c:v>1669</c:v>
                </c:pt>
                <c:pt idx="41">
                  <c:v>254</c:v>
                </c:pt>
                <c:pt idx="42">
                  <c:v>2844</c:v>
                </c:pt>
              </c:numCache>
            </c:numRef>
          </c:val>
        </c:ser>
        <c:ser>
          <c:idx val="1"/>
          <c:order val="1"/>
          <c:tx>
            <c:strRef>
              <c:f>'Dwellings '!$C$7</c:f>
              <c:strCache>
                <c:ptCount val="1"/>
                <c:pt idx="0">
                  <c:v>Semi-detached, row or terrace houses, townhouses - One storey</c:v>
                </c:pt>
              </c:strCache>
            </c:strRef>
          </c:tx>
          <c:spPr>
            <a:solidFill>
              <a:schemeClr val="accent2"/>
            </a:solidFill>
            <a:ln>
              <a:solidFill>
                <a:schemeClr val="tx1"/>
              </a:solidFill>
            </a:ln>
            <a:effectLst/>
          </c:spPr>
          <c:invertIfNegative val="0"/>
          <c:cat>
            <c:strRef>
              <c:f>'Dwellings '!$A$8:$A$50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South-East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'Dwellings '!$C$8:$C$50</c:f>
              <c:numCache>
                <c:formatCode>General</c:formatCode>
                <c:ptCount val="43"/>
                <c:pt idx="2">
                  <c:v>4</c:v>
                </c:pt>
                <c:pt idx="6">
                  <c:v>18</c:v>
                </c:pt>
                <c:pt idx="7">
                  <c:v>6</c:v>
                </c:pt>
                <c:pt idx="8">
                  <c:v>42</c:v>
                </c:pt>
                <c:pt idx="9">
                  <c:v>7</c:v>
                </c:pt>
                <c:pt idx="10">
                  <c:v>16</c:v>
                </c:pt>
                <c:pt idx="11">
                  <c:v>9</c:v>
                </c:pt>
                <c:pt idx="14">
                  <c:v>11</c:v>
                </c:pt>
                <c:pt idx="15">
                  <c:v>14</c:v>
                </c:pt>
                <c:pt idx="16">
                  <c:v>20</c:v>
                </c:pt>
                <c:pt idx="20">
                  <c:v>25</c:v>
                </c:pt>
                <c:pt idx="21">
                  <c:v>44</c:v>
                </c:pt>
                <c:pt idx="22">
                  <c:v>40</c:v>
                </c:pt>
                <c:pt idx="23">
                  <c:v>2</c:v>
                </c:pt>
                <c:pt idx="24">
                  <c:v>41</c:v>
                </c:pt>
                <c:pt idx="26">
                  <c:v>74</c:v>
                </c:pt>
                <c:pt idx="29">
                  <c:v>20</c:v>
                </c:pt>
                <c:pt idx="30">
                  <c:v>243</c:v>
                </c:pt>
                <c:pt idx="31">
                  <c:v>32</c:v>
                </c:pt>
                <c:pt idx="32">
                  <c:v>11</c:v>
                </c:pt>
                <c:pt idx="33">
                  <c:v>28</c:v>
                </c:pt>
                <c:pt idx="34">
                  <c:v>66</c:v>
                </c:pt>
                <c:pt idx="37">
                  <c:v>38</c:v>
                </c:pt>
                <c:pt idx="38">
                  <c:v>40</c:v>
                </c:pt>
                <c:pt idx="39">
                  <c:v>25</c:v>
                </c:pt>
                <c:pt idx="40">
                  <c:v>17</c:v>
                </c:pt>
                <c:pt idx="41">
                  <c:v>46</c:v>
                </c:pt>
                <c:pt idx="42">
                  <c:v>26</c:v>
                </c:pt>
              </c:numCache>
            </c:numRef>
          </c:val>
        </c:ser>
        <c:ser>
          <c:idx val="2"/>
          <c:order val="2"/>
          <c:tx>
            <c:strRef>
              <c:f>'Dwellings '!$D$7</c:f>
              <c:strCache>
                <c:ptCount val="1"/>
                <c:pt idx="0">
                  <c:v>Semi-detached, row or terrace houses, townhouses - Two or more storeys</c:v>
                </c:pt>
              </c:strCache>
            </c:strRef>
          </c:tx>
          <c:spPr>
            <a:solidFill>
              <a:schemeClr val="accent2">
                <a:lumMod val="50000"/>
              </a:schemeClr>
            </a:solidFill>
            <a:ln>
              <a:solidFill>
                <a:schemeClr val="tx1"/>
              </a:solidFill>
            </a:ln>
            <a:effectLst/>
          </c:spPr>
          <c:invertIfNegative val="0"/>
          <c:cat>
            <c:strRef>
              <c:f>'Dwellings '!$A$8:$A$50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South-East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'Dwellings '!$D$8:$D$50</c:f>
              <c:numCache>
                <c:formatCode>General</c:formatCode>
                <c:ptCount val="43"/>
                <c:pt idx="1">
                  <c:v>12</c:v>
                </c:pt>
                <c:pt idx="2">
                  <c:v>16</c:v>
                </c:pt>
                <c:pt idx="3">
                  <c:v>29</c:v>
                </c:pt>
                <c:pt idx="6">
                  <c:v>232</c:v>
                </c:pt>
                <c:pt idx="7">
                  <c:v>272</c:v>
                </c:pt>
                <c:pt idx="8">
                  <c:v>97</c:v>
                </c:pt>
                <c:pt idx="9">
                  <c:v>341</c:v>
                </c:pt>
                <c:pt idx="10">
                  <c:v>310</c:v>
                </c:pt>
                <c:pt idx="11">
                  <c:v>64</c:v>
                </c:pt>
                <c:pt idx="14">
                  <c:v>185</c:v>
                </c:pt>
                <c:pt idx="15">
                  <c:v>139</c:v>
                </c:pt>
                <c:pt idx="16">
                  <c:v>270</c:v>
                </c:pt>
                <c:pt idx="17">
                  <c:v>83</c:v>
                </c:pt>
                <c:pt idx="20">
                  <c:v>235</c:v>
                </c:pt>
                <c:pt idx="21">
                  <c:v>394</c:v>
                </c:pt>
                <c:pt idx="22">
                  <c:v>553</c:v>
                </c:pt>
                <c:pt idx="24">
                  <c:v>575</c:v>
                </c:pt>
                <c:pt idx="25">
                  <c:v>31</c:v>
                </c:pt>
                <c:pt idx="26">
                  <c:v>237</c:v>
                </c:pt>
                <c:pt idx="29">
                  <c:v>26</c:v>
                </c:pt>
                <c:pt idx="30">
                  <c:v>300</c:v>
                </c:pt>
                <c:pt idx="31">
                  <c:v>163</c:v>
                </c:pt>
                <c:pt idx="32">
                  <c:v>313</c:v>
                </c:pt>
                <c:pt idx="33">
                  <c:v>366</c:v>
                </c:pt>
                <c:pt idx="34">
                  <c:v>252</c:v>
                </c:pt>
                <c:pt idx="37">
                  <c:v>207</c:v>
                </c:pt>
                <c:pt idx="38">
                  <c:v>330</c:v>
                </c:pt>
                <c:pt idx="39">
                  <c:v>189</c:v>
                </c:pt>
                <c:pt idx="40">
                  <c:v>25</c:v>
                </c:pt>
                <c:pt idx="41">
                  <c:v>451</c:v>
                </c:pt>
                <c:pt idx="42">
                  <c:v>273</c:v>
                </c:pt>
              </c:numCache>
            </c:numRef>
          </c:val>
        </c:ser>
        <c:ser>
          <c:idx val="3"/>
          <c:order val="3"/>
          <c:tx>
            <c:strRef>
              <c:f>'Dwellings '!$E$7</c:f>
              <c:strCache>
                <c:ptCount val="1"/>
                <c:pt idx="0">
                  <c:v>Flats units or apartments - In a one or two storey block</c:v>
                </c:pt>
              </c:strCache>
            </c:strRef>
          </c:tx>
          <c:spPr>
            <a:solidFill>
              <a:schemeClr val="accent6">
                <a:lumMod val="20000"/>
                <a:lumOff val="80000"/>
              </a:schemeClr>
            </a:solidFill>
            <a:ln>
              <a:solidFill>
                <a:schemeClr val="tx1"/>
              </a:solidFill>
            </a:ln>
            <a:effectLst/>
          </c:spPr>
          <c:invertIfNegative val="0"/>
          <c:cat>
            <c:strRef>
              <c:f>'Dwellings '!$A$8:$A$50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South-East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'Dwellings '!$E$8:$E$50</c:f>
              <c:numCache>
                <c:formatCode>General</c:formatCode>
                <c:ptCount val="43"/>
                <c:pt idx="1">
                  <c:v>4</c:v>
                </c:pt>
                <c:pt idx="2">
                  <c:v>6</c:v>
                </c:pt>
                <c:pt idx="3">
                  <c:v>2</c:v>
                </c:pt>
                <c:pt idx="6">
                  <c:v>2</c:v>
                </c:pt>
                <c:pt idx="7">
                  <c:v>48</c:v>
                </c:pt>
                <c:pt idx="8">
                  <c:v>3</c:v>
                </c:pt>
                <c:pt idx="9">
                  <c:v>21</c:v>
                </c:pt>
                <c:pt idx="10">
                  <c:v>5</c:v>
                </c:pt>
                <c:pt idx="11">
                  <c:v>11</c:v>
                </c:pt>
                <c:pt idx="14">
                  <c:v>8</c:v>
                </c:pt>
                <c:pt idx="15">
                  <c:v>11</c:v>
                </c:pt>
                <c:pt idx="16">
                  <c:v>8</c:v>
                </c:pt>
                <c:pt idx="17">
                  <c:v>56</c:v>
                </c:pt>
                <c:pt idx="20">
                  <c:v>8</c:v>
                </c:pt>
                <c:pt idx="21">
                  <c:v>37</c:v>
                </c:pt>
                <c:pt idx="22">
                  <c:v>3</c:v>
                </c:pt>
                <c:pt idx="23">
                  <c:v>3</c:v>
                </c:pt>
                <c:pt idx="24">
                  <c:v>63</c:v>
                </c:pt>
                <c:pt idx="30">
                  <c:v>2</c:v>
                </c:pt>
                <c:pt idx="31">
                  <c:v>5</c:v>
                </c:pt>
                <c:pt idx="32">
                  <c:v>37</c:v>
                </c:pt>
                <c:pt idx="33">
                  <c:v>53</c:v>
                </c:pt>
                <c:pt idx="34">
                  <c:v>15</c:v>
                </c:pt>
                <c:pt idx="37">
                  <c:v>17</c:v>
                </c:pt>
                <c:pt idx="38">
                  <c:v>38</c:v>
                </c:pt>
                <c:pt idx="39">
                  <c:v>11</c:v>
                </c:pt>
                <c:pt idx="41">
                  <c:v>17</c:v>
                </c:pt>
                <c:pt idx="42">
                  <c:v>2</c:v>
                </c:pt>
              </c:numCache>
            </c:numRef>
          </c:val>
        </c:ser>
        <c:ser>
          <c:idx val="4"/>
          <c:order val="4"/>
          <c:tx>
            <c:strRef>
              <c:f>'Dwellings '!$F$7</c:f>
              <c:strCache>
                <c:ptCount val="1"/>
                <c:pt idx="0">
                  <c:v>Flats units or apartments - In a three storey block</c:v>
                </c:pt>
              </c:strCache>
            </c:strRef>
          </c:tx>
          <c:spPr>
            <a:solidFill>
              <a:schemeClr val="accent6">
                <a:lumMod val="60000"/>
                <a:lumOff val="40000"/>
              </a:schemeClr>
            </a:solidFill>
            <a:ln>
              <a:solidFill>
                <a:schemeClr val="tx1"/>
              </a:solidFill>
            </a:ln>
            <a:effectLst/>
          </c:spPr>
          <c:invertIfNegative val="0"/>
          <c:cat>
            <c:strRef>
              <c:f>'Dwellings '!$A$8:$A$50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South-East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'Dwellings '!$F$8:$F$50</c:f>
              <c:numCache>
                <c:formatCode>General</c:formatCode>
                <c:ptCount val="43"/>
                <c:pt idx="2">
                  <c:v>78</c:v>
                </c:pt>
                <c:pt idx="6">
                  <c:v>65</c:v>
                </c:pt>
                <c:pt idx="7">
                  <c:v>40</c:v>
                </c:pt>
                <c:pt idx="9">
                  <c:v>5</c:v>
                </c:pt>
                <c:pt idx="10">
                  <c:v>18</c:v>
                </c:pt>
                <c:pt idx="14">
                  <c:v>46</c:v>
                </c:pt>
                <c:pt idx="15">
                  <c:v>119</c:v>
                </c:pt>
                <c:pt idx="16">
                  <c:v>210</c:v>
                </c:pt>
                <c:pt idx="17">
                  <c:v>134</c:v>
                </c:pt>
                <c:pt idx="21">
                  <c:v>47</c:v>
                </c:pt>
                <c:pt idx="24">
                  <c:v>37</c:v>
                </c:pt>
                <c:pt idx="26">
                  <c:v>9</c:v>
                </c:pt>
                <c:pt idx="33">
                  <c:v>38</c:v>
                </c:pt>
                <c:pt idx="34">
                  <c:v>16</c:v>
                </c:pt>
                <c:pt idx="38">
                  <c:v>6</c:v>
                </c:pt>
                <c:pt idx="39">
                  <c:v>43</c:v>
                </c:pt>
                <c:pt idx="41">
                  <c:v>57</c:v>
                </c:pt>
                <c:pt idx="42">
                  <c:v>20</c:v>
                </c:pt>
              </c:numCache>
            </c:numRef>
          </c:val>
        </c:ser>
        <c:ser>
          <c:idx val="5"/>
          <c:order val="5"/>
          <c:tx>
            <c:strRef>
              <c:f>'Dwellings '!$G$7</c:f>
              <c:strCache>
                <c:ptCount val="1"/>
                <c:pt idx="0">
                  <c:v>Flats units or apartments - In a four or more storey block</c:v>
                </c:pt>
              </c:strCache>
            </c:strRef>
          </c:tx>
          <c:spPr>
            <a:solidFill>
              <a:schemeClr val="accent6">
                <a:lumMod val="75000"/>
              </a:schemeClr>
            </a:solidFill>
            <a:ln>
              <a:solidFill>
                <a:schemeClr val="tx1"/>
              </a:solidFill>
            </a:ln>
            <a:effectLst/>
          </c:spPr>
          <c:invertIfNegative val="0"/>
          <c:cat>
            <c:strRef>
              <c:f>'Dwellings '!$A$8:$A$50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South-East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'Dwellings '!$G$8:$G$50</c:f>
              <c:numCache>
                <c:formatCode>General</c:formatCode>
                <c:ptCount val="43"/>
                <c:pt idx="1">
                  <c:v>5308</c:v>
                </c:pt>
                <c:pt idx="2">
                  <c:v>683</c:v>
                </c:pt>
                <c:pt idx="3">
                  <c:v>893</c:v>
                </c:pt>
                <c:pt idx="7">
                  <c:v>39</c:v>
                </c:pt>
                <c:pt idx="8">
                  <c:v>33</c:v>
                </c:pt>
                <c:pt idx="9">
                  <c:v>172</c:v>
                </c:pt>
                <c:pt idx="10">
                  <c:v>776</c:v>
                </c:pt>
                <c:pt idx="14">
                  <c:v>171</c:v>
                </c:pt>
                <c:pt idx="15">
                  <c:v>777</c:v>
                </c:pt>
                <c:pt idx="16">
                  <c:v>760</c:v>
                </c:pt>
                <c:pt idx="17">
                  <c:v>757</c:v>
                </c:pt>
                <c:pt idx="20">
                  <c:v>82</c:v>
                </c:pt>
                <c:pt idx="21">
                  <c:v>406</c:v>
                </c:pt>
                <c:pt idx="24">
                  <c:v>643</c:v>
                </c:pt>
                <c:pt idx="25">
                  <c:v>25</c:v>
                </c:pt>
                <c:pt idx="26">
                  <c:v>101</c:v>
                </c:pt>
                <c:pt idx="31">
                  <c:v>215</c:v>
                </c:pt>
                <c:pt idx="32">
                  <c:v>85</c:v>
                </c:pt>
                <c:pt idx="33">
                  <c:v>182</c:v>
                </c:pt>
                <c:pt idx="37">
                  <c:v>28</c:v>
                </c:pt>
                <c:pt idx="38">
                  <c:v>192</c:v>
                </c:pt>
                <c:pt idx="39">
                  <c:v>538</c:v>
                </c:pt>
                <c:pt idx="41">
                  <c:v>684</c:v>
                </c:pt>
                <c:pt idx="42">
                  <c:v>143</c:v>
                </c:pt>
              </c:numCache>
            </c:numRef>
          </c:val>
        </c:ser>
        <c:dLbls>
          <c:showLegendKey val="0"/>
          <c:showVal val="0"/>
          <c:showCatName val="0"/>
          <c:showSerName val="0"/>
          <c:showPercent val="0"/>
          <c:showBubbleSize val="0"/>
        </c:dLbls>
        <c:gapWidth val="20"/>
        <c:overlap val="100"/>
        <c:axId val="203217072"/>
        <c:axId val="203217632"/>
      </c:barChart>
      <c:catAx>
        <c:axId val="203217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17632"/>
        <c:crosses val="autoZero"/>
        <c:auto val="1"/>
        <c:lblAlgn val="ctr"/>
        <c:lblOffset val="100"/>
        <c:noMultiLvlLbl val="0"/>
      </c:catAx>
      <c:valAx>
        <c:axId val="2032176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17072"/>
        <c:crosses val="autoZero"/>
        <c:crossBetween val="between"/>
      </c:valAx>
      <c:spPr>
        <a:noFill/>
        <a:ln>
          <a:noFill/>
        </a:ln>
        <a:effectLst/>
      </c:spPr>
    </c:plotArea>
    <c:legend>
      <c:legendPos val="b"/>
      <c:layout>
        <c:manualLayout>
          <c:xMode val="edge"/>
          <c:yMode val="edge"/>
          <c:x val="0.36546821208619723"/>
          <c:y val="4.7364391951006335E-4"/>
          <c:w val="0.63453178791380271"/>
          <c:h val="0.113812992125984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Residential</a:t>
            </a:r>
            <a:r>
              <a:rPr lang="en-AU" baseline="0"/>
              <a:t> </a:t>
            </a:r>
            <a:r>
              <a:rPr lang="en-AU"/>
              <a:t>Building Approvals </a:t>
            </a:r>
          </a:p>
          <a:p>
            <a:pPr algn="l">
              <a:defRPr/>
            </a:pPr>
            <a:r>
              <a:rPr lang="en-AU" baseline="0"/>
              <a:t>First 9 Months of 2016-17</a:t>
            </a:r>
          </a:p>
          <a:p>
            <a:pPr algn="l">
              <a:defRPr/>
            </a:pPr>
            <a:r>
              <a:rPr lang="en-AU" baseline="0"/>
              <a:t>Regional Victoria</a:t>
            </a:r>
          </a:p>
          <a:p>
            <a:pPr algn="l">
              <a:defRPr/>
            </a:pPr>
            <a:r>
              <a:rPr lang="en-AU" sz="1100" baseline="0"/>
              <a:t>Source: ABS building Approvals</a:t>
            </a:r>
            <a:endParaRPr lang="en-AU"/>
          </a:p>
        </c:rich>
      </c:tx>
      <c:layout>
        <c:manualLayout>
          <c:xMode val="edge"/>
          <c:yMode val="edge"/>
          <c:x val="1.341810068532551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30323370532484"/>
          <c:y val="0.19817748486768305"/>
          <c:w val="0.74942151605117913"/>
          <c:h val="0.77614340527183323"/>
        </c:manualLayout>
      </c:layout>
      <c:barChart>
        <c:barDir val="bar"/>
        <c:grouping val="stacked"/>
        <c:varyColors val="0"/>
        <c:ser>
          <c:idx val="0"/>
          <c:order val="0"/>
          <c:tx>
            <c:strRef>
              <c:f>'Dwellings '!$B$7</c:f>
              <c:strCache>
                <c:ptCount val="1"/>
                <c:pt idx="0">
                  <c:v>Houses</c:v>
                </c:pt>
              </c:strCache>
            </c:strRef>
          </c:tx>
          <c:spPr>
            <a:solidFill>
              <a:schemeClr val="accent1"/>
            </a:solidFill>
            <a:ln>
              <a:solidFill>
                <a:schemeClr val="tx1"/>
              </a:solidFill>
            </a:ln>
            <a:effectLst/>
          </c:spPr>
          <c:invertIfNegative val="0"/>
          <c:cat>
            <c:strRef>
              <c:f>'Dwellings '!$A$52:$A$103</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'Dwellings '!$B$52:$B$103</c:f>
              <c:numCache>
                <c:formatCode>General</c:formatCode>
                <c:ptCount val="52"/>
                <c:pt idx="1">
                  <c:v>526</c:v>
                </c:pt>
                <c:pt idx="2">
                  <c:v>485</c:v>
                </c:pt>
                <c:pt idx="3">
                  <c:v>1823</c:v>
                </c:pt>
                <c:pt idx="4">
                  <c:v>210</c:v>
                </c:pt>
                <c:pt idx="5">
                  <c:v>57</c:v>
                </c:pt>
                <c:pt idx="6">
                  <c:v>183</c:v>
                </c:pt>
                <c:pt idx="7">
                  <c:v>192</c:v>
                </c:pt>
                <c:pt idx="8">
                  <c:v>82</c:v>
                </c:pt>
                <c:pt idx="9">
                  <c:v>148</c:v>
                </c:pt>
                <c:pt idx="10">
                  <c:v>262</c:v>
                </c:pt>
                <c:pt idx="13">
                  <c:v>371</c:v>
                </c:pt>
                <c:pt idx="14">
                  <c:v>368</c:v>
                </c:pt>
                <c:pt idx="15">
                  <c:v>146</c:v>
                </c:pt>
                <c:pt idx="16">
                  <c:v>253</c:v>
                </c:pt>
                <c:pt idx="17">
                  <c:v>225</c:v>
                </c:pt>
                <c:pt idx="18">
                  <c:v>78</c:v>
                </c:pt>
                <c:pt idx="19">
                  <c:v>21</c:v>
                </c:pt>
                <c:pt idx="20">
                  <c:v>116</c:v>
                </c:pt>
                <c:pt idx="21">
                  <c:v>303</c:v>
                </c:pt>
                <c:pt idx="24">
                  <c:v>51</c:v>
                </c:pt>
                <c:pt idx="25">
                  <c:v>13</c:v>
                </c:pt>
                <c:pt idx="26">
                  <c:v>43</c:v>
                </c:pt>
                <c:pt idx="27">
                  <c:v>4</c:v>
                </c:pt>
                <c:pt idx="28">
                  <c:v>111</c:v>
                </c:pt>
                <c:pt idx="29">
                  <c:v>25</c:v>
                </c:pt>
                <c:pt idx="30">
                  <c:v>84</c:v>
                </c:pt>
                <c:pt idx="31">
                  <c:v>34</c:v>
                </c:pt>
                <c:pt idx="32">
                  <c:v>229</c:v>
                </c:pt>
                <c:pt idx="33">
                  <c:v>19</c:v>
                </c:pt>
                <c:pt idx="34">
                  <c:v>24</c:v>
                </c:pt>
                <c:pt idx="35">
                  <c:v>76</c:v>
                </c:pt>
                <c:pt idx="36">
                  <c:v>4</c:v>
                </c:pt>
                <c:pt idx="37">
                  <c:v>56</c:v>
                </c:pt>
                <c:pt idx="38">
                  <c:v>12</c:v>
                </c:pt>
                <c:pt idx="39">
                  <c:v>67</c:v>
                </c:pt>
                <c:pt idx="40">
                  <c:v>72</c:v>
                </c:pt>
                <c:pt idx="41">
                  <c:v>94</c:v>
                </c:pt>
                <c:pt idx="42">
                  <c:v>72</c:v>
                </c:pt>
                <c:pt idx="43">
                  <c:v>27</c:v>
                </c:pt>
                <c:pt idx="44">
                  <c:v>42</c:v>
                </c:pt>
                <c:pt idx="45">
                  <c:v>27</c:v>
                </c:pt>
                <c:pt idx="46">
                  <c:v>52</c:v>
                </c:pt>
                <c:pt idx="47">
                  <c:v>38</c:v>
                </c:pt>
                <c:pt idx="48">
                  <c:v>5</c:v>
                </c:pt>
                <c:pt idx="49">
                  <c:v>148</c:v>
                </c:pt>
                <c:pt idx="50">
                  <c:v>8</c:v>
                </c:pt>
                <c:pt idx="51">
                  <c:v>6</c:v>
                </c:pt>
              </c:numCache>
            </c:numRef>
          </c:val>
        </c:ser>
        <c:ser>
          <c:idx val="1"/>
          <c:order val="1"/>
          <c:tx>
            <c:strRef>
              <c:f>'Dwellings '!$C$7</c:f>
              <c:strCache>
                <c:ptCount val="1"/>
                <c:pt idx="0">
                  <c:v>Semi-detached, row or terrace houses, townhouses - One storey</c:v>
                </c:pt>
              </c:strCache>
            </c:strRef>
          </c:tx>
          <c:spPr>
            <a:solidFill>
              <a:schemeClr val="accent2"/>
            </a:solidFill>
            <a:ln>
              <a:solidFill>
                <a:schemeClr val="tx1"/>
              </a:solidFill>
            </a:ln>
            <a:effectLst/>
          </c:spPr>
          <c:invertIfNegative val="0"/>
          <c:cat>
            <c:strRef>
              <c:f>'Dwellings '!$A$52:$A$103</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'Dwellings '!$C$52:$C$103</c:f>
              <c:numCache>
                <c:formatCode>General</c:formatCode>
                <c:ptCount val="52"/>
                <c:pt idx="1">
                  <c:v>38</c:v>
                </c:pt>
                <c:pt idx="2">
                  <c:v>36</c:v>
                </c:pt>
                <c:pt idx="3">
                  <c:v>71</c:v>
                </c:pt>
                <c:pt idx="5">
                  <c:v>5</c:v>
                </c:pt>
                <c:pt idx="6">
                  <c:v>14</c:v>
                </c:pt>
                <c:pt idx="7">
                  <c:v>2</c:v>
                </c:pt>
                <c:pt idx="9">
                  <c:v>2</c:v>
                </c:pt>
                <c:pt idx="10">
                  <c:v>9</c:v>
                </c:pt>
                <c:pt idx="13">
                  <c:v>3</c:v>
                </c:pt>
                <c:pt idx="14">
                  <c:v>12</c:v>
                </c:pt>
                <c:pt idx="16">
                  <c:v>15</c:v>
                </c:pt>
                <c:pt idx="17">
                  <c:v>27</c:v>
                </c:pt>
                <c:pt idx="18">
                  <c:v>3</c:v>
                </c:pt>
                <c:pt idx="20">
                  <c:v>2</c:v>
                </c:pt>
                <c:pt idx="21">
                  <c:v>2</c:v>
                </c:pt>
                <c:pt idx="28">
                  <c:v>2</c:v>
                </c:pt>
                <c:pt idx="29">
                  <c:v>3</c:v>
                </c:pt>
                <c:pt idx="32">
                  <c:v>14</c:v>
                </c:pt>
                <c:pt idx="39">
                  <c:v>6</c:v>
                </c:pt>
                <c:pt idx="41">
                  <c:v>2</c:v>
                </c:pt>
                <c:pt idx="47">
                  <c:v>2</c:v>
                </c:pt>
                <c:pt idx="49">
                  <c:v>9</c:v>
                </c:pt>
              </c:numCache>
            </c:numRef>
          </c:val>
        </c:ser>
        <c:ser>
          <c:idx val="2"/>
          <c:order val="2"/>
          <c:tx>
            <c:strRef>
              <c:f>'Dwellings '!$D$7</c:f>
              <c:strCache>
                <c:ptCount val="1"/>
                <c:pt idx="0">
                  <c:v>Semi-detached, row or terrace houses, townhouses - Two or more storeys</c:v>
                </c:pt>
              </c:strCache>
            </c:strRef>
          </c:tx>
          <c:spPr>
            <a:solidFill>
              <a:schemeClr val="accent2">
                <a:lumMod val="50000"/>
              </a:schemeClr>
            </a:solidFill>
            <a:ln>
              <a:solidFill>
                <a:schemeClr val="tx1"/>
              </a:solidFill>
            </a:ln>
            <a:effectLst/>
          </c:spPr>
          <c:invertIfNegative val="0"/>
          <c:cat>
            <c:strRef>
              <c:f>'Dwellings '!$A$52:$A$103</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'Dwellings '!$D$52:$D$103</c:f>
              <c:numCache>
                <c:formatCode>General</c:formatCode>
                <c:ptCount val="52"/>
                <c:pt idx="1">
                  <c:v>2</c:v>
                </c:pt>
                <c:pt idx="2">
                  <c:v>17</c:v>
                </c:pt>
                <c:pt idx="3">
                  <c:v>51</c:v>
                </c:pt>
                <c:pt idx="7">
                  <c:v>2</c:v>
                </c:pt>
                <c:pt idx="9">
                  <c:v>6</c:v>
                </c:pt>
                <c:pt idx="13">
                  <c:v>4</c:v>
                </c:pt>
                <c:pt idx="16">
                  <c:v>3</c:v>
                </c:pt>
                <c:pt idx="17">
                  <c:v>17</c:v>
                </c:pt>
                <c:pt idx="21">
                  <c:v>8</c:v>
                </c:pt>
                <c:pt idx="24">
                  <c:v>2</c:v>
                </c:pt>
                <c:pt idx="29">
                  <c:v>3</c:v>
                </c:pt>
                <c:pt idx="42">
                  <c:v>2</c:v>
                </c:pt>
              </c:numCache>
            </c:numRef>
          </c:val>
        </c:ser>
        <c:ser>
          <c:idx val="3"/>
          <c:order val="3"/>
          <c:tx>
            <c:strRef>
              <c:f>'Dwellings '!$E$7</c:f>
              <c:strCache>
                <c:ptCount val="1"/>
                <c:pt idx="0">
                  <c:v>Flats units or apartments - In a one or two storey block</c:v>
                </c:pt>
              </c:strCache>
            </c:strRef>
          </c:tx>
          <c:spPr>
            <a:solidFill>
              <a:schemeClr val="accent6">
                <a:lumMod val="20000"/>
                <a:lumOff val="80000"/>
              </a:schemeClr>
            </a:solidFill>
            <a:ln>
              <a:solidFill>
                <a:schemeClr val="tx1"/>
              </a:solidFill>
            </a:ln>
            <a:effectLst/>
          </c:spPr>
          <c:invertIfNegative val="0"/>
          <c:cat>
            <c:strRef>
              <c:f>'Dwellings '!$A$52:$A$103</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'Dwellings '!$E$52:$E$103</c:f>
              <c:numCache>
                <c:formatCode>General</c:formatCode>
                <c:ptCount val="52"/>
                <c:pt idx="3">
                  <c:v>9</c:v>
                </c:pt>
                <c:pt idx="4">
                  <c:v>6</c:v>
                </c:pt>
                <c:pt idx="6">
                  <c:v>4</c:v>
                </c:pt>
                <c:pt idx="9">
                  <c:v>25</c:v>
                </c:pt>
                <c:pt idx="16">
                  <c:v>5</c:v>
                </c:pt>
                <c:pt idx="17">
                  <c:v>4</c:v>
                </c:pt>
                <c:pt idx="49">
                  <c:v>3</c:v>
                </c:pt>
              </c:numCache>
            </c:numRef>
          </c:val>
        </c:ser>
        <c:ser>
          <c:idx val="4"/>
          <c:order val="4"/>
          <c:tx>
            <c:strRef>
              <c:f>'Dwellings '!$F$7</c:f>
              <c:strCache>
                <c:ptCount val="1"/>
                <c:pt idx="0">
                  <c:v>Flats units or apartments - In a three storey block</c:v>
                </c:pt>
              </c:strCache>
            </c:strRef>
          </c:tx>
          <c:spPr>
            <a:solidFill>
              <a:schemeClr val="accent6">
                <a:lumMod val="60000"/>
                <a:lumOff val="40000"/>
              </a:schemeClr>
            </a:solidFill>
            <a:ln>
              <a:solidFill>
                <a:schemeClr val="tx1"/>
              </a:solidFill>
            </a:ln>
            <a:effectLst/>
          </c:spPr>
          <c:invertIfNegative val="0"/>
          <c:cat>
            <c:strRef>
              <c:f>'Dwellings '!$A$52:$A$103</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'Dwellings '!$F$52:$F$103</c:f>
              <c:numCache>
                <c:formatCode>General</c:formatCode>
                <c:ptCount val="52"/>
                <c:pt idx="3">
                  <c:v>2</c:v>
                </c:pt>
              </c:numCache>
            </c:numRef>
          </c:val>
        </c:ser>
        <c:ser>
          <c:idx val="5"/>
          <c:order val="5"/>
          <c:tx>
            <c:strRef>
              <c:f>'Dwellings '!$G$7</c:f>
              <c:strCache>
                <c:ptCount val="1"/>
                <c:pt idx="0">
                  <c:v>Flats units or apartments - In a four or more storey block</c:v>
                </c:pt>
              </c:strCache>
            </c:strRef>
          </c:tx>
          <c:spPr>
            <a:solidFill>
              <a:schemeClr val="accent6">
                <a:lumMod val="75000"/>
              </a:schemeClr>
            </a:solidFill>
            <a:ln>
              <a:solidFill>
                <a:schemeClr val="tx1"/>
              </a:solidFill>
            </a:ln>
            <a:effectLst/>
          </c:spPr>
          <c:invertIfNegative val="0"/>
          <c:cat>
            <c:strRef>
              <c:f>'Dwellings '!$A$52:$A$103</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'Dwellings '!$G$52:$G$103</c:f>
              <c:numCache>
                <c:formatCode>General</c:formatCode>
                <c:ptCount val="52"/>
              </c:numCache>
            </c:numRef>
          </c:val>
        </c:ser>
        <c:dLbls>
          <c:showLegendKey val="0"/>
          <c:showVal val="0"/>
          <c:showCatName val="0"/>
          <c:showSerName val="0"/>
          <c:showPercent val="0"/>
          <c:showBubbleSize val="0"/>
        </c:dLbls>
        <c:gapWidth val="20"/>
        <c:overlap val="100"/>
        <c:axId val="203494464"/>
        <c:axId val="203495024"/>
      </c:barChart>
      <c:catAx>
        <c:axId val="203494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5024"/>
        <c:crosses val="autoZero"/>
        <c:auto val="1"/>
        <c:lblAlgn val="ctr"/>
        <c:lblOffset val="100"/>
        <c:noMultiLvlLbl val="0"/>
      </c:catAx>
      <c:valAx>
        <c:axId val="2034950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4464"/>
        <c:crosses val="autoZero"/>
        <c:crossBetween val="between"/>
      </c:valAx>
      <c:spPr>
        <a:noFill/>
        <a:ln>
          <a:noFill/>
        </a:ln>
        <a:effectLst/>
      </c:spPr>
    </c:plotArea>
    <c:legend>
      <c:legendPos val="b"/>
      <c:layout>
        <c:manualLayout>
          <c:xMode val="edge"/>
          <c:yMode val="edge"/>
          <c:x val="0.32762038873307747"/>
          <c:y val="4.7359283851274036E-4"/>
          <c:w val="0.67070733147924322"/>
          <c:h val="0.122146347091228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Annaul</a:t>
            </a:r>
            <a:r>
              <a:rPr lang="en-AU" baseline="0"/>
              <a:t> Growth of </a:t>
            </a:r>
            <a:r>
              <a:rPr lang="en-AU"/>
              <a:t>States &amp; Territories</a:t>
            </a:r>
          </a:p>
          <a:p>
            <a:pPr algn="l">
              <a:defRPr/>
            </a:pPr>
            <a:r>
              <a:rPr lang="en-AU" baseline="0"/>
              <a:t>12 months to September 30 2016</a:t>
            </a:r>
          </a:p>
          <a:p>
            <a:pPr algn="l">
              <a:defRPr/>
            </a:pPr>
            <a:r>
              <a:rPr lang="en-AU" sz="1000" baseline="0"/>
              <a:t>Source: ABS 3101.0</a:t>
            </a:r>
            <a:endParaRPr lang="en-AU" sz="1000"/>
          </a:p>
        </c:rich>
      </c:tx>
      <c:layout>
        <c:manualLayout>
          <c:xMode val="edge"/>
          <c:yMode val="edge"/>
          <c:x val="1.657887870533013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52287618628019"/>
          <c:y val="0.19661385959910657"/>
          <c:w val="0.86630529387752775"/>
          <c:h val="0.72785251486480662"/>
        </c:manualLayout>
      </c:layout>
      <c:barChart>
        <c:barDir val="col"/>
        <c:grouping val="clustered"/>
        <c:varyColors val="0"/>
        <c:ser>
          <c:idx val="0"/>
          <c:order val="0"/>
          <c:tx>
            <c:strRef>
              <c:f>'Popuatlion Graph'!$B$8</c:f>
              <c:strCache>
                <c:ptCount val="1"/>
              </c:strCache>
            </c:strRef>
          </c:tx>
          <c:spPr>
            <a:solidFill>
              <a:schemeClr val="accent1"/>
            </a:solidFill>
            <a:ln>
              <a:solidFill>
                <a:schemeClr val="tx1"/>
              </a:solidFill>
            </a:ln>
            <a:effectLst/>
          </c:spPr>
          <c:invertIfNegative val="0"/>
          <c:dPt>
            <c:idx val="1"/>
            <c:invertIfNegative val="0"/>
            <c:bubble3D val="0"/>
            <c:spPr>
              <a:solidFill>
                <a:schemeClr val="tx2"/>
              </a:solidFill>
              <a:ln>
                <a:solidFill>
                  <a:schemeClr val="tx1"/>
                </a:solidFill>
              </a:ln>
              <a:effectLst/>
            </c:spPr>
          </c:dPt>
          <c:dPt>
            <c:idx val="2"/>
            <c:invertIfNegative val="0"/>
            <c:bubble3D val="0"/>
            <c:spPr>
              <a:solidFill>
                <a:srgbClr val="C00000"/>
              </a:solidFill>
              <a:ln>
                <a:solidFill>
                  <a:schemeClr val="tx1"/>
                </a:solidFill>
              </a:ln>
              <a:effectLst/>
            </c:spPr>
          </c:dPt>
          <c:dPt>
            <c:idx val="3"/>
            <c:invertIfNegative val="0"/>
            <c:bubble3D val="0"/>
            <c:spPr>
              <a:solidFill>
                <a:srgbClr val="FF0000"/>
              </a:solidFill>
              <a:ln>
                <a:solidFill>
                  <a:schemeClr val="tx1"/>
                </a:solidFill>
              </a:ln>
              <a:effectLst/>
            </c:spPr>
          </c:dPt>
          <c:dPt>
            <c:idx val="4"/>
            <c:invertIfNegative val="0"/>
            <c:bubble3D val="0"/>
            <c:spPr>
              <a:solidFill>
                <a:schemeClr val="accent4"/>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2">
                  <a:lumMod val="75000"/>
                </a:schemeClr>
              </a:solidFill>
              <a:ln>
                <a:solidFill>
                  <a:schemeClr val="tx1"/>
                </a:solidFill>
              </a:ln>
              <a:effectLst/>
            </c:spPr>
          </c:dPt>
          <c:dPt>
            <c:idx val="7"/>
            <c:invertIfNegative val="0"/>
            <c:bubble3D val="0"/>
            <c:spPr>
              <a:solidFill>
                <a:schemeClr val="accent4">
                  <a:lumMod val="75000"/>
                </a:schemeClr>
              </a:solidFill>
              <a:ln>
                <a:solidFill>
                  <a:schemeClr val="tx1"/>
                </a:solidFill>
              </a:ln>
              <a:effectLst/>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dLbl>
              <c:idx val="6"/>
              <c:layout/>
              <c:showLegendKey val="0"/>
              <c:showVal val="1"/>
              <c:showCatName val="0"/>
              <c:showSerName val="0"/>
              <c:showPercent val="0"/>
              <c:showBubbleSize val="0"/>
              <c:extLst>
                <c:ext xmlns:c15="http://schemas.microsoft.com/office/drawing/2012/chart" uri="{CE6537A1-D6FC-4f65-9D91-7224C49458BB}">
                  <c15:layout/>
                </c:ext>
              </c:extLst>
            </c:dLbl>
            <c:dLbl>
              <c:idx val="7"/>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'Popuatlion Graph'!$C$7:$J$7</c:f>
              <c:strCache>
                <c:ptCount val="8"/>
                <c:pt idx="0">
                  <c:v>NSW</c:v>
                </c:pt>
                <c:pt idx="1">
                  <c:v>VIC</c:v>
                </c:pt>
                <c:pt idx="2">
                  <c:v>QLD</c:v>
                </c:pt>
                <c:pt idx="3">
                  <c:v>SA</c:v>
                </c:pt>
                <c:pt idx="4">
                  <c:v>WA</c:v>
                </c:pt>
                <c:pt idx="5">
                  <c:v>TAS</c:v>
                </c:pt>
                <c:pt idx="6">
                  <c:v>NT</c:v>
                </c:pt>
                <c:pt idx="7">
                  <c:v>ACT</c:v>
                </c:pt>
              </c:strCache>
            </c:strRef>
          </c:cat>
          <c:val>
            <c:numRef>
              <c:f>'Popuatlion Graph'!$C$9:$J$9</c:f>
              <c:numCache>
                <c:formatCode>_-* #,##0_-;\-* #,##0_-;_-* "-"??_-;_-@_-</c:formatCode>
                <c:ptCount val="8"/>
                <c:pt idx="0">
                  <c:v>109605</c:v>
                </c:pt>
                <c:pt idx="1">
                  <c:v>127498</c:v>
                </c:pt>
                <c:pt idx="2">
                  <c:v>67699</c:v>
                </c:pt>
                <c:pt idx="3">
                  <c:v>9438</c:v>
                </c:pt>
                <c:pt idx="4">
                  <c:v>25242</c:v>
                </c:pt>
                <c:pt idx="5">
                  <c:v>2593</c:v>
                </c:pt>
                <c:pt idx="6">
                  <c:v>812</c:v>
                </c:pt>
                <c:pt idx="7">
                  <c:v>5778</c:v>
                </c:pt>
              </c:numCache>
            </c:numRef>
          </c:val>
        </c:ser>
        <c:dLbls>
          <c:showLegendKey val="0"/>
          <c:showVal val="0"/>
          <c:showCatName val="0"/>
          <c:showSerName val="0"/>
          <c:showPercent val="0"/>
          <c:showBubbleSize val="0"/>
        </c:dLbls>
        <c:gapWidth val="20"/>
        <c:overlap val="-27"/>
        <c:axId val="137931504"/>
        <c:axId val="137932064"/>
      </c:barChart>
      <c:catAx>
        <c:axId val="13793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2064"/>
        <c:crosses val="autoZero"/>
        <c:auto val="1"/>
        <c:lblAlgn val="ctr"/>
        <c:lblOffset val="100"/>
        <c:noMultiLvlLbl val="0"/>
      </c:catAx>
      <c:valAx>
        <c:axId val="13793206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a:t>
            </a:r>
          </a:p>
          <a:p>
            <a:pPr algn="l">
              <a:defRPr/>
            </a:pPr>
            <a:r>
              <a:rPr lang="en-AU" baseline="0"/>
              <a:t>Metropolitan Melbourne </a:t>
            </a:r>
          </a:p>
          <a:p>
            <a:pPr algn="l">
              <a:defRPr/>
            </a:pPr>
            <a:r>
              <a:rPr lang="en-AU" baseline="0"/>
              <a:t>First 9 months of 2016-17 </a:t>
            </a: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6076970747246339"/>
          <c:w val="0.73539170574389501"/>
          <c:h val="0.8256362586086996"/>
        </c:manualLayout>
      </c:layout>
      <c:barChart>
        <c:barDir val="bar"/>
        <c:grouping val="stacked"/>
        <c:varyColors val="0"/>
        <c:ser>
          <c:idx val="0"/>
          <c:order val="0"/>
          <c:tx>
            <c:strRef>
              <c:f>'Value Q2 1617'!$AD$7</c:f>
              <c:strCache>
                <c:ptCount val="1"/>
                <c:pt idx="0">
                  <c:v>Residential</c:v>
                </c:pt>
              </c:strCache>
            </c:strRef>
          </c:tx>
          <c:spPr>
            <a:solidFill>
              <a:schemeClr val="accent1"/>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1617'!$AD$8:$AD$51</c:f>
              <c:numCache>
                <c:formatCode>_-"$"* #,##0_-;\-"$"* #,##0_-;_-"$"* "-"??_-;_-@_-</c:formatCode>
                <c:ptCount val="44"/>
                <c:pt idx="1">
                  <c:v>2028.91</c:v>
                </c:pt>
                <c:pt idx="2">
                  <c:v>351.78399999999999</c:v>
                </c:pt>
                <c:pt idx="3">
                  <c:v>379.42500000000001</c:v>
                </c:pt>
                <c:pt idx="4">
                  <c:v>0</c:v>
                </c:pt>
                <c:pt idx="5">
                  <c:v>0</c:v>
                </c:pt>
                <c:pt idx="6">
                  <c:v>257.66899999999998</c:v>
                </c:pt>
                <c:pt idx="7">
                  <c:v>304.964</c:v>
                </c:pt>
                <c:pt idx="8">
                  <c:v>161.43799999999999</c:v>
                </c:pt>
                <c:pt idx="9">
                  <c:v>449.12299999999999</c:v>
                </c:pt>
                <c:pt idx="10">
                  <c:v>550.39400000000001</c:v>
                </c:pt>
                <c:pt idx="11">
                  <c:v>177.68299999999999</c:v>
                </c:pt>
                <c:pt idx="14">
                  <c:v>474.20699999999999</c:v>
                </c:pt>
                <c:pt idx="15">
                  <c:v>914.846</c:v>
                </c:pt>
                <c:pt idx="16">
                  <c:v>545.90300000000002</c:v>
                </c:pt>
                <c:pt idx="17">
                  <c:v>839.80700000000002</c:v>
                </c:pt>
                <c:pt idx="19">
                  <c:v>0</c:v>
                </c:pt>
                <c:pt idx="20">
                  <c:v>264.50400000000002</c:v>
                </c:pt>
                <c:pt idx="21">
                  <c:v>356.524</c:v>
                </c:pt>
                <c:pt idx="22">
                  <c:v>658.28599999999994</c:v>
                </c:pt>
                <c:pt idx="23">
                  <c:v>106.43300000000001</c:v>
                </c:pt>
                <c:pt idx="24">
                  <c:v>455.529</c:v>
                </c:pt>
                <c:pt idx="25">
                  <c:v>91.813000000000002</c:v>
                </c:pt>
                <c:pt idx="26">
                  <c:v>477.20800000000003</c:v>
                </c:pt>
                <c:pt idx="27">
                  <c:v>0</c:v>
                </c:pt>
                <c:pt idx="28">
                  <c:v>0</c:v>
                </c:pt>
                <c:pt idx="29">
                  <c:v>335.00900000000001</c:v>
                </c:pt>
                <c:pt idx="30">
                  <c:v>1006.58</c:v>
                </c:pt>
                <c:pt idx="31">
                  <c:v>205.37100000000001</c:v>
                </c:pt>
                <c:pt idx="32">
                  <c:v>175.28700000000001</c:v>
                </c:pt>
                <c:pt idx="33">
                  <c:v>339.74700000000001</c:v>
                </c:pt>
                <c:pt idx="34">
                  <c:v>524.64</c:v>
                </c:pt>
                <c:pt idx="35">
                  <c:v>0</c:v>
                </c:pt>
                <c:pt idx="36">
                  <c:v>0</c:v>
                </c:pt>
                <c:pt idx="37">
                  <c:v>120.45099999999999</c:v>
                </c:pt>
                <c:pt idx="38">
                  <c:v>231.39099999999999</c:v>
                </c:pt>
                <c:pt idx="39">
                  <c:v>263.86200000000002</c:v>
                </c:pt>
                <c:pt idx="40">
                  <c:v>435.89400000000001</c:v>
                </c:pt>
                <c:pt idx="41">
                  <c:v>555.26300000000003</c:v>
                </c:pt>
                <c:pt idx="42">
                  <c:v>888.447</c:v>
                </c:pt>
                <c:pt idx="43">
                  <c:v>0</c:v>
                </c:pt>
              </c:numCache>
            </c:numRef>
          </c:val>
        </c:ser>
        <c:ser>
          <c:idx val="1"/>
          <c:order val="1"/>
          <c:tx>
            <c:strRef>
              <c:f>'Value Q2 1617'!$AE$7</c:f>
              <c:strCache>
                <c:ptCount val="1"/>
                <c:pt idx="0">
                  <c:v>Commercial Buildings </c:v>
                </c:pt>
              </c:strCache>
            </c:strRef>
          </c:tx>
          <c:spPr>
            <a:solidFill>
              <a:schemeClr val="accent2"/>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1617'!$AE$8:$AE$51</c:f>
              <c:numCache>
                <c:formatCode>_-"$"* #,##0_-;\-"$"* #,##0_-;_-"$"* "-"??_-;_-@_-</c:formatCode>
                <c:ptCount val="44"/>
                <c:pt idx="1">
                  <c:v>1413.049</c:v>
                </c:pt>
                <c:pt idx="2">
                  <c:v>41.137999999999998</c:v>
                </c:pt>
                <c:pt idx="3">
                  <c:v>64.739999999999995</c:v>
                </c:pt>
                <c:pt idx="4">
                  <c:v>0</c:v>
                </c:pt>
                <c:pt idx="5">
                  <c:v>0</c:v>
                </c:pt>
                <c:pt idx="6">
                  <c:v>13.222</c:v>
                </c:pt>
                <c:pt idx="7">
                  <c:v>15.622999999999999</c:v>
                </c:pt>
                <c:pt idx="8">
                  <c:v>33.244999999999997</c:v>
                </c:pt>
                <c:pt idx="9">
                  <c:v>143.75</c:v>
                </c:pt>
                <c:pt idx="10">
                  <c:v>22.07</c:v>
                </c:pt>
                <c:pt idx="11">
                  <c:v>19.038</c:v>
                </c:pt>
                <c:pt idx="14">
                  <c:v>13.712999999999999</c:v>
                </c:pt>
                <c:pt idx="15">
                  <c:v>33.968000000000004</c:v>
                </c:pt>
                <c:pt idx="16">
                  <c:v>111.172</c:v>
                </c:pt>
                <c:pt idx="17">
                  <c:v>131.30699999999999</c:v>
                </c:pt>
                <c:pt idx="19">
                  <c:v>0</c:v>
                </c:pt>
                <c:pt idx="20">
                  <c:v>29.058</c:v>
                </c:pt>
                <c:pt idx="21">
                  <c:v>23.876000000000001</c:v>
                </c:pt>
                <c:pt idx="22">
                  <c:v>132.435</c:v>
                </c:pt>
                <c:pt idx="23">
                  <c:v>2.9159999999999999</c:v>
                </c:pt>
                <c:pt idx="24">
                  <c:v>7.8869999999999996</c:v>
                </c:pt>
                <c:pt idx="25">
                  <c:v>2.9529999999999998</c:v>
                </c:pt>
                <c:pt idx="26">
                  <c:v>115.63200000000001</c:v>
                </c:pt>
                <c:pt idx="27">
                  <c:v>0</c:v>
                </c:pt>
                <c:pt idx="28">
                  <c:v>0</c:v>
                </c:pt>
                <c:pt idx="29">
                  <c:v>8.5359999999999996</c:v>
                </c:pt>
                <c:pt idx="30">
                  <c:v>37.031999999999996</c:v>
                </c:pt>
                <c:pt idx="31">
                  <c:v>26.347000000000001</c:v>
                </c:pt>
                <c:pt idx="32">
                  <c:v>60.03</c:v>
                </c:pt>
                <c:pt idx="33">
                  <c:v>51.484000000000002</c:v>
                </c:pt>
                <c:pt idx="34">
                  <c:v>14.879</c:v>
                </c:pt>
                <c:pt idx="35">
                  <c:v>0</c:v>
                </c:pt>
                <c:pt idx="36">
                  <c:v>0</c:v>
                </c:pt>
                <c:pt idx="37">
                  <c:v>110.714</c:v>
                </c:pt>
                <c:pt idx="38">
                  <c:v>14.77</c:v>
                </c:pt>
                <c:pt idx="39">
                  <c:v>16.091999999999999</c:v>
                </c:pt>
                <c:pt idx="40">
                  <c:v>13.285</c:v>
                </c:pt>
                <c:pt idx="41">
                  <c:v>17.417999999999999</c:v>
                </c:pt>
                <c:pt idx="42">
                  <c:v>160.065</c:v>
                </c:pt>
                <c:pt idx="43">
                  <c:v>0</c:v>
                </c:pt>
              </c:numCache>
            </c:numRef>
          </c:val>
        </c:ser>
        <c:ser>
          <c:idx val="2"/>
          <c:order val="2"/>
          <c:tx>
            <c:strRef>
              <c:f>'Value Q2 1617'!$AF$7</c:f>
              <c:strCache>
                <c:ptCount val="1"/>
                <c:pt idx="0">
                  <c:v>Industrial Buildings</c:v>
                </c:pt>
              </c:strCache>
            </c:strRef>
          </c:tx>
          <c:spPr>
            <a:solidFill>
              <a:schemeClr val="accent3"/>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1617'!$AF$8:$AF$51</c:f>
              <c:numCache>
                <c:formatCode>_-"$"* #,##0_-;\-"$"* #,##0_-;_-"$"* "-"??_-;_-@_-</c:formatCode>
                <c:ptCount val="44"/>
                <c:pt idx="1">
                  <c:v>4.6509999999999998</c:v>
                </c:pt>
                <c:pt idx="2">
                  <c:v>13.992000000000001</c:v>
                </c:pt>
                <c:pt idx="3">
                  <c:v>1.3380000000000001</c:v>
                </c:pt>
                <c:pt idx="4">
                  <c:v>0</c:v>
                </c:pt>
                <c:pt idx="5">
                  <c:v>0</c:v>
                </c:pt>
                <c:pt idx="6">
                  <c:v>62.371000000000002</c:v>
                </c:pt>
                <c:pt idx="7">
                  <c:v>0.1</c:v>
                </c:pt>
                <c:pt idx="8">
                  <c:v>5.8920000000000003</c:v>
                </c:pt>
                <c:pt idx="9">
                  <c:v>11.019</c:v>
                </c:pt>
                <c:pt idx="10">
                  <c:v>11.254</c:v>
                </c:pt>
                <c:pt idx="11">
                  <c:v>13.202</c:v>
                </c:pt>
                <c:pt idx="14">
                  <c:v>2.4929999999999999</c:v>
                </c:pt>
                <c:pt idx="15">
                  <c:v>9.5</c:v>
                </c:pt>
                <c:pt idx="16">
                  <c:v>0</c:v>
                </c:pt>
                <c:pt idx="17">
                  <c:v>0</c:v>
                </c:pt>
                <c:pt idx="19">
                  <c:v>0</c:v>
                </c:pt>
                <c:pt idx="20">
                  <c:v>4.1210000000000004</c:v>
                </c:pt>
                <c:pt idx="21">
                  <c:v>5.7469999999999999</c:v>
                </c:pt>
                <c:pt idx="22">
                  <c:v>79.043999999999997</c:v>
                </c:pt>
                <c:pt idx="23">
                  <c:v>1.071</c:v>
                </c:pt>
                <c:pt idx="24">
                  <c:v>7.6150000000000002</c:v>
                </c:pt>
                <c:pt idx="25">
                  <c:v>0.252</c:v>
                </c:pt>
                <c:pt idx="26">
                  <c:v>35.942</c:v>
                </c:pt>
                <c:pt idx="27">
                  <c:v>0</c:v>
                </c:pt>
                <c:pt idx="28">
                  <c:v>0</c:v>
                </c:pt>
                <c:pt idx="29">
                  <c:v>16.972999999999999</c:v>
                </c:pt>
                <c:pt idx="30">
                  <c:v>18.63</c:v>
                </c:pt>
                <c:pt idx="31">
                  <c:v>31.364999999999998</c:v>
                </c:pt>
                <c:pt idx="32">
                  <c:v>169.30500000000001</c:v>
                </c:pt>
                <c:pt idx="33">
                  <c:v>26.184999999999999</c:v>
                </c:pt>
                <c:pt idx="34">
                  <c:v>26.797000000000001</c:v>
                </c:pt>
                <c:pt idx="35">
                  <c:v>0</c:v>
                </c:pt>
                <c:pt idx="36">
                  <c:v>0</c:v>
                </c:pt>
                <c:pt idx="37">
                  <c:v>76.097999999999999</c:v>
                </c:pt>
                <c:pt idx="38">
                  <c:v>65.227000000000004</c:v>
                </c:pt>
                <c:pt idx="39">
                  <c:v>15.622</c:v>
                </c:pt>
                <c:pt idx="40">
                  <c:v>134.60300000000001</c:v>
                </c:pt>
                <c:pt idx="41">
                  <c:v>1.373</c:v>
                </c:pt>
                <c:pt idx="42">
                  <c:v>67.393000000000001</c:v>
                </c:pt>
                <c:pt idx="43">
                  <c:v>0</c:v>
                </c:pt>
              </c:numCache>
            </c:numRef>
          </c:val>
        </c:ser>
        <c:ser>
          <c:idx val="3"/>
          <c:order val="3"/>
          <c:tx>
            <c:strRef>
              <c:f>'Value Q2 1617'!$AG$7</c:f>
              <c:strCache>
                <c:ptCount val="1"/>
                <c:pt idx="0">
                  <c:v>Other Non-residential</c:v>
                </c:pt>
              </c:strCache>
            </c:strRef>
          </c:tx>
          <c:spPr>
            <a:solidFill>
              <a:schemeClr val="accent4"/>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1617'!$AG$8:$AG$51</c:f>
              <c:numCache>
                <c:formatCode>_-"$"* #,##0_-;\-"$"* #,##0_-;_-"$"* "-"??_-;_-@_-</c:formatCode>
                <c:ptCount val="44"/>
                <c:pt idx="1">
                  <c:v>1164.346</c:v>
                </c:pt>
                <c:pt idx="2">
                  <c:v>71.400000000000006</c:v>
                </c:pt>
                <c:pt idx="3">
                  <c:v>71.105000000000004</c:v>
                </c:pt>
                <c:pt idx="4">
                  <c:v>0</c:v>
                </c:pt>
                <c:pt idx="5">
                  <c:v>0</c:v>
                </c:pt>
                <c:pt idx="6">
                  <c:v>45.28</c:v>
                </c:pt>
                <c:pt idx="7">
                  <c:v>44.250999999999998</c:v>
                </c:pt>
                <c:pt idx="8">
                  <c:v>81.533000000000001</c:v>
                </c:pt>
                <c:pt idx="9">
                  <c:v>286.02100000000002</c:v>
                </c:pt>
                <c:pt idx="10">
                  <c:v>108.992</c:v>
                </c:pt>
                <c:pt idx="11">
                  <c:v>36.372999999999998</c:v>
                </c:pt>
                <c:pt idx="14">
                  <c:v>84.241</c:v>
                </c:pt>
                <c:pt idx="15">
                  <c:v>66.111999999999995</c:v>
                </c:pt>
                <c:pt idx="16">
                  <c:v>62.25</c:v>
                </c:pt>
                <c:pt idx="17">
                  <c:v>48.851999999999997</c:v>
                </c:pt>
                <c:pt idx="19">
                  <c:v>0</c:v>
                </c:pt>
                <c:pt idx="20">
                  <c:v>90.483000000000004</c:v>
                </c:pt>
                <c:pt idx="21">
                  <c:v>30.030999999999999</c:v>
                </c:pt>
                <c:pt idx="22">
                  <c:v>53.386000000000003</c:v>
                </c:pt>
                <c:pt idx="23">
                  <c:v>6.0979999999999999</c:v>
                </c:pt>
                <c:pt idx="24">
                  <c:v>58.542999999999999</c:v>
                </c:pt>
                <c:pt idx="25">
                  <c:v>33.771999999999998</c:v>
                </c:pt>
                <c:pt idx="26">
                  <c:v>95.195999999999998</c:v>
                </c:pt>
                <c:pt idx="27">
                  <c:v>0</c:v>
                </c:pt>
                <c:pt idx="28">
                  <c:v>0</c:v>
                </c:pt>
                <c:pt idx="29">
                  <c:v>24.76</c:v>
                </c:pt>
                <c:pt idx="30">
                  <c:v>187.00899999999999</c:v>
                </c:pt>
                <c:pt idx="31">
                  <c:v>59.481000000000002</c:v>
                </c:pt>
                <c:pt idx="32">
                  <c:v>59.363</c:v>
                </c:pt>
                <c:pt idx="33">
                  <c:v>66.025999999999996</c:v>
                </c:pt>
                <c:pt idx="34">
                  <c:v>49.597999999999999</c:v>
                </c:pt>
                <c:pt idx="35">
                  <c:v>0</c:v>
                </c:pt>
                <c:pt idx="36">
                  <c:v>0</c:v>
                </c:pt>
                <c:pt idx="37">
                  <c:v>171.13900000000001</c:v>
                </c:pt>
                <c:pt idx="38">
                  <c:v>17.190999999999999</c:v>
                </c:pt>
                <c:pt idx="39">
                  <c:v>15.166</c:v>
                </c:pt>
                <c:pt idx="40">
                  <c:v>90.129000000000005</c:v>
                </c:pt>
                <c:pt idx="41">
                  <c:v>32.338000000000001</c:v>
                </c:pt>
                <c:pt idx="42">
                  <c:v>171.386</c:v>
                </c:pt>
                <c:pt idx="43">
                  <c:v>0</c:v>
                </c:pt>
              </c:numCache>
            </c:numRef>
          </c:val>
        </c:ser>
        <c:dLbls>
          <c:showLegendKey val="0"/>
          <c:showVal val="0"/>
          <c:showCatName val="0"/>
          <c:showSerName val="0"/>
          <c:showPercent val="0"/>
          <c:showBubbleSize val="0"/>
        </c:dLbls>
        <c:gapWidth val="30"/>
        <c:overlap val="100"/>
        <c:axId val="203498944"/>
        <c:axId val="203499504"/>
      </c:barChart>
      <c:catAx>
        <c:axId val="203498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9504"/>
        <c:crosses val="autoZero"/>
        <c:auto val="1"/>
        <c:lblAlgn val="ctr"/>
        <c:lblOffset val="100"/>
        <c:noMultiLvlLbl val="0"/>
      </c:catAx>
      <c:valAx>
        <c:axId val="20349950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98944"/>
        <c:crosses val="autoZero"/>
        <c:crossBetween val="between"/>
      </c:valAx>
      <c:spPr>
        <a:noFill/>
        <a:ln>
          <a:noFill/>
        </a:ln>
        <a:effectLst/>
      </c:spPr>
    </c:plotArea>
    <c:legend>
      <c:legendPos val="b"/>
      <c:layout>
        <c:manualLayout>
          <c:xMode val="edge"/>
          <c:yMode val="edge"/>
          <c:x val="0.59005242022571436"/>
          <c:y val="0"/>
          <c:w val="0.40799371835842696"/>
          <c:h val="9.77121048971442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rtl="0">
              <a:defRPr sz="1400" b="0" i="0" u="none" strike="noStrike" kern="1200" spc="0" baseline="0">
                <a:solidFill>
                  <a:sysClr val="windowText" lastClr="000000">
                    <a:lumMod val="65000"/>
                    <a:lumOff val="35000"/>
                  </a:sysClr>
                </a:solidFill>
                <a:latin typeface="+mn-lt"/>
                <a:ea typeface="+mn-ea"/>
                <a:cs typeface="+mn-cs"/>
              </a:defRPr>
            </a:pPr>
            <a:r>
              <a:rPr lang="en-AU" sz="1400"/>
              <a:t>Value</a:t>
            </a:r>
            <a:r>
              <a:rPr lang="en-AU" sz="1400" baseline="0"/>
              <a:t> of Building Approvals </a:t>
            </a:r>
          </a:p>
          <a:p>
            <a:pPr algn="l" rtl="0">
              <a:defRPr>
                <a:solidFill>
                  <a:sysClr val="windowText" lastClr="000000">
                    <a:lumMod val="65000"/>
                    <a:lumOff val="35000"/>
                  </a:sysClr>
                </a:solidFill>
              </a:defRPr>
            </a:pPr>
            <a:r>
              <a:rPr lang="en-AU" sz="1400" baseline="0"/>
              <a:t>Regional Victoria</a:t>
            </a:r>
          </a:p>
          <a:p>
            <a:pPr algn="l" rtl="0">
              <a:defRPr>
                <a:solidFill>
                  <a:sysClr val="windowText" lastClr="000000">
                    <a:lumMod val="65000"/>
                    <a:lumOff val="35000"/>
                  </a:sysClr>
                </a:solidFill>
              </a:defRPr>
            </a:pPr>
            <a:r>
              <a:rPr lang="en-AU" sz="1400" b="0" i="0" u="none" strike="noStrike" kern="1200" spc="0" baseline="0">
                <a:solidFill>
                  <a:sysClr val="windowText" lastClr="000000">
                    <a:lumMod val="65000"/>
                    <a:lumOff val="35000"/>
                  </a:sysClr>
                </a:solidFill>
                <a:latin typeface="+mn-lt"/>
                <a:ea typeface="+mn-ea"/>
                <a:cs typeface="+mn-cs"/>
              </a:rPr>
              <a:t>First 9 months of 2016-17 </a:t>
            </a:r>
          </a:p>
          <a:p>
            <a:pPr algn="l" rtl="0">
              <a:defRPr>
                <a:solidFill>
                  <a:sysClr val="windowText" lastClr="000000">
                    <a:lumMod val="65000"/>
                    <a:lumOff val="35000"/>
                  </a:sysClr>
                </a:solidFil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rtl="0">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5105004903233252"/>
          <c:y val="0.11895595135368353"/>
          <c:w val="0.7138035029275186"/>
          <c:h val="0.86744991101283575"/>
        </c:manualLayout>
      </c:layout>
      <c:barChart>
        <c:barDir val="bar"/>
        <c:grouping val="stacked"/>
        <c:varyColors val="0"/>
        <c:ser>
          <c:idx val="0"/>
          <c:order val="0"/>
          <c:tx>
            <c:strRef>
              <c:f>'Value Q2 1617'!$AD$7</c:f>
              <c:strCache>
                <c:ptCount val="1"/>
                <c:pt idx="0">
                  <c:v>Residential</c:v>
                </c:pt>
              </c:strCache>
            </c:strRef>
          </c:tx>
          <c:spPr>
            <a:solidFill>
              <a:schemeClr val="accent1"/>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1617'!$AD$52:$AD$104</c:f>
              <c:numCache>
                <c:formatCode>_-"$"* #,##0_-;\-"$"* #,##0_-;_-"$"* "-"??_-;_-@_-</c:formatCode>
                <c:ptCount val="53"/>
                <c:pt idx="0">
                  <c:v>0</c:v>
                </c:pt>
                <c:pt idx="1">
                  <c:v>174.982</c:v>
                </c:pt>
                <c:pt idx="2">
                  <c:v>173.37799999999999</c:v>
                </c:pt>
                <c:pt idx="3">
                  <c:v>627.49599999999998</c:v>
                </c:pt>
                <c:pt idx="4">
                  <c:v>78.762</c:v>
                </c:pt>
                <c:pt idx="5">
                  <c:v>21.72</c:v>
                </c:pt>
                <c:pt idx="6">
                  <c:v>69.194000000000003</c:v>
                </c:pt>
                <c:pt idx="7">
                  <c:v>64.739999999999995</c:v>
                </c:pt>
                <c:pt idx="8">
                  <c:v>32.906999999999996</c:v>
                </c:pt>
                <c:pt idx="9">
                  <c:v>61.652000000000001</c:v>
                </c:pt>
                <c:pt idx="10">
                  <c:v>77.257999999999996</c:v>
                </c:pt>
                <c:pt idx="11">
                  <c:v>0</c:v>
                </c:pt>
                <c:pt idx="12">
                  <c:v>0</c:v>
                </c:pt>
                <c:pt idx="13">
                  <c:v>129.06200000000001</c:v>
                </c:pt>
                <c:pt idx="14">
                  <c:v>113.57599999999999</c:v>
                </c:pt>
                <c:pt idx="15">
                  <c:v>50.78</c:v>
                </c:pt>
                <c:pt idx="16">
                  <c:v>101.304</c:v>
                </c:pt>
                <c:pt idx="17">
                  <c:v>72.83</c:v>
                </c:pt>
                <c:pt idx="18">
                  <c:v>24.66</c:v>
                </c:pt>
                <c:pt idx="19">
                  <c:v>13.885999999999999</c:v>
                </c:pt>
                <c:pt idx="20">
                  <c:v>43.576999999999998</c:v>
                </c:pt>
                <c:pt idx="21">
                  <c:v>148.37100000000001</c:v>
                </c:pt>
                <c:pt idx="22">
                  <c:v>0</c:v>
                </c:pt>
                <c:pt idx="23">
                  <c:v>0</c:v>
                </c:pt>
                <c:pt idx="24">
                  <c:v>21.739000000000001</c:v>
                </c:pt>
                <c:pt idx="25">
                  <c:v>5.2679999999999998</c:v>
                </c:pt>
                <c:pt idx="26">
                  <c:v>14.486000000000001</c:v>
                </c:pt>
                <c:pt idx="27">
                  <c:v>1.6870000000000001</c:v>
                </c:pt>
                <c:pt idx="28">
                  <c:v>40.771999999999998</c:v>
                </c:pt>
                <c:pt idx="29">
                  <c:v>7.827</c:v>
                </c:pt>
                <c:pt idx="30">
                  <c:v>42.354999999999997</c:v>
                </c:pt>
                <c:pt idx="31">
                  <c:v>13.43</c:v>
                </c:pt>
                <c:pt idx="32">
                  <c:v>78.86</c:v>
                </c:pt>
                <c:pt idx="33">
                  <c:v>8.2129999999999992</c:v>
                </c:pt>
                <c:pt idx="34">
                  <c:v>10.212999999999999</c:v>
                </c:pt>
                <c:pt idx="35">
                  <c:v>32.731000000000002</c:v>
                </c:pt>
                <c:pt idx="36">
                  <c:v>1.681</c:v>
                </c:pt>
                <c:pt idx="37">
                  <c:v>24.879000000000001</c:v>
                </c:pt>
                <c:pt idx="38">
                  <c:v>3.9940000000000002</c:v>
                </c:pt>
                <c:pt idx="39">
                  <c:v>23.183</c:v>
                </c:pt>
                <c:pt idx="40">
                  <c:v>39.259</c:v>
                </c:pt>
                <c:pt idx="41">
                  <c:v>35.485999999999997</c:v>
                </c:pt>
                <c:pt idx="42">
                  <c:v>30.408999999999999</c:v>
                </c:pt>
                <c:pt idx="43">
                  <c:v>8.4359999999999999</c:v>
                </c:pt>
                <c:pt idx="44">
                  <c:v>12.2</c:v>
                </c:pt>
                <c:pt idx="45">
                  <c:v>13.102</c:v>
                </c:pt>
                <c:pt idx="46">
                  <c:v>16.300999999999998</c:v>
                </c:pt>
                <c:pt idx="47">
                  <c:v>19.98</c:v>
                </c:pt>
                <c:pt idx="48">
                  <c:v>2.9489999999999998</c:v>
                </c:pt>
                <c:pt idx="49">
                  <c:v>49.475999999999999</c:v>
                </c:pt>
                <c:pt idx="50">
                  <c:v>2.306</c:v>
                </c:pt>
                <c:pt idx="51">
                  <c:v>2.2309999999999999</c:v>
                </c:pt>
                <c:pt idx="52">
                  <c:v>0.19400000000000001</c:v>
                </c:pt>
              </c:numCache>
            </c:numRef>
          </c:val>
        </c:ser>
        <c:ser>
          <c:idx val="1"/>
          <c:order val="1"/>
          <c:tx>
            <c:strRef>
              <c:f>'Value Q2 1617'!$AE$7</c:f>
              <c:strCache>
                <c:ptCount val="1"/>
                <c:pt idx="0">
                  <c:v>Commercial Buildings </c:v>
                </c:pt>
              </c:strCache>
            </c:strRef>
          </c:tx>
          <c:spPr>
            <a:solidFill>
              <a:schemeClr val="accent2"/>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1617'!$AE$52:$AE$104</c:f>
              <c:numCache>
                <c:formatCode>_-"$"* #,##0_-;\-"$"* #,##0_-;_-"$"* "-"??_-;_-@_-</c:formatCode>
                <c:ptCount val="53"/>
                <c:pt idx="0">
                  <c:v>0</c:v>
                </c:pt>
                <c:pt idx="1">
                  <c:v>20.175999999999998</c:v>
                </c:pt>
                <c:pt idx="2">
                  <c:v>26.87</c:v>
                </c:pt>
                <c:pt idx="3">
                  <c:v>65.203999999999994</c:v>
                </c:pt>
                <c:pt idx="4">
                  <c:v>23.477</c:v>
                </c:pt>
                <c:pt idx="5">
                  <c:v>9.8450000000000006</c:v>
                </c:pt>
                <c:pt idx="6">
                  <c:v>7.1879999999999997</c:v>
                </c:pt>
                <c:pt idx="7">
                  <c:v>5.8979999999999997</c:v>
                </c:pt>
                <c:pt idx="8">
                  <c:v>1.099</c:v>
                </c:pt>
                <c:pt idx="9">
                  <c:v>17.09</c:v>
                </c:pt>
                <c:pt idx="10">
                  <c:v>18.893999999999998</c:v>
                </c:pt>
                <c:pt idx="11">
                  <c:v>0</c:v>
                </c:pt>
                <c:pt idx="12">
                  <c:v>0</c:v>
                </c:pt>
                <c:pt idx="13">
                  <c:v>5.1440000000000001</c:v>
                </c:pt>
                <c:pt idx="14">
                  <c:v>15.986000000000001</c:v>
                </c:pt>
                <c:pt idx="15">
                  <c:v>0.67100000000000004</c:v>
                </c:pt>
                <c:pt idx="16">
                  <c:v>0.86599999999999999</c:v>
                </c:pt>
                <c:pt idx="17">
                  <c:v>3.6920000000000002</c:v>
                </c:pt>
                <c:pt idx="18">
                  <c:v>0.3</c:v>
                </c:pt>
                <c:pt idx="19">
                  <c:v>0.11</c:v>
                </c:pt>
                <c:pt idx="20">
                  <c:v>2.3250000000000002</c:v>
                </c:pt>
                <c:pt idx="21">
                  <c:v>1.825</c:v>
                </c:pt>
                <c:pt idx="22">
                  <c:v>0</c:v>
                </c:pt>
                <c:pt idx="23">
                  <c:v>0</c:v>
                </c:pt>
                <c:pt idx="24">
                  <c:v>0.95899999999999996</c:v>
                </c:pt>
                <c:pt idx="25">
                  <c:v>2.4969999999999999</c:v>
                </c:pt>
                <c:pt idx="26">
                  <c:v>0.27200000000000002</c:v>
                </c:pt>
                <c:pt idx="27">
                  <c:v>0</c:v>
                </c:pt>
                <c:pt idx="28">
                  <c:v>1.7250000000000001</c:v>
                </c:pt>
                <c:pt idx="29">
                  <c:v>0.15</c:v>
                </c:pt>
                <c:pt idx="30">
                  <c:v>19.745000000000001</c:v>
                </c:pt>
                <c:pt idx="31">
                  <c:v>0.83199999999999996</c:v>
                </c:pt>
                <c:pt idx="32">
                  <c:v>3.2349999999999999</c:v>
                </c:pt>
                <c:pt idx="33">
                  <c:v>0.42699999999999999</c:v>
                </c:pt>
                <c:pt idx="34">
                  <c:v>1.1639999999999999</c:v>
                </c:pt>
                <c:pt idx="35">
                  <c:v>0.65</c:v>
                </c:pt>
                <c:pt idx="36">
                  <c:v>0</c:v>
                </c:pt>
                <c:pt idx="37">
                  <c:v>0.185</c:v>
                </c:pt>
                <c:pt idx="38">
                  <c:v>0.15</c:v>
                </c:pt>
                <c:pt idx="39">
                  <c:v>7.5999999999999998E-2</c:v>
                </c:pt>
                <c:pt idx="40">
                  <c:v>2.3490000000000002</c:v>
                </c:pt>
                <c:pt idx="41">
                  <c:v>0.28999999999999998</c:v>
                </c:pt>
                <c:pt idx="42">
                  <c:v>3.4260000000000002</c:v>
                </c:pt>
                <c:pt idx="43">
                  <c:v>0.36599999999999999</c:v>
                </c:pt>
                <c:pt idx="44">
                  <c:v>0.35299999999999998</c:v>
                </c:pt>
                <c:pt idx="45">
                  <c:v>2.3460000000000001</c:v>
                </c:pt>
                <c:pt idx="46">
                  <c:v>0.6</c:v>
                </c:pt>
                <c:pt idx="47">
                  <c:v>2.552</c:v>
                </c:pt>
                <c:pt idx="48">
                  <c:v>1.534</c:v>
                </c:pt>
                <c:pt idx="49">
                  <c:v>1.889</c:v>
                </c:pt>
                <c:pt idx="50">
                  <c:v>0</c:v>
                </c:pt>
                <c:pt idx="51">
                  <c:v>0.26</c:v>
                </c:pt>
                <c:pt idx="52">
                  <c:v>0.17199999999999999</c:v>
                </c:pt>
              </c:numCache>
            </c:numRef>
          </c:val>
        </c:ser>
        <c:ser>
          <c:idx val="2"/>
          <c:order val="2"/>
          <c:tx>
            <c:strRef>
              <c:f>'Value Q2 1617'!$AF$7</c:f>
              <c:strCache>
                <c:ptCount val="1"/>
                <c:pt idx="0">
                  <c:v>Industrial Buildings</c:v>
                </c:pt>
              </c:strCache>
            </c:strRef>
          </c:tx>
          <c:spPr>
            <a:solidFill>
              <a:schemeClr val="accent3"/>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1617'!$AF$52:$AF$104</c:f>
              <c:numCache>
                <c:formatCode>_-"$"* #,##0_-;\-"$"* #,##0_-;_-"$"* "-"??_-;_-@_-</c:formatCode>
                <c:ptCount val="53"/>
                <c:pt idx="0">
                  <c:v>0</c:v>
                </c:pt>
                <c:pt idx="1">
                  <c:v>11.585000000000001</c:v>
                </c:pt>
                <c:pt idx="2">
                  <c:v>19.387</c:v>
                </c:pt>
                <c:pt idx="3">
                  <c:v>27.946999999999999</c:v>
                </c:pt>
                <c:pt idx="4">
                  <c:v>11.554</c:v>
                </c:pt>
                <c:pt idx="5">
                  <c:v>1.01</c:v>
                </c:pt>
                <c:pt idx="6">
                  <c:v>2.73</c:v>
                </c:pt>
                <c:pt idx="7">
                  <c:v>8.2050000000000001</c:v>
                </c:pt>
                <c:pt idx="8">
                  <c:v>1.831</c:v>
                </c:pt>
                <c:pt idx="9">
                  <c:v>0.64700000000000002</c:v>
                </c:pt>
                <c:pt idx="10">
                  <c:v>6.2130000000000001</c:v>
                </c:pt>
                <c:pt idx="11">
                  <c:v>0</c:v>
                </c:pt>
                <c:pt idx="12">
                  <c:v>0</c:v>
                </c:pt>
                <c:pt idx="13">
                  <c:v>0.496</c:v>
                </c:pt>
                <c:pt idx="14">
                  <c:v>4.9930000000000003</c:v>
                </c:pt>
                <c:pt idx="15">
                  <c:v>1.8620000000000001</c:v>
                </c:pt>
                <c:pt idx="16">
                  <c:v>4.3529999999999998</c:v>
                </c:pt>
                <c:pt idx="17">
                  <c:v>2.3660000000000001</c:v>
                </c:pt>
                <c:pt idx="18">
                  <c:v>1.9690000000000001</c:v>
                </c:pt>
                <c:pt idx="19">
                  <c:v>0</c:v>
                </c:pt>
                <c:pt idx="20">
                  <c:v>2.145</c:v>
                </c:pt>
                <c:pt idx="21">
                  <c:v>3.871</c:v>
                </c:pt>
                <c:pt idx="22">
                  <c:v>0</c:v>
                </c:pt>
                <c:pt idx="23">
                  <c:v>0</c:v>
                </c:pt>
                <c:pt idx="24">
                  <c:v>1.103</c:v>
                </c:pt>
                <c:pt idx="25">
                  <c:v>1.5409999999999999</c:v>
                </c:pt>
                <c:pt idx="26">
                  <c:v>1.2509999999999999</c:v>
                </c:pt>
                <c:pt idx="27">
                  <c:v>0.46200000000000002</c:v>
                </c:pt>
                <c:pt idx="28">
                  <c:v>18.945</c:v>
                </c:pt>
                <c:pt idx="29">
                  <c:v>1.4810000000000001</c:v>
                </c:pt>
                <c:pt idx="30">
                  <c:v>3.008</c:v>
                </c:pt>
                <c:pt idx="31">
                  <c:v>5.5170000000000003</c:v>
                </c:pt>
                <c:pt idx="32">
                  <c:v>2.4660000000000002</c:v>
                </c:pt>
                <c:pt idx="33">
                  <c:v>0.96199999999999997</c:v>
                </c:pt>
                <c:pt idx="34">
                  <c:v>1.226</c:v>
                </c:pt>
                <c:pt idx="35">
                  <c:v>4.7320000000000002</c:v>
                </c:pt>
                <c:pt idx="36">
                  <c:v>1.998</c:v>
                </c:pt>
                <c:pt idx="37">
                  <c:v>0.54100000000000004</c:v>
                </c:pt>
                <c:pt idx="38">
                  <c:v>6.7229999999999999</c:v>
                </c:pt>
                <c:pt idx="39">
                  <c:v>0.23300000000000001</c:v>
                </c:pt>
                <c:pt idx="40">
                  <c:v>20.809000000000001</c:v>
                </c:pt>
                <c:pt idx="41">
                  <c:v>0.64200000000000002</c:v>
                </c:pt>
                <c:pt idx="42">
                  <c:v>4.4710000000000001</c:v>
                </c:pt>
                <c:pt idx="43">
                  <c:v>71.798000000000002</c:v>
                </c:pt>
                <c:pt idx="44">
                  <c:v>0.80600000000000005</c:v>
                </c:pt>
                <c:pt idx="45">
                  <c:v>1.109</c:v>
                </c:pt>
                <c:pt idx="46">
                  <c:v>1.0469999999999999</c:v>
                </c:pt>
                <c:pt idx="47">
                  <c:v>7.3540000000000001</c:v>
                </c:pt>
                <c:pt idx="48">
                  <c:v>0.246</c:v>
                </c:pt>
                <c:pt idx="49">
                  <c:v>3.14</c:v>
                </c:pt>
                <c:pt idx="50">
                  <c:v>0.25600000000000001</c:v>
                </c:pt>
                <c:pt idx="51">
                  <c:v>0.95099999999999996</c:v>
                </c:pt>
                <c:pt idx="52">
                  <c:v>0</c:v>
                </c:pt>
              </c:numCache>
            </c:numRef>
          </c:val>
        </c:ser>
        <c:ser>
          <c:idx val="3"/>
          <c:order val="3"/>
          <c:tx>
            <c:strRef>
              <c:f>'Value Q2 1617'!$AG$7</c:f>
              <c:strCache>
                <c:ptCount val="1"/>
                <c:pt idx="0">
                  <c:v>Other Non-residential</c:v>
                </c:pt>
              </c:strCache>
            </c:strRef>
          </c:tx>
          <c:spPr>
            <a:solidFill>
              <a:schemeClr val="accent4"/>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1617'!$AG$52:$AG$104</c:f>
              <c:numCache>
                <c:formatCode>_-"$"* #,##0_-;\-"$"* #,##0_-;_-"$"* "-"??_-;_-@_-</c:formatCode>
                <c:ptCount val="53"/>
                <c:pt idx="0">
                  <c:v>0</c:v>
                </c:pt>
                <c:pt idx="1">
                  <c:v>91.951999999999998</c:v>
                </c:pt>
                <c:pt idx="2">
                  <c:v>56.491999999999997</c:v>
                </c:pt>
                <c:pt idx="3">
                  <c:v>214.37200000000001</c:v>
                </c:pt>
                <c:pt idx="4">
                  <c:v>26.481999999999999</c:v>
                </c:pt>
                <c:pt idx="5">
                  <c:v>21.338999999999999</c:v>
                </c:pt>
                <c:pt idx="6">
                  <c:v>11.458</c:v>
                </c:pt>
                <c:pt idx="7">
                  <c:v>12.026999999999999</c:v>
                </c:pt>
                <c:pt idx="8">
                  <c:v>7.2439999999999998</c:v>
                </c:pt>
                <c:pt idx="9">
                  <c:v>9.6720000000000006</c:v>
                </c:pt>
                <c:pt idx="10">
                  <c:v>4.8630000000000004</c:v>
                </c:pt>
                <c:pt idx="11">
                  <c:v>0</c:v>
                </c:pt>
                <c:pt idx="12">
                  <c:v>0</c:v>
                </c:pt>
                <c:pt idx="13">
                  <c:v>11.702999999999999</c:v>
                </c:pt>
                <c:pt idx="14">
                  <c:v>8.7469999999999999</c:v>
                </c:pt>
                <c:pt idx="15">
                  <c:v>50.381</c:v>
                </c:pt>
                <c:pt idx="16">
                  <c:v>25.991</c:v>
                </c:pt>
                <c:pt idx="17">
                  <c:v>4.0910000000000002</c:v>
                </c:pt>
                <c:pt idx="18">
                  <c:v>3.629</c:v>
                </c:pt>
                <c:pt idx="19">
                  <c:v>5.0999999999999996</c:v>
                </c:pt>
                <c:pt idx="20">
                  <c:v>10.531000000000001</c:v>
                </c:pt>
                <c:pt idx="21">
                  <c:v>35.82</c:v>
                </c:pt>
                <c:pt idx="22">
                  <c:v>0</c:v>
                </c:pt>
                <c:pt idx="23">
                  <c:v>0</c:v>
                </c:pt>
                <c:pt idx="24">
                  <c:v>3.6059999999999999</c:v>
                </c:pt>
                <c:pt idx="25">
                  <c:v>3.407</c:v>
                </c:pt>
                <c:pt idx="26">
                  <c:v>1.0449999999999999</c:v>
                </c:pt>
                <c:pt idx="27">
                  <c:v>4.657</c:v>
                </c:pt>
                <c:pt idx="28">
                  <c:v>12.667999999999999</c:v>
                </c:pt>
                <c:pt idx="29">
                  <c:v>0.13100000000000001</c:v>
                </c:pt>
                <c:pt idx="30">
                  <c:v>8.2729999999999997</c:v>
                </c:pt>
                <c:pt idx="31">
                  <c:v>8.7629999999999999</c:v>
                </c:pt>
                <c:pt idx="32">
                  <c:v>5.4450000000000003</c:v>
                </c:pt>
                <c:pt idx="33">
                  <c:v>4.4329999999999998</c:v>
                </c:pt>
                <c:pt idx="34">
                  <c:v>2.7280000000000002</c:v>
                </c:pt>
                <c:pt idx="35">
                  <c:v>9.577</c:v>
                </c:pt>
                <c:pt idx="36">
                  <c:v>0</c:v>
                </c:pt>
                <c:pt idx="37">
                  <c:v>0.81100000000000005</c:v>
                </c:pt>
                <c:pt idx="38">
                  <c:v>2.121</c:v>
                </c:pt>
                <c:pt idx="39">
                  <c:v>3.1339999999999999</c:v>
                </c:pt>
                <c:pt idx="40">
                  <c:v>7.62</c:v>
                </c:pt>
                <c:pt idx="41">
                  <c:v>0.63600000000000001</c:v>
                </c:pt>
                <c:pt idx="42">
                  <c:v>2.9590000000000001</c:v>
                </c:pt>
                <c:pt idx="43">
                  <c:v>0.18099999999999999</c:v>
                </c:pt>
                <c:pt idx="44">
                  <c:v>2.4239999999999999</c:v>
                </c:pt>
                <c:pt idx="45">
                  <c:v>2.7629999999999999</c:v>
                </c:pt>
                <c:pt idx="46">
                  <c:v>18.579000000000001</c:v>
                </c:pt>
                <c:pt idx="47">
                  <c:v>3.089</c:v>
                </c:pt>
                <c:pt idx="48">
                  <c:v>0.2</c:v>
                </c:pt>
                <c:pt idx="49">
                  <c:v>35.893000000000001</c:v>
                </c:pt>
                <c:pt idx="50">
                  <c:v>1.6419999999999999</c:v>
                </c:pt>
                <c:pt idx="51">
                  <c:v>0.42499999999999999</c:v>
                </c:pt>
                <c:pt idx="52">
                  <c:v>15.028</c:v>
                </c:pt>
              </c:numCache>
            </c:numRef>
          </c:val>
        </c:ser>
        <c:dLbls>
          <c:showLegendKey val="0"/>
          <c:showVal val="0"/>
          <c:showCatName val="0"/>
          <c:showSerName val="0"/>
          <c:showPercent val="0"/>
          <c:showBubbleSize val="0"/>
        </c:dLbls>
        <c:gapWidth val="30"/>
        <c:overlap val="100"/>
        <c:axId val="203503424"/>
        <c:axId val="203503984"/>
      </c:barChart>
      <c:catAx>
        <c:axId val="203503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03984"/>
        <c:crosses val="autoZero"/>
        <c:auto val="1"/>
        <c:lblAlgn val="ctr"/>
        <c:lblOffset val="100"/>
        <c:noMultiLvlLbl val="0"/>
      </c:catAx>
      <c:valAx>
        <c:axId val="20350398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03424"/>
        <c:crosses val="autoZero"/>
        <c:crossBetween val="between"/>
      </c:valAx>
      <c:spPr>
        <a:noFill/>
        <a:ln>
          <a:noFill/>
        </a:ln>
        <a:effectLst/>
      </c:spPr>
    </c:plotArea>
    <c:legend>
      <c:legendPos val="b"/>
      <c:layout>
        <c:manualLayout>
          <c:xMode val="edge"/>
          <c:yMode val="edge"/>
          <c:x val="0.59005242022571436"/>
          <c:y val="0"/>
          <c:w val="0.40799371835842696"/>
          <c:h val="6.63193695394240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Commerical </a:t>
            </a:r>
          </a:p>
          <a:p>
            <a:pPr algn="l">
              <a:defRPr/>
            </a:pPr>
            <a:r>
              <a:rPr lang="en-AU" baseline="0"/>
              <a:t>Metropolitan Melbourne </a:t>
            </a:r>
          </a:p>
          <a:p>
            <a:pPr algn="l">
              <a:defRPr/>
            </a:pPr>
            <a:r>
              <a:rPr lang="en-AU" sz="1400" b="0" i="0" u="none" strike="noStrike" baseline="0">
                <a:effectLst/>
              </a:rPr>
              <a:t>First 9 months of 2016-17</a:t>
            </a: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6076970747246339"/>
          <c:w val="0.73539170574389501"/>
          <c:h val="0.8256362586086996"/>
        </c:manualLayout>
      </c:layout>
      <c:barChart>
        <c:barDir val="bar"/>
        <c:grouping val="stacked"/>
        <c:varyColors val="0"/>
        <c:ser>
          <c:idx val="0"/>
          <c:order val="0"/>
          <c:tx>
            <c:strRef>
              <c:f>'Value Q2 1617'!$AS$7</c:f>
              <c:strCache>
                <c:ptCount val="1"/>
                <c:pt idx="0">
                  <c:v>Retail and wholesale trade buildings</c:v>
                </c:pt>
              </c:strCache>
            </c:strRef>
          </c:tx>
          <c:spPr>
            <a:solidFill>
              <a:schemeClr val="accent2"/>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1617'!$AS$8:$AS$51</c:f>
              <c:numCache>
                <c:formatCode>_-"$"* #,##0_-;\-"$"* #,##0_-;_-"$"* "-"??_-;_-@_-</c:formatCode>
                <c:ptCount val="44"/>
                <c:pt idx="1">
                  <c:v>154.72900000000001</c:v>
                </c:pt>
                <c:pt idx="2">
                  <c:v>10.727</c:v>
                </c:pt>
                <c:pt idx="3">
                  <c:v>17.841999999999999</c:v>
                </c:pt>
                <c:pt idx="4">
                  <c:v>0</c:v>
                </c:pt>
                <c:pt idx="5">
                  <c:v>0</c:v>
                </c:pt>
                <c:pt idx="6">
                  <c:v>7.125</c:v>
                </c:pt>
                <c:pt idx="7">
                  <c:v>13.96</c:v>
                </c:pt>
                <c:pt idx="8">
                  <c:v>28.849</c:v>
                </c:pt>
                <c:pt idx="9">
                  <c:v>52.48</c:v>
                </c:pt>
                <c:pt idx="10">
                  <c:v>10.478999999999999</c:v>
                </c:pt>
                <c:pt idx="11">
                  <c:v>15.311999999999999</c:v>
                </c:pt>
                <c:pt idx="14">
                  <c:v>3.2210000000000001</c:v>
                </c:pt>
                <c:pt idx="15">
                  <c:v>13</c:v>
                </c:pt>
                <c:pt idx="16">
                  <c:v>4.351</c:v>
                </c:pt>
                <c:pt idx="17">
                  <c:v>105.985</c:v>
                </c:pt>
                <c:pt idx="19">
                  <c:v>0</c:v>
                </c:pt>
                <c:pt idx="20">
                  <c:v>8.875</c:v>
                </c:pt>
                <c:pt idx="21">
                  <c:v>14.834</c:v>
                </c:pt>
                <c:pt idx="22">
                  <c:v>38.686</c:v>
                </c:pt>
                <c:pt idx="23">
                  <c:v>2.7450000000000001</c:v>
                </c:pt>
                <c:pt idx="24">
                  <c:v>4.1420000000000003</c:v>
                </c:pt>
                <c:pt idx="25">
                  <c:v>2.1709999999999998</c:v>
                </c:pt>
                <c:pt idx="26">
                  <c:v>95.772000000000006</c:v>
                </c:pt>
                <c:pt idx="27">
                  <c:v>0</c:v>
                </c:pt>
                <c:pt idx="28">
                  <c:v>0</c:v>
                </c:pt>
                <c:pt idx="29">
                  <c:v>3.7349999999999999</c:v>
                </c:pt>
                <c:pt idx="30">
                  <c:v>33.104999999999997</c:v>
                </c:pt>
                <c:pt idx="31">
                  <c:v>8.3140000000000001</c:v>
                </c:pt>
                <c:pt idx="32">
                  <c:v>24.026</c:v>
                </c:pt>
                <c:pt idx="33">
                  <c:v>25.119</c:v>
                </c:pt>
                <c:pt idx="34">
                  <c:v>9.1890000000000001</c:v>
                </c:pt>
                <c:pt idx="35">
                  <c:v>0</c:v>
                </c:pt>
                <c:pt idx="36">
                  <c:v>0</c:v>
                </c:pt>
                <c:pt idx="37">
                  <c:v>20.283000000000001</c:v>
                </c:pt>
                <c:pt idx="38">
                  <c:v>1.462</c:v>
                </c:pt>
                <c:pt idx="39">
                  <c:v>13.348000000000001</c:v>
                </c:pt>
                <c:pt idx="40">
                  <c:v>6.5860000000000003</c:v>
                </c:pt>
                <c:pt idx="41">
                  <c:v>9.9849999999999994</c:v>
                </c:pt>
                <c:pt idx="42">
                  <c:v>96.956000000000003</c:v>
                </c:pt>
                <c:pt idx="43">
                  <c:v>0</c:v>
                </c:pt>
              </c:numCache>
            </c:numRef>
          </c:val>
        </c:ser>
        <c:ser>
          <c:idx val="1"/>
          <c:order val="1"/>
          <c:tx>
            <c:strRef>
              <c:f>'Value Q2 1617'!$AT$7</c:f>
              <c:strCache>
                <c:ptCount val="1"/>
                <c:pt idx="0">
                  <c:v>Transport buildings</c:v>
                </c:pt>
              </c:strCache>
            </c:strRef>
          </c:tx>
          <c:spPr>
            <a:solidFill>
              <a:schemeClr val="accent4"/>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1617'!$AT$8:$AT$51</c:f>
              <c:numCache>
                <c:formatCode>_-"$"* #,##0_-;\-"$"* #,##0_-;_-"$"* "-"??_-;_-@_-</c:formatCode>
                <c:ptCount val="44"/>
                <c:pt idx="1">
                  <c:v>10.682</c:v>
                </c:pt>
                <c:pt idx="2">
                  <c:v>0</c:v>
                </c:pt>
                <c:pt idx="3">
                  <c:v>0</c:v>
                </c:pt>
                <c:pt idx="4">
                  <c:v>0</c:v>
                </c:pt>
                <c:pt idx="5">
                  <c:v>0</c:v>
                </c:pt>
                <c:pt idx="6">
                  <c:v>0</c:v>
                </c:pt>
                <c:pt idx="7">
                  <c:v>0</c:v>
                </c:pt>
                <c:pt idx="8">
                  <c:v>0</c:v>
                </c:pt>
                <c:pt idx="9">
                  <c:v>36.645000000000003</c:v>
                </c:pt>
                <c:pt idx="10">
                  <c:v>0</c:v>
                </c:pt>
                <c:pt idx="11">
                  <c:v>0.33200000000000002</c:v>
                </c:pt>
                <c:pt idx="14">
                  <c:v>0</c:v>
                </c:pt>
                <c:pt idx="15">
                  <c:v>0</c:v>
                </c:pt>
                <c:pt idx="16">
                  <c:v>60.945999999999998</c:v>
                </c:pt>
                <c:pt idx="17">
                  <c:v>0.17699999999999999</c:v>
                </c:pt>
                <c:pt idx="19">
                  <c:v>0</c:v>
                </c:pt>
                <c:pt idx="20">
                  <c:v>10.247999999999999</c:v>
                </c:pt>
                <c:pt idx="21">
                  <c:v>0</c:v>
                </c:pt>
                <c:pt idx="22">
                  <c:v>74.042000000000002</c:v>
                </c:pt>
                <c:pt idx="23">
                  <c:v>0</c:v>
                </c:pt>
                <c:pt idx="24">
                  <c:v>0</c:v>
                </c:pt>
                <c:pt idx="25">
                  <c:v>0</c:v>
                </c:pt>
                <c:pt idx="26">
                  <c:v>0</c:v>
                </c:pt>
                <c:pt idx="27">
                  <c:v>0</c:v>
                </c:pt>
                <c:pt idx="28">
                  <c:v>0</c:v>
                </c:pt>
                <c:pt idx="29">
                  <c:v>0</c:v>
                </c:pt>
                <c:pt idx="30">
                  <c:v>0</c:v>
                </c:pt>
                <c:pt idx="31">
                  <c:v>15.75</c:v>
                </c:pt>
                <c:pt idx="32">
                  <c:v>30.062999999999999</c:v>
                </c:pt>
                <c:pt idx="33">
                  <c:v>0</c:v>
                </c:pt>
                <c:pt idx="34">
                  <c:v>0</c:v>
                </c:pt>
                <c:pt idx="35">
                  <c:v>0</c:v>
                </c:pt>
                <c:pt idx="36">
                  <c:v>0</c:v>
                </c:pt>
                <c:pt idx="37">
                  <c:v>1.02</c:v>
                </c:pt>
                <c:pt idx="38">
                  <c:v>0.27</c:v>
                </c:pt>
                <c:pt idx="39">
                  <c:v>0</c:v>
                </c:pt>
                <c:pt idx="40">
                  <c:v>5.4610000000000003</c:v>
                </c:pt>
                <c:pt idx="41">
                  <c:v>0</c:v>
                </c:pt>
                <c:pt idx="42">
                  <c:v>8.1910000000000007</c:v>
                </c:pt>
                <c:pt idx="43">
                  <c:v>0</c:v>
                </c:pt>
              </c:numCache>
            </c:numRef>
          </c:val>
        </c:ser>
        <c:ser>
          <c:idx val="2"/>
          <c:order val="2"/>
          <c:tx>
            <c:strRef>
              <c:f>'Value Q2 1617'!$AU$7</c:f>
              <c:strCache>
                <c:ptCount val="1"/>
                <c:pt idx="0">
                  <c:v>Offices</c:v>
                </c:pt>
              </c:strCache>
            </c:strRef>
          </c:tx>
          <c:spPr>
            <a:solidFill>
              <a:schemeClr val="accent6"/>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1617'!$AU$8:$AU$51</c:f>
              <c:numCache>
                <c:formatCode>_-"$"* #,##0_-;\-"$"* #,##0_-;_-"$"* "-"??_-;_-@_-</c:formatCode>
                <c:ptCount val="44"/>
                <c:pt idx="1">
                  <c:v>1247.4380000000001</c:v>
                </c:pt>
                <c:pt idx="2">
                  <c:v>30.411000000000001</c:v>
                </c:pt>
                <c:pt idx="3">
                  <c:v>46.898000000000003</c:v>
                </c:pt>
                <c:pt idx="4">
                  <c:v>0</c:v>
                </c:pt>
                <c:pt idx="5">
                  <c:v>0</c:v>
                </c:pt>
                <c:pt idx="6">
                  <c:v>5.7069999999999999</c:v>
                </c:pt>
                <c:pt idx="7">
                  <c:v>1.413</c:v>
                </c:pt>
                <c:pt idx="8">
                  <c:v>0.89800000000000002</c:v>
                </c:pt>
                <c:pt idx="9">
                  <c:v>54.625999999999998</c:v>
                </c:pt>
                <c:pt idx="10">
                  <c:v>11.590999999999999</c:v>
                </c:pt>
                <c:pt idx="11">
                  <c:v>0.65</c:v>
                </c:pt>
                <c:pt idx="14">
                  <c:v>0.49199999999999999</c:v>
                </c:pt>
                <c:pt idx="15">
                  <c:v>20.745999999999999</c:v>
                </c:pt>
                <c:pt idx="16">
                  <c:v>45.874000000000002</c:v>
                </c:pt>
                <c:pt idx="17">
                  <c:v>24.785</c:v>
                </c:pt>
                <c:pt idx="19">
                  <c:v>0</c:v>
                </c:pt>
                <c:pt idx="20">
                  <c:v>2.613</c:v>
                </c:pt>
                <c:pt idx="21">
                  <c:v>8.6869999999999994</c:v>
                </c:pt>
                <c:pt idx="22">
                  <c:v>18.225999999999999</c:v>
                </c:pt>
                <c:pt idx="23">
                  <c:v>0.17100000000000001</c:v>
                </c:pt>
                <c:pt idx="24">
                  <c:v>3.7450000000000001</c:v>
                </c:pt>
                <c:pt idx="25">
                  <c:v>0.78100000000000003</c:v>
                </c:pt>
                <c:pt idx="26">
                  <c:v>18.006</c:v>
                </c:pt>
                <c:pt idx="27">
                  <c:v>0</c:v>
                </c:pt>
                <c:pt idx="28">
                  <c:v>0</c:v>
                </c:pt>
                <c:pt idx="29">
                  <c:v>4.6500000000000004</c:v>
                </c:pt>
                <c:pt idx="30">
                  <c:v>3.8220000000000001</c:v>
                </c:pt>
                <c:pt idx="31">
                  <c:v>2.2829999999999999</c:v>
                </c:pt>
                <c:pt idx="32">
                  <c:v>5.9409999999999998</c:v>
                </c:pt>
                <c:pt idx="33">
                  <c:v>25.745999999999999</c:v>
                </c:pt>
                <c:pt idx="34">
                  <c:v>4.79</c:v>
                </c:pt>
                <c:pt idx="35">
                  <c:v>0</c:v>
                </c:pt>
                <c:pt idx="36">
                  <c:v>0</c:v>
                </c:pt>
                <c:pt idx="37">
                  <c:v>89.111000000000004</c:v>
                </c:pt>
                <c:pt idx="38">
                  <c:v>7.7830000000000004</c:v>
                </c:pt>
                <c:pt idx="39">
                  <c:v>2.7440000000000002</c:v>
                </c:pt>
                <c:pt idx="40">
                  <c:v>1.079</c:v>
                </c:pt>
                <c:pt idx="41">
                  <c:v>7.4329999999999998</c:v>
                </c:pt>
                <c:pt idx="42">
                  <c:v>30.007999999999999</c:v>
                </c:pt>
                <c:pt idx="43">
                  <c:v>0</c:v>
                </c:pt>
              </c:numCache>
            </c:numRef>
          </c:val>
        </c:ser>
        <c:ser>
          <c:idx val="3"/>
          <c:order val="3"/>
          <c:tx>
            <c:strRef>
              <c:f>'Value Q2 1617'!$AV$7</c:f>
              <c:strCache>
                <c:ptCount val="1"/>
                <c:pt idx="0">
                  <c:v>Other Commercial buildings </c:v>
                </c:pt>
              </c:strCache>
            </c:strRef>
          </c:tx>
          <c:spPr>
            <a:solidFill>
              <a:schemeClr val="accent2">
                <a:lumMod val="60000"/>
              </a:schemeClr>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1617'!$AV$8:$AV$51</c:f>
              <c:numCache>
                <c:formatCode>_-"$"* #,##0_-;\-"$"* #,##0_-;_-"$"* "-"??_-;_-@_-</c:formatCode>
                <c:ptCount val="44"/>
                <c:pt idx="1">
                  <c:v>0.2</c:v>
                </c:pt>
                <c:pt idx="2">
                  <c:v>0</c:v>
                </c:pt>
                <c:pt idx="3">
                  <c:v>0</c:v>
                </c:pt>
                <c:pt idx="4">
                  <c:v>0</c:v>
                </c:pt>
                <c:pt idx="5">
                  <c:v>0</c:v>
                </c:pt>
                <c:pt idx="6">
                  <c:v>0.39</c:v>
                </c:pt>
                <c:pt idx="7">
                  <c:v>0.25</c:v>
                </c:pt>
                <c:pt idx="8">
                  <c:v>3.4969999999999999</c:v>
                </c:pt>
                <c:pt idx="9">
                  <c:v>0</c:v>
                </c:pt>
                <c:pt idx="10">
                  <c:v>0</c:v>
                </c:pt>
                <c:pt idx="11">
                  <c:v>2.7429999999999999</c:v>
                </c:pt>
                <c:pt idx="14">
                  <c:v>10</c:v>
                </c:pt>
                <c:pt idx="15">
                  <c:v>0.222</c:v>
                </c:pt>
                <c:pt idx="16">
                  <c:v>0</c:v>
                </c:pt>
                <c:pt idx="17">
                  <c:v>0.36</c:v>
                </c:pt>
                <c:pt idx="19">
                  <c:v>0</c:v>
                </c:pt>
                <c:pt idx="20">
                  <c:v>7.3220000000000001</c:v>
                </c:pt>
                <c:pt idx="21">
                  <c:v>0.35499999999999998</c:v>
                </c:pt>
                <c:pt idx="22">
                  <c:v>1.4810000000000001</c:v>
                </c:pt>
                <c:pt idx="23">
                  <c:v>0</c:v>
                </c:pt>
                <c:pt idx="24">
                  <c:v>0</c:v>
                </c:pt>
                <c:pt idx="25">
                  <c:v>0</c:v>
                </c:pt>
                <c:pt idx="26">
                  <c:v>1.8540000000000001</c:v>
                </c:pt>
                <c:pt idx="27">
                  <c:v>0</c:v>
                </c:pt>
                <c:pt idx="28">
                  <c:v>0</c:v>
                </c:pt>
                <c:pt idx="29">
                  <c:v>0.151</c:v>
                </c:pt>
                <c:pt idx="30">
                  <c:v>0.105</c:v>
                </c:pt>
                <c:pt idx="31">
                  <c:v>0</c:v>
                </c:pt>
                <c:pt idx="32">
                  <c:v>0</c:v>
                </c:pt>
                <c:pt idx="33">
                  <c:v>0.61899999999999999</c:v>
                </c:pt>
                <c:pt idx="34">
                  <c:v>0.9</c:v>
                </c:pt>
                <c:pt idx="35">
                  <c:v>0</c:v>
                </c:pt>
                <c:pt idx="36">
                  <c:v>0</c:v>
                </c:pt>
                <c:pt idx="37">
                  <c:v>0.3</c:v>
                </c:pt>
                <c:pt idx="38">
                  <c:v>5.2549999999999999</c:v>
                </c:pt>
                <c:pt idx="39">
                  <c:v>0</c:v>
                </c:pt>
                <c:pt idx="40">
                  <c:v>0.158</c:v>
                </c:pt>
                <c:pt idx="41">
                  <c:v>0</c:v>
                </c:pt>
                <c:pt idx="42">
                  <c:v>24.91</c:v>
                </c:pt>
                <c:pt idx="43">
                  <c:v>0</c:v>
                </c:pt>
              </c:numCache>
            </c:numRef>
          </c:val>
        </c:ser>
        <c:dLbls>
          <c:showLegendKey val="0"/>
          <c:showVal val="0"/>
          <c:showCatName val="0"/>
          <c:showSerName val="0"/>
          <c:showPercent val="0"/>
          <c:showBubbleSize val="0"/>
        </c:dLbls>
        <c:gapWidth val="30"/>
        <c:overlap val="100"/>
        <c:axId val="204009776"/>
        <c:axId val="204010336"/>
      </c:barChart>
      <c:catAx>
        <c:axId val="204009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10336"/>
        <c:crosses val="autoZero"/>
        <c:auto val="1"/>
        <c:lblAlgn val="ctr"/>
        <c:lblOffset val="100"/>
        <c:noMultiLvlLbl val="0"/>
      </c:catAx>
      <c:valAx>
        <c:axId val="20401033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09776"/>
        <c:crosses val="autoZero"/>
        <c:crossBetween val="between"/>
      </c:valAx>
      <c:spPr>
        <a:noFill/>
        <a:ln>
          <a:noFill/>
        </a:ln>
        <a:effectLst/>
      </c:spPr>
    </c:plotArea>
    <c:legend>
      <c:legendPos val="b"/>
      <c:layout>
        <c:manualLayout>
          <c:xMode val="edge"/>
          <c:yMode val="edge"/>
          <c:x val="0.59005242022571436"/>
          <c:y val="0"/>
          <c:w val="0.40799371835842696"/>
          <c:h val="9.77121048971442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Commerical </a:t>
            </a:r>
          </a:p>
          <a:p>
            <a:pPr algn="l">
              <a:defRPr/>
            </a:pPr>
            <a:r>
              <a:rPr lang="en-AU" sz="1400" baseline="0"/>
              <a:t>Regional Victoria</a:t>
            </a:r>
          </a:p>
          <a:p>
            <a:pPr algn="l">
              <a:defRPr/>
            </a:pPr>
            <a:r>
              <a:rPr lang="en-AU" sz="1400" b="0" i="0" u="none" strike="noStrike" baseline="0">
                <a:effectLst/>
              </a:rPr>
              <a:t>First 9 months of 2016-17</a:t>
            </a: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200823355984609"/>
          <c:y val="0.13675435743442732"/>
          <c:w val="0.6965226692553842"/>
          <c:h val="0.84965168258866774"/>
        </c:manualLayout>
      </c:layout>
      <c:barChart>
        <c:barDir val="bar"/>
        <c:grouping val="stacked"/>
        <c:varyColors val="0"/>
        <c:ser>
          <c:idx val="0"/>
          <c:order val="0"/>
          <c:tx>
            <c:strRef>
              <c:f>'Value Q2 1617'!$AS$7</c:f>
              <c:strCache>
                <c:ptCount val="1"/>
                <c:pt idx="0">
                  <c:v>Retail and wholesale trade buildings</c:v>
                </c:pt>
              </c:strCache>
            </c:strRef>
          </c:tx>
          <c:spPr>
            <a:solidFill>
              <a:schemeClr val="accent2"/>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1617'!$AS$52:$AS$104</c:f>
              <c:numCache>
                <c:formatCode>_-"$"* #,##0_-;\-"$"* #,##0_-;_-"$"* "-"??_-;_-@_-</c:formatCode>
                <c:ptCount val="53"/>
                <c:pt idx="0">
                  <c:v>0</c:v>
                </c:pt>
                <c:pt idx="1">
                  <c:v>6.8559999999999999</c:v>
                </c:pt>
                <c:pt idx="2">
                  <c:v>18.13</c:v>
                </c:pt>
                <c:pt idx="3">
                  <c:v>48.253</c:v>
                </c:pt>
                <c:pt idx="4">
                  <c:v>19.198</c:v>
                </c:pt>
                <c:pt idx="5">
                  <c:v>1.38</c:v>
                </c:pt>
                <c:pt idx="6">
                  <c:v>3.8530000000000002</c:v>
                </c:pt>
                <c:pt idx="7">
                  <c:v>3.1280000000000001</c:v>
                </c:pt>
                <c:pt idx="8">
                  <c:v>0.89900000000000002</c:v>
                </c:pt>
                <c:pt idx="9">
                  <c:v>5.7519999999999998</c:v>
                </c:pt>
                <c:pt idx="10">
                  <c:v>16.405999999999999</c:v>
                </c:pt>
                <c:pt idx="11">
                  <c:v>0</c:v>
                </c:pt>
                <c:pt idx="12">
                  <c:v>0</c:v>
                </c:pt>
                <c:pt idx="13">
                  <c:v>2.67</c:v>
                </c:pt>
                <c:pt idx="14">
                  <c:v>1.61</c:v>
                </c:pt>
                <c:pt idx="15">
                  <c:v>0.41</c:v>
                </c:pt>
                <c:pt idx="16">
                  <c:v>0.23599999999999999</c:v>
                </c:pt>
                <c:pt idx="17">
                  <c:v>3.5920000000000001</c:v>
                </c:pt>
                <c:pt idx="18">
                  <c:v>0</c:v>
                </c:pt>
                <c:pt idx="19">
                  <c:v>0.11</c:v>
                </c:pt>
                <c:pt idx="20">
                  <c:v>0.66400000000000003</c:v>
                </c:pt>
                <c:pt idx="21">
                  <c:v>1.635</c:v>
                </c:pt>
                <c:pt idx="22">
                  <c:v>0</c:v>
                </c:pt>
                <c:pt idx="23">
                  <c:v>0</c:v>
                </c:pt>
                <c:pt idx="24">
                  <c:v>0.4</c:v>
                </c:pt>
                <c:pt idx="25">
                  <c:v>1.839</c:v>
                </c:pt>
                <c:pt idx="26">
                  <c:v>0</c:v>
                </c:pt>
                <c:pt idx="27">
                  <c:v>0</c:v>
                </c:pt>
                <c:pt idx="28">
                  <c:v>1.595</c:v>
                </c:pt>
                <c:pt idx="29">
                  <c:v>0.15</c:v>
                </c:pt>
                <c:pt idx="30">
                  <c:v>18.945</c:v>
                </c:pt>
                <c:pt idx="31">
                  <c:v>0.56599999999999995</c:v>
                </c:pt>
                <c:pt idx="32">
                  <c:v>0.89500000000000002</c:v>
                </c:pt>
                <c:pt idx="33">
                  <c:v>0.25</c:v>
                </c:pt>
                <c:pt idx="34">
                  <c:v>0.38600000000000001</c:v>
                </c:pt>
                <c:pt idx="35">
                  <c:v>0.45</c:v>
                </c:pt>
                <c:pt idx="36">
                  <c:v>0</c:v>
                </c:pt>
                <c:pt idx="37">
                  <c:v>0.185</c:v>
                </c:pt>
                <c:pt idx="38">
                  <c:v>0.15</c:v>
                </c:pt>
                <c:pt idx="39">
                  <c:v>7.5999999999999998E-2</c:v>
                </c:pt>
                <c:pt idx="40">
                  <c:v>1.2190000000000001</c:v>
                </c:pt>
                <c:pt idx="41">
                  <c:v>0.28999999999999998</c:v>
                </c:pt>
                <c:pt idx="42">
                  <c:v>2.9860000000000002</c:v>
                </c:pt>
                <c:pt idx="43">
                  <c:v>0.13600000000000001</c:v>
                </c:pt>
                <c:pt idx="44">
                  <c:v>0</c:v>
                </c:pt>
                <c:pt idx="45">
                  <c:v>0.7</c:v>
                </c:pt>
                <c:pt idx="46">
                  <c:v>0</c:v>
                </c:pt>
                <c:pt idx="47">
                  <c:v>0.125</c:v>
                </c:pt>
                <c:pt idx="48">
                  <c:v>0</c:v>
                </c:pt>
                <c:pt idx="49">
                  <c:v>0.28100000000000003</c:v>
                </c:pt>
                <c:pt idx="50">
                  <c:v>0</c:v>
                </c:pt>
                <c:pt idx="51">
                  <c:v>0.08</c:v>
                </c:pt>
                <c:pt idx="52">
                  <c:v>0.17199999999999999</c:v>
                </c:pt>
              </c:numCache>
            </c:numRef>
          </c:val>
        </c:ser>
        <c:ser>
          <c:idx val="1"/>
          <c:order val="1"/>
          <c:tx>
            <c:strRef>
              <c:f>'Value Q2 1617'!$AT$7</c:f>
              <c:strCache>
                <c:ptCount val="1"/>
                <c:pt idx="0">
                  <c:v>Transport buildings</c:v>
                </c:pt>
              </c:strCache>
            </c:strRef>
          </c:tx>
          <c:spPr>
            <a:solidFill>
              <a:schemeClr val="accent4"/>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1617'!$AT$52:$AT$104</c:f>
              <c:numCache>
                <c:formatCode>_-"$"* #,##0_-;\-"$"* #,##0_-;_-"$"* "-"??_-;_-@_-</c:formatCode>
                <c:ptCount val="53"/>
                <c:pt idx="0">
                  <c:v>0</c:v>
                </c:pt>
                <c:pt idx="1">
                  <c:v>0</c:v>
                </c:pt>
                <c:pt idx="2">
                  <c:v>0</c:v>
                </c:pt>
                <c:pt idx="3">
                  <c:v>0.26800000000000002</c:v>
                </c:pt>
                <c:pt idx="4">
                  <c:v>0.21</c:v>
                </c:pt>
                <c:pt idx="5">
                  <c:v>0</c:v>
                </c:pt>
                <c:pt idx="6">
                  <c:v>0</c:v>
                </c:pt>
                <c:pt idx="7">
                  <c:v>0</c:v>
                </c:pt>
                <c:pt idx="8">
                  <c:v>0</c:v>
                </c:pt>
                <c:pt idx="9">
                  <c:v>0</c:v>
                </c:pt>
                <c:pt idx="10">
                  <c:v>0</c:v>
                </c:pt>
                <c:pt idx="11">
                  <c:v>0</c:v>
                </c:pt>
                <c:pt idx="12">
                  <c:v>0</c:v>
                </c:pt>
                <c:pt idx="13">
                  <c:v>0</c:v>
                </c:pt>
                <c:pt idx="14">
                  <c:v>0</c:v>
                </c:pt>
                <c:pt idx="15">
                  <c:v>0.26</c:v>
                </c:pt>
                <c:pt idx="16">
                  <c:v>0</c:v>
                </c:pt>
                <c:pt idx="17">
                  <c:v>0.1</c:v>
                </c:pt>
                <c:pt idx="18">
                  <c:v>0</c:v>
                </c:pt>
                <c:pt idx="19">
                  <c:v>0</c:v>
                </c:pt>
                <c:pt idx="20">
                  <c:v>0</c:v>
                </c:pt>
                <c:pt idx="21">
                  <c:v>0</c:v>
                </c:pt>
                <c:pt idx="22">
                  <c:v>0</c:v>
                </c:pt>
                <c:pt idx="23">
                  <c:v>0</c:v>
                </c:pt>
                <c:pt idx="24">
                  <c:v>0</c:v>
                </c:pt>
                <c:pt idx="25">
                  <c:v>0</c:v>
                </c:pt>
                <c:pt idx="26">
                  <c:v>0</c:v>
                </c:pt>
                <c:pt idx="27">
                  <c:v>0</c:v>
                </c:pt>
                <c:pt idx="28">
                  <c:v>0.06</c:v>
                </c:pt>
                <c:pt idx="29">
                  <c:v>0</c:v>
                </c:pt>
                <c:pt idx="30">
                  <c:v>0</c:v>
                </c:pt>
                <c:pt idx="31">
                  <c:v>8.3000000000000004E-2</c:v>
                </c:pt>
                <c:pt idx="32">
                  <c:v>0.06</c:v>
                </c:pt>
                <c:pt idx="33">
                  <c:v>0.08</c:v>
                </c:pt>
                <c:pt idx="34">
                  <c:v>0</c:v>
                </c:pt>
                <c:pt idx="35">
                  <c:v>0</c:v>
                </c:pt>
                <c:pt idx="36">
                  <c:v>0</c:v>
                </c:pt>
                <c:pt idx="37">
                  <c:v>0</c:v>
                </c:pt>
                <c:pt idx="38">
                  <c:v>0</c:v>
                </c:pt>
                <c:pt idx="39">
                  <c:v>0</c:v>
                </c:pt>
                <c:pt idx="40">
                  <c:v>0</c:v>
                </c:pt>
                <c:pt idx="41">
                  <c:v>0</c:v>
                </c:pt>
                <c:pt idx="42">
                  <c:v>0.2</c:v>
                </c:pt>
                <c:pt idx="43">
                  <c:v>0.17399999999999999</c:v>
                </c:pt>
                <c:pt idx="44">
                  <c:v>0.35299999999999998</c:v>
                </c:pt>
                <c:pt idx="45">
                  <c:v>0</c:v>
                </c:pt>
                <c:pt idx="46">
                  <c:v>0</c:v>
                </c:pt>
                <c:pt idx="47">
                  <c:v>0</c:v>
                </c:pt>
                <c:pt idx="48">
                  <c:v>0</c:v>
                </c:pt>
                <c:pt idx="49">
                  <c:v>0</c:v>
                </c:pt>
                <c:pt idx="50">
                  <c:v>0</c:v>
                </c:pt>
                <c:pt idx="51">
                  <c:v>0</c:v>
                </c:pt>
                <c:pt idx="52">
                  <c:v>0</c:v>
                </c:pt>
              </c:numCache>
            </c:numRef>
          </c:val>
        </c:ser>
        <c:ser>
          <c:idx val="2"/>
          <c:order val="2"/>
          <c:tx>
            <c:strRef>
              <c:f>'Value Q2 1617'!$AU$7</c:f>
              <c:strCache>
                <c:ptCount val="1"/>
                <c:pt idx="0">
                  <c:v>Offices</c:v>
                </c:pt>
              </c:strCache>
            </c:strRef>
          </c:tx>
          <c:spPr>
            <a:solidFill>
              <a:schemeClr val="accent6"/>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1617'!$AU$52:$AU$104</c:f>
              <c:numCache>
                <c:formatCode>_-"$"* #,##0_-;\-"$"* #,##0_-;_-"$"* "-"??_-;_-@_-</c:formatCode>
                <c:ptCount val="53"/>
                <c:pt idx="0">
                  <c:v>0</c:v>
                </c:pt>
                <c:pt idx="1">
                  <c:v>8.5289999999999999</c:v>
                </c:pt>
                <c:pt idx="2">
                  <c:v>8.2590000000000003</c:v>
                </c:pt>
                <c:pt idx="3">
                  <c:v>13.906000000000001</c:v>
                </c:pt>
                <c:pt idx="4">
                  <c:v>2.411</c:v>
                </c:pt>
                <c:pt idx="5">
                  <c:v>5.3650000000000002</c:v>
                </c:pt>
                <c:pt idx="6">
                  <c:v>3.3359999999999999</c:v>
                </c:pt>
                <c:pt idx="7">
                  <c:v>2.7709999999999999</c:v>
                </c:pt>
                <c:pt idx="8">
                  <c:v>0.2</c:v>
                </c:pt>
                <c:pt idx="9">
                  <c:v>6.0880000000000001</c:v>
                </c:pt>
                <c:pt idx="10">
                  <c:v>2.488</c:v>
                </c:pt>
                <c:pt idx="11">
                  <c:v>0</c:v>
                </c:pt>
                <c:pt idx="12">
                  <c:v>0</c:v>
                </c:pt>
                <c:pt idx="13">
                  <c:v>2.4740000000000002</c:v>
                </c:pt>
                <c:pt idx="14">
                  <c:v>14.196</c:v>
                </c:pt>
                <c:pt idx="15">
                  <c:v>0</c:v>
                </c:pt>
                <c:pt idx="16">
                  <c:v>0.63</c:v>
                </c:pt>
                <c:pt idx="17">
                  <c:v>0</c:v>
                </c:pt>
                <c:pt idx="18">
                  <c:v>0.3</c:v>
                </c:pt>
                <c:pt idx="19">
                  <c:v>0</c:v>
                </c:pt>
                <c:pt idx="20">
                  <c:v>0.35</c:v>
                </c:pt>
                <c:pt idx="21">
                  <c:v>0.19</c:v>
                </c:pt>
                <c:pt idx="22">
                  <c:v>0</c:v>
                </c:pt>
                <c:pt idx="23">
                  <c:v>0</c:v>
                </c:pt>
                <c:pt idx="24">
                  <c:v>0.23899999999999999</c:v>
                </c:pt>
                <c:pt idx="25">
                  <c:v>0.65800000000000003</c:v>
                </c:pt>
                <c:pt idx="26">
                  <c:v>0.27200000000000002</c:v>
                </c:pt>
                <c:pt idx="27">
                  <c:v>0</c:v>
                </c:pt>
                <c:pt idx="28">
                  <c:v>7.0000000000000007E-2</c:v>
                </c:pt>
                <c:pt idx="29">
                  <c:v>0</c:v>
                </c:pt>
                <c:pt idx="30">
                  <c:v>0.35</c:v>
                </c:pt>
                <c:pt idx="31">
                  <c:v>0.183</c:v>
                </c:pt>
                <c:pt idx="32">
                  <c:v>2.19</c:v>
                </c:pt>
                <c:pt idx="33">
                  <c:v>9.7000000000000003E-2</c:v>
                </c:pt>
                <c:pt idx="34">
                  <c:v>0.77800000000000002</c:v>
                </c:pt>
                <c:pt idx="35">
                  <c:v>0.2</c:v>
                </c:pt>
                <c:pt idx="36">
                  <c:v>0</c:v>
                </c:pt>
                <c:pt idx="37">
                  <c:v>0</c:v>
                </c:pt>
                <c:pt idx="38">
                  <c:v>0</c:v>
                </c:pt>
                <c:pt idx="39">
                  <c:v>0</c:v>
                </c:pt>
                <c:pt idx="40">
                  <c:v>1.129</c:v>
                </c:pt>
                <c:pt idx="41">
                  <c:v>0</c:v>
                </c:pt>
                <c:pt idx="42">
                  <c:v>0.09</c:v>
                </c:pt>
                <c:pt idx="43">
                  <c:v>5.7000000000000002E-2</c:v>
                </c:pt>
                <c:pt idx="44">
                  <c:v>0</c:v>
                </c:pt>
                <c:pt idx="45">
                  <c:v>0.55800000000000005</c:v>
                </c:pt>
                <c:pt idx="46">
                  <c:v>0</c:v>
                </c:pt>
                <c:pt idx="47">
                  <c:v>2.427</c:v>
                </c:pt>
                <c:pt idx="48">
                  <c:v>1.534</c:v>
                </c:pt>
                <c:pt idx="49">
                  <c:v>1.6080000000000001</c:v>
                </c:pt>
                <c:pt idx="50">
                  <c:v>0</c:v>
                </c:pt>
                <c:pt idx="51">
                  <c:v>0.18</c:v>
                </c:pt>
                <c:pt idx="52">
                  <c:v>0</c:v>
                </c:pt>
              </c:numCache>
            </c:numRef>
          </c:val>
        </c:ser>
        <c:ser>
          <c:idx val="3"/>
          <c:order val="3"/>
          <c:tx>
            <c:strRef>
              <c:f>'Value Q2 1617'!$AV$7</c:f>
              <c:strCache>
                <c:ptCount val="1"/>
                <c:pt idx="0">
                  <c:v>Other Commercial buildings </c:v>
                </c:pt>
              </c:strCache>
            </c:strRef>
          </c:tx>
          <c:spPr>
            <a:solidFill>
              <a:schemeClr val="accent2">
                <a:lumMod val="60000"/>
              </a:schemeClr>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1617'!$AV$52:$AV$104</c:f>
              <c:numCache>
                <c:formatCode>_-"$"* #,##0_-;\-"$"* #,##0_-;_-"$"* "-"??_-;_-@_-</c:formatCode>
                <c:ptCount val="53"/>
                <c:pt idx="0">
                  <c:v>0</c:v>
                </c:pt>
                <c:pt idx="1">
                  <c:v>4.7910000000000004</c:v>
                </c:pt>
                <c:pt idx="2">
                  <c:v>0.48</c:v>
                </c:pt>
                <c:pt idx="3">
                  <c:v>2.778</c:v>
                </c:pt>
                <c:pt idx="4">
                  <c:v>1.6579999999999999</c:v>
                </c:pt>
                <c:pt idx="5">
                  <c:v>3.1</c:v>
                </c:pt>
                <c:pt idx="6">
                  <c:v>0</c:v>
                </c:pt>
                <c:pt idx="7">
                  <c:v>0</c:v>
                </c:pt>
                <c:pt idx="8">
                  <c:v>0</c:v>
                </c:pt>
                <c:pt idx="9">
                  <c:v>5.25</c:v>
                </c:pt>
                <c:pt idx="10">
                  <c:v>0</c:v>
                </c:pt>
                <c:pt idx="11">
                  <c:v>0</c:v>
                </c:pt>
                <c:pt idx="12">
                  <c:v>0</c:v>
                </c:pt>
                <c:pt idx="13">
                  <c:v>0</c:v>
                </c:pt>
                <c:pt idx="14">
                  <c:v>0.18</c:v>
                </c:pt>
                <c:pt idx="15">
                  <c:v>0</c:v>
                </c:pt>
                <c:pt idx="16">
                  <c:v>0</c:v>
                </c:pt>
                <c:pt idx="17">
                  <c:v>0</c:v>
                </c:pt>
                <c:pt idx="18">
                  <c:v>0</c:v>
                </c:pt>
                <c:pt idx="19">
                  <c:v>0</c:v>
                </c:pt>
                <c:pt idx="20">
                  <c:v>1.31</c:v>
                </c:pt>
                <c:pt idx="21">
                  <c:v>0</c:v>
                </c:pt>
                <c:pt idx="22">
                  <c:v>0</c:v>
                </c:pt>
                <c:pt idx="23">
                  <c:v>0</c:v>
                </c:pt>
                <c:pt idx="24">
                  <c:v>0.32</c:v>
                </c:pt>
                <c:pt idx="25">
                  <c:v>0</c:v>
                </c:pt>
                <c:pt idx="26">
                  <c:v>0</c:v>
                </c:pt>
                <c:pt idx="27">
                  <c:v>0</c:v>
                </c:pt>
                <c:pt idx="28">
                  <c:v>0</c:v>
                </c:pt>
                <c:pt idx="29">
                  <c:v>0</c:v>
                </c:pt>
                <c:pt idx="30">
                  <c:v>0.45</c:v>
                </c:pt>
                <c:pt idx="31">
                  <c:v>0</c:v>
                </c:pt>
                <c:pt idx="32">
                  <c:v>0.09</c:v>
                </c:pt>
                <c:pt idx="33">
                  <c:v>0</c:v>
                </c:pt>
                <c:pt idx="34">
                  <c:v>0</c:v>
                </c:pt>
                <c:pt idx="35">
                  <c:v>0</c:v>
                </c:pt>
                <c:pt idx="36">
                  <c:v>0</c:v>
                </c:pt>
                <c:pt idx="37">
                  <c:v>0</c:v>
                </c:pt>
                <c:pt idx="38">
                  <c:v>0</c:v>
                </c:pt>
                <c:pt idx="39">
                  <c:v>0</c:v>
                </c:pt>
                <c:pt idx="40">
                  <c:v>0</c:v>
                </c:pt>
                <c:pt idx="41">
                  <c:v>0</c:v>
                </c:pt>
                <c:pt idx="42">
                  <c:v>0.15</c:v>
                </c:pt>
                <c:pt idx="43">
                  <c:v>0</c:v>
                </c:pt>
                <c:pt idx="44">
                  <c:v>0</c:v>
                </c:pt>
                <c:pt idx="45">
                  <c:v>1.0880000000000001</c:v>
                </c:pt>
                <c:pt idx="46">
                  <c:v>0.6</c:v>
                </c:pt>
                <c:pt idx="47">
                  <c:v>0</c:v>
                </c:pt>
                <c:pt idx="48">
                  <c:v>0</c:v>
                </c:pt>
                <c:pt idx="49">
                  <c:v>0</c:v>
                </c:pt>
                <c:pt idx="50">
                  <c:v>0</c:v>
                </c:pt>
                <c:pt idx="51">
                  <c:v>0</c:v>
                </c:pt>
                <c:pt idx="52">
                  <c:v>0</c:v>
                </c:pt>
              </c:numCache>
            </c:numRef>
          </c:val>
        </c:ser>
        <c:dLbls>
          <c:showLegendKey val="0"/>
          <c:showVal val="0"/>
          <c:showCatName val="0"/>
          <c:showSerName val="0"/>
          <c:showPercent val="0"/>
          <c:showBubbleSize val="0"/>
        </c:dLbls>
        <c:gapWidth val="30"/>
        <c:overlap val="100"/>
        <c:axId val="204014256"/>
        <c:axId val="204014816"/>
      </c:barChart>
      <c:catAx>
        <c:axId val="204014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14816"/>
        <c:crosses val="autoZero"/>
        <c:auto val="1"/>
        <c:lblAlgn val="ctr"/>
        <c:lblOffset val="100"/>
        <c:noMultiLvlLbl val="0"/>
      </c:catAx>
      <c:valAx>
        <c:axId val="20401481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14256"/>
        <c:crosses val="autoZero"/>
        <c:crossBetween val="between"/>
      </c:valAx>
      <c:spPr>
        <a:noFill/>
        <a:ln>
          <a:noFill/>
        </a:ln>
        <a:effectLst/>
      </c:spPr>
    </c:plotArea>
    <c:legend>
      <c:legendPos val="b"/>
      <c:layout>
        <c:manualLayout>
          <c:xMode val="edge"/>
          <c:yMode val="edge"/>
          <c:x val="0.59005242022571436"/>
          <c:y val="0"/>
          <c:w val="0.40799371835842696"/>
          <c:h val="8.356113504679839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Industrial </a:t>
            </a:r>
          </a:p>
          <a:p>
            <a:pPr algn="l">
              <a:defRPr/>
            </a:pPr>
            <a:r>
              <a:rPr lang="en-AU" sz="1400" baseline="0"/>
              <a:t>Metropolitan Melbourne </a:t>
            </a:r>
          </a:p>
          <a:p>
            <a:pPr algn="l">
              <a:defRPr/>
            </a:pPr>
            <a:r>
              <a:rPr lang="en-AU" sz="1400" b="0" i="0" u="none" strike="noStrike" baseline="0">
                <a:effectLst/>
              </a:rPr>
              <a:t>Second Half of 2016</a:t>
            </a:r>
          </a:p>
          <a:p>
            <a:pPr algn="l">
              <a:defRPr/>
            </a:pPr>
            <a:r>
              <a:rPr lang="en-AU" sz="1000" baseline="0"/>
              <a:t>Source: ABS Building Approvals</a:t>
            </a:r>
            <a:endParaRPr lang="en-AU" sz="1000"/>
          </a:p>
        </c:rich>
      </c:tx>
      <c:layout>
        <c:manualLayout>
          <c:xMode val="edge"/>
          <c:yMode val="edge"/>
          <c:x val="1.6560691419848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946016163043722"/>
          <c:w val="0.73539170574389501"/>
          <c:h val="0.79180434977679071"/>
        </c:manualLayout>
      </c:layout>
      <c:barChart>
        <c:barDir val="bar"/>
        <c:grouping val="stacked"/>
        <c:varyColors val="0"/>
        <c:ser>
          <c:idx val="0"/>
          <c:order val="0"/>
          <c:tx>
            <c:strRef>
              <c:f>'Value Q2 1617'!$BH$7</c:f>
              <c:strCache>
                <c:ptCount val="1"/>
                <c:pt idx="0">
                  <c:v>Factories and other secondary production buildings</c:v>
                </c:pt>
              </c:strCache>
            </c:strRef>
          </c:tx>
          <c:spPr>
            <a:solidFill>
              <a:srgbClr val="7030A0"/>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1617'!$BH$8:$BH$51</c:f>
              <c:numCache>
                <c:formatCode>_-"$"* #,##0_-;\-"$"* #,##0_-;_-"$"* "-"??_-;_-@_-</c:formatCode>
                <c:ptCount val="44"/>
                <c:pt idx="1">
                  <c:v>0</c:v>
                </c:pt>
                <c:pt idx="2">
                  <c:v>4.5490000000000004</c:v>
                </c:pt>
                <c:pt idx="3">
                  <c:v>0.05</c:v>
                </c:pt>
                <c:pt idx="4">
                  <c:v>0</c:v>
                </c:pt>
                <c:pt idx="5">
                  <c:v>0</c:v>
                </c:pt>
                <c:pt idx="6">
                  <c:v>3.0249999999999999</c:v>
                </c:pt>
                <c:pt idx="7">
                  <c:v>0</c:v>
                </c:pt>
                <c:pt idx="8">
                  <c:v>0.155</c:v>
                </c:pt>
                <c:pt idx="9">
                  <c:v>0.745</c:v>
                </c:pt>
                <c:pt idx="10">
                  <c:v>1.4239999999999999</c:v>
                </c:pt>
                <c:pt idx="11">
                  <c:v>0</c:v>
                </c:pt>
                <c:pt idx="14">
                  <c:v>0</c:v>
                </c:pt>
                <c:pt idx="15">
                  <c:v>0</c:v>
                </c:pt>
                <c:pt idx="16">
                  <c:v>0</c:v>
                </c:pt>
                <c:pt idx="17">
                  <c:v>0</c:v>
                </c:pt>
                <c:pt idx="19">
                  <c:v>0</c:v>
                </c:pt>
                <c:pt idx="20">
                  <c:v>0.25</c:v>
                </c:pt>
                <c:pt idx="21">
                  <c:v>1.1299999999999999</c:v>
                </c:pt>
                <c:pt idx="22">
                  <c:v>6.5789999999999997</c:v>
                </c:pt>
                <c:pt idx="23">
                  <c:v>0</c:v>
                </c:pt>
                <c:pt idx="24">
                  <c:v>6.3E-2</c:v>
                </c:pt>
                <c:pt idx="25">
                  <c:v>0</c:v>
                </c:pt>
                <c:pt idx="26">
                  <c:v>4.18</c:v>
                </c:pt>
                <c:pt idx="27">
                  <c:v>0</c:v>
                </c:pt>
                <c:pt idx="28">
                  <c:v>0</c:v>
                </c:pt>
                <c:pt idx="29">
                  <c:v>4.5</c:v>
                </c:pt>
                <c:pt idx="30">
                  <c:v>0.16900000000000001</c:v>
                </c:pt>
                <c:pt idx="31">
                  <c:v>0.193</c:v>
                </c:pt>
                <c:pt idx="32">
                  <c:v>13.379</c:v>
                </c:pt>
                <c:pt idx="33">
                  <c:v>1.649</c:v>
                </c:pt>
                <c:pt idx="34">
                  <c:v>0.312</c:v>
                </c:pt>
                <c:pt idx="35">
                  <c:v>0</c:v>
                </c:pt>
                <c:pt idx="36">
                  <c:v>0</c:v>
                </c:pt>
                <c:pt idx="37">
                  <c:v>1.143</c:v>
                </c:pt>
                <c:pt idx="38">
                  <c:v>1.744</c:v>
                </c:pt>
                <c:pt idx="39">
                  <c:v>0.20599999999999999</c:v>
                </c:pt>
                <c:pt idx="40">
                  <c:v>0</c:v>
                </c:pt>
                <c:pt idx="41">
                  <c:v>0</c:v>
                </c:pt>
                <c:pt idx="42">
                  <c:v>1.161</c:v>
                </c:pt>
                <c:pt idx="43">
                  <c:v>0</c:v>
                </c:pt>
              </c:numCache>
            </c:numRef>
          </c:val>
        </c:ser>
        <c:ser>
          <c:idx val="1"/>
          <c:order val="1"/>
          <c:tx>
            <c:strRef>
              <c:f>'Value Q2 1617'!$BI$7</c:f>
              <c:strCache>
                <c:ptCount val="1"/>
                <c:pt idx="0">
                  <c:v>Warehouses</c:v>
                </c:pt>
              </c:strCache>
            </c:strRef>
          </c:tx>
          <c:spPr>
            <a:solidFill>
              <a:schemeClr val="accent3"/>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1617'!$BI$8:$BI$51</c:f>
              <c:numCache>
                <c:formatCode>_-"$"* #,##0_-;\-"$"* #,##0_-;_-"$"* "-"??_-;_-@_-</c:formatCode>
                <c:ptCount val="44"/>
                <c:pt idx="1">
                  <c:v>1.766</c:v>
                </c:pt>
                <c:pt idx="2">
                  <c:v>8.6989999999999998</c:v>
                </c:pt>
                <c:pt idx="3">
                  <c:v>0.1</c:v>
                </c:pt>
                <c:pt idx="4">
                  <c:v>0</c:v>
                </c:pt>
                <c:pt idx="5">
                  <c:v>0</c:v>
                </c:pt>
                <c:pt idx="6">
                  <c:v>56.817999999999998</c:v>
                </c:pt>
                <c:pt idx="7">
                  <c:v>0</c:v>
                </c:pt>
                <c:pt idx="8">
                  <c:v>4.6559999999999997</c:v>
                </c:pt>
                <c:pt idx="9">
                  <c:v>7.6319999999999997</c:v>
                </c:pt>
                <c:pt idx="10">
                  <c:v>5.9</c:v>
                </c:pt>
                <c:pt idx="11">
                  <c:v>6.4580000000000002</c:v>
                </c:pt>
                <c:pt idx="14">
                  <c:v>0</c:v>
                </c:pt>
                <c:pt idx="15">
                  <c:v>9.5</c:v>
                </c:pt>
                <c:pt idx="16">
                  <c:v>0</c:v>
                </c:pt>
                <c:pt idx="17">
                  <c:v>0</c:v>
                </c:pt>
                <c:pt idx="19">
                  <c:v>0</c:v>
                </c:pt>
                <c:pt idx="20">
                  <c:v>3.05</c:v>
                </c:pt>
                <c:pt idx="21">
                  <c:v>3.4980000000000002</c:v>
                </c:pt>
                <c:pt idx="22">
                  <c:v>45.005000000000003</c:v>
                </c:pt>
                <c:pt idx="23">
                  <c:v>0.255</c:v>
                </c:pt>
                <c:pt idx="24">
                  <c:v>1.075</c:v>
                </c:pt>
                <c:pt idx="25">
                  <c:v>0.05</c:v>
                </c:pt>
                <c:pt idx="26">
                  <c:v>23.358000000000001</c:v>
                </c:pt>
                <c:pt idx="27">
                  <c:v>0</c:v>
                </c:pt>
                <c:pt idx="28">
                  <c:v>0</c:v>
                </c:pt>
                <c:pt idx="29">
                  <c:v>5.74</c:v>
                </c:pt>
                <c:pt idx="30">
                  <c:v>11.178000000000001</c:v>
                </c:pt>
                <c:pt idx="31">
                  <c:v>26.489000000000001</c:v>
                </c:pt>
                <c:pt idx="32">
                  <c:v>112.185</c:v>
                </c:pt>
                <c:pt idx="33">
                  <c:v>14.352</c:v>
                </c:pt>
                <c:pt idx="34">
                  <c:v>12.375</c:v>
                </c:pt>
                <c:pt idx="35">
                  <c:v>0</c:v>
                </c:pt>
                <c:pt idx="36">
                  <c:v>0</c:v>
                </c:pt>
                <c:pt idx="37">
                  <c:v>49.503999999999998</c:v>
                </c:pt>
                <c:pt idx="38">
                  <c:v>36.639000000000003</c:v>
                </c:pt>
                <c:pt idx="39">
                  <c:v>13.53</c:v>
                </c:pt>
                <c:pt idx="40">
                  <c:v>93.323999999999998</c:v>
                </c:pt>
                <c:pt idx="41">
                  <c:v>1.373</c:v>
                </c:pt>
                <c:pt idx="42">
                  <c:v>38.655999999999999</c:v>
                </c:pt>
                <c:pt idx="43">
                  <c:v>0</c:v>
                </c:pt>
              </c:numCache>
            </c:numRef>
          </c:val>
        </c:ser>
        <c:ser>
          <c:idx val="2"/>
          <c:order val="2"/>
          <c:tx>
            <c:strRef>
              <c:f>'Value Q2 1617'!$BJ$7</c:f>
              <c:strCache>
                <c:ptCount val="1"/>
                <c:pt idx="0">
                  <c:v>Agricultural and aquacultural buildings</c:v>
                </c:pt>
              </c:strCache>
            </c:strRef>
          </c:tx>
          <c:spPr>
            <a:solidFill>
              <a:schemeClr val="accent5"/>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1617'!$BJ$8:$BJ$51</c:f>
              <c:numCache>
                <c:formatCode>_-"$"* #,##0_-;\-"$"* #,##0_-;_-"$"* "-"??_-;_-@_-</c:formatCode>
                <c:ptCount val="44"/>
                <c:pt idx="1">
                  <c:v>0</c:v>
                </c:pt>
                <c:pt idx="2">
                  <c:v>0</c:v>
                </c:pt>
                <c:pt idx="3">
                  <c:v>0</c:v>
                </c:pt>
                <c:pt idx="4">
                  <c:v>0</c:v>
                </c:pt>
                <c:pt idx="5">
                  <c:v>0</c:v>
                </c:pt>
                <c:pt idx="6">
                  <c:v>0.67600000000000005</c:v>
                </c:pt>
                <c:pt idx="7">
                  <c:v>0</c:v>
                </c:pt>
                <c:pt idx="8">
                  <c:v>0</c:v>
                </c:pt>
                <c:pt idx="9">
                  <c:v>0</c:v>
                </c:pt>
                <c:pt idx="10">
                  <c:v>0</c:v>
                </c:pt>
                <c:pt idx="11">
                  <c:v>2.2890000000000001</c:v>
                </c:pt>
                <c:pt idx="14">
                  <c:v>0</c:v>
                </c:pt>
                <c:pt idx="15">
                  <c:v>0</c:v>
                </c:pt>
                <c:pt idx="16">
                  <c:v>0</c:v>
                </c:pt>
                <c:pt idx="17">
                  <c:v>0</c:v>
                </c:pt>
                <c:pt idx="19">
                  <c:v>0</c:v>
                </c:pt>
                <c:pt idx="20">
                  <c:v>0</c:v>
                </c:pt>
                <c:pt idx="21">
                  <c:v>0.115</c:v>
                </c:pt>
                <c:pt idx="22">
                  <c:v>0.57599999999999996</c:v>
                </c:pt>
                <c:pt idx="23">
                  <c:v>0.13300000000000001</c:v>
                </c:pt>
                <c:pt idx="24">
                  <c:v>0</c:v>
                </c:pt>
                <c:pt idx="25">
                  <c:v>0.1</c:v>
                </c:pt>
                <c:pt idx="26">
                  <c:v>0</c:v>
                </c:pt>
                <c:pt idx="27">
                  <c:v>0</c:v>
                </c:pt>
                <c:pt idx="28">
                  <c:v>0</c:v>
                </c:pt>
                <c:pt idx="29">
                  <c:v>3.8450000000000002</c:v>
                </c:pt>
                <c:pt idx="30">
                  <c:v>0.06</c:v>
                </c:pt>
                <c:pt idx="31">
                  <c:v>0</c:v>
                </c:pt>
                <c:pt idx="32">
                  <c:v>0.873</c:v>
                </c:pt>
                <c:pt idx="33">
                  <c:v>0.05</c:v>
                </c:pt>
                <c:pt idx="34">
                  <c:v>3.0379999999999998</c:v>
                </c:pt>
                <c:pt idx="35">
                  <c:v>0</c:v>
                </c:pt>
                <c:pt idx="36">
                  <c:v>0</c:v>
                </c:pt>
                <c:pt idx="37">
                  <c:v>5.6000000000000001E-2</c:v>
                </c:pt>
                <c:pt idx="38">
                  <c:v>2.6579999999999999</c:v>
                </c:pt>
                <c:pt idx="39">
                  <c:v>0.30199999999999999</c:v>
                </c:pt>
                <c:pt idx="40">
                  <c:v>7.9000000000000001E-2</c:v>
                </c:pt>
                <c:pt idx="41">
                  <c:v>0</c:v>
                </c:pt>
                <c:pt idx="42">
                  <c:v>10.145</c:v>
                </c:pt>
                <c:pt idx="43">
                  <c:v>0</c:v>
                </c:pt>
              </c:numCache>
            </c:numRef>
          </c:val>
        </c:ser>
        <c:ser>
          <c:idx val="3"/>
          <c:order val="3"/>
          <c:tx>
            <c:strRef>
              <c:f>'Value Q2 1617'!$BK$7</c:f>
              <c:strCache>
                <c:ptCount val="1"/>
                <c:pt idx="0">
                  <c:v>Other industrial buildings </c:v>
                </c:pt>
              </c:strCache>
            </c:strRef>
          </c:tx>
          <c:spPr>
            <a:solidFill>
              <a:srgbClr val="CC00CC"/>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1617'!$BK$8:$BK$51</c:f>
              <c:numCache>
                <c:formatCode>_-"$"* #,##0_-;\-"$"* #,##0_-;_-"$"* "-"??_-;_-@_-</c:formatCode>
                <c:ptCount val="44"/>
                <c:pt idx="1">
                  <c:v>0.41</c:v>
                </c:pt>
                <c:pt idx="2">
                  <c:v>0</c:v>
                </c:pt>
                <c:pt idx="3">
                  <c:v>0.1</c:v>
                </c:pt>
                <c:pt idx="4">
                  <c:v>0</c:v>
                </c:pt>
                <c:pt idx="5">
                  <c:v>0</c:v>
                </c:pt>
                <c:pt idx="6">
                  <c:v>0</c:v>
                </c:pt>
                <c:pt idx="7">
                  <c:v>0</c:v>
                </c:pt>
                <c:pt idx="8">
                  <c:v>0</c:v>
                </c:pt>
                <c:pt idx="9">
                  <c:v>0</c:v>
                </c:pt>
                <c:pt idx="10">
                  <c:v>0</c:v>
                </c:pt>
                <c:pt idx="11">
                  <c:v>0.22700000000000001</c:v>
                </c:pt>
                <c:pt idx="14">
                  <c:v>0.2</c:v>
                </c:pt>
                <c:pt idx="15">
                  <c:v>0</c:v>
                </c:pt>
                <c:pt idx="16">
                  <c:v>0</c:v>
                </c:pt>
                <c:pt idx="17">
                  <c:v>0</c:v>
                </c:pt>
                <c:pt idx="19">
                  <c:v>0</c:v>
                </c:pt>
                <c:pt idx="20">
                  <c:v>0.17100000000000001</c:v>
                </c:pt>
                <c:pt idx="21">
                  <c:v>0.05</c:v>
                </c:pt>
                <c:pt idx="22">
                  <c:v>0.5</c:v>
                </c:pt>
                <c:pt idx="23">
                  <c:v>0</c:v>
                </c:pt>
                <c:pt idx="24">
                  <c:v>0.57199999999999995</c:v>
                </c:pt>
                <c:pt idx="25">
                  <c:v>0.05</c:v>
                </c:pt>
                <c:pt idx="26">
                  <c:v>0</c:v>
                </c:pt>
                <c:pt idx="27">
                  <c:v>0</c:v>
                </c:pt>
                <c:pt idx="28">
                  <c:v>0</c:v>
                </c:pt>
                <c:pt idx="29">
                  <c:v>0.33900000000000002</c:v>
                </c:pt>
                <c:pt idx="30">
                  <c:v>0</c:v>
                </c:pt>
                <c:pt idx="31">
                  <c:v>0.123</c:v>
                </c:pt>
                <c:pt idx="32">
                  <c:v>0.4</c:v>
                </c:pt>
                <c:pt idx="33">
                  <c:v>0.16500000000000001</c:v>
                </c:pt>
                <c:pt idx="34">
                  <c:v>0.99099999999999999</c:v>
                </c:pt>
                <c:pt idx="35">
                  <c:v>0</c:v>
                </c:pt>
                <c:pt idx="36">
                  <c:v>0</c:v>
                </c:pt>
                <c:pt idx="37">
                  <c:v>3.3580000000000001</c:v>
                </c:pt>
                <c:pt idx="38">
                  <c:v>8.5909999999999993</c:v>
                </c:pt>
                <c:pt idx="39">
                  <c:v>0.85199999999999998</c:v>
                </c:pt>
                <c:pt idx="40">
                  <c:v>32.195</c:v>
                </c:pt>
                <c:pt idx="41">
                  <c:v>0</c:v>
                </c:pt>
                <c:pt idx="42">
                  <c:v>1.3</c:v>
                </c:pt>
                <c:pt idx="43">
                  <c:v>0</c:v>
                </c:pt>
              </c:numCache>
            </c:numRef>
          </c:val>
        </c:ser>
        <c:dLbls>
          <c:showLegendKey val="0"/>
          <c:showVal val="0"/>
          <c:showCatName val="0"/>
          <c:showSerName val="0"/>
          <c:showPercent val="0"/>
          <c:showBubbleSize val="0"/>
        </c:dLbls>
        <c:gapWidth val="30"/>
        <c:overlap val="100"/>
        <c:axId val="204018736"/>
        <c:axId val="204019296"/>
      </c:barChart>
      <c:catAx>
        <c:axId val="20401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19296"/>
        <c:crosses val="autoZero"/>
        <c:auto val="1"/>
        <c:lblAlgn val="ctr"/>
        <c:lblOffset val="100"/>
        <c:noMultiLvlLbl val="0"/>
      </c:catAx>
      <c:valAx>
        <c:axId val="20401929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18736"/>
        <c:crosses val="autoZero"/>
        <c:crossBetween val="between"/>
      </c:valAx>
      <c:spPr>
        <a:noFill/>
        <a:ln>
          <a:noFill/>
        </a:ln>
        <a:effectLst/>
      </c:spPr>
    </c:plotArea>
    <c:legend>
      <c:legendPos val="b"/>
      <c:layout>
        <c:manualLayout>
          <c:xMode val="edge"/>
          <c:yMode val="edge"/>
          <c:x val="0.46478857893692666"/>
          <c:y val="0"/>
          <c:w val="0.53325755284306942"/>
          <c:h val="0.11551837270341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Industrial </a:t>
            </a:r>
          </a:p>
          <a:p>
            <a:pPr algn="l">
              <a:defRPr/>
            </a:pPr>
            <a:r>
              <a:rPr lang="en-AU" baseline="0"/>
              <a:t>Regional Victoria</a:t>
            </a:r>
          </a:p>
          <a:p>
            <a:pPr algn="l">
              <a:defRPr/>
            </a:pPr>
            <a:r>
              <a:rPr lang="en-AU" sz="1400" b="0" i="0" u="none" strike="noStrike" baseline="0">
                <a:effectLst/>
              </a:rPr>
              <a:t>First 9 Months of 2016-17</a:t>
            </a:r>
          </a:p>
          <a:p>
            <a:pPr algn="l">
              <a:defRPr/>
            </a:pPr>
            <a:r>
              <a:rPr lang="en-AU" sz="1000" baseline="0"/>
              <a:t>Source: ABS Building Approvals</a:t>
            </a:r>
            <a:endParaRPr lang="en-AU" sz="1000"/>
          </a:p>
        </c:rich>
      </c:tx>
      <c:layout>
        <c:manualLayout>
          <c:xMode val="edge"/>
          <c:yMode val="edge"/>
          <c:x val="1.6560691419848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9220172981733"/>
          <c:y val="0.17890089209584983"/>
          <c:w val="0.71115362257570147"/>
          <c:h val="0.80750501660067975"/>
        </c:manualLayout>
      </c:layout>
      <c:barChart>
        <c:barDir val="bar"/>
        <c:grouping val="stacked"/>
        <c:varyColors val="0"/>
        <c:ser>
          <c:idx val="0"/>
          <c:order val="0"/>
          <c:tx>
            <c:strRef>
              <c:f>'Value Q2 1617'!$BH$7</c:f>
              <c:strCache>
                <c:ptCount val="1"/>
                <c:pt idx="0">
                  <c:v>Factories and other secondary production buildings</c:v>
                </c:pt>
              </c:strCache>
            </c:strRef>
          </c:tx>
          <c:spPr>
            <a:solidFill>
              <a:srgbClr val="7030A0"/>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1617'!$BH$52:$BH$104</c:f>
              <c:numCache>
                <c:formatCode>_-"$"* #,##0_-;\-"$"* #,##0_-;_-"$"* "-"??_-;_-@_-</c:formatCode>
                <c:ptCount val="53"/>
                <c:pt idx="0">
                  <c:v>0</c:v>
                </c:pt>
                <c:pt idx="1">
                  <c:v>1.6060000000000001</c:v>
                </c:pt>
                <c:pt idx="2">
                  <c:v>0.36799999999999999</c:v>
                </c:pt>
                <c:pt idx="3">
                  <c:v>4.3460000000000001</c:v>
                </c:pt>
                <c:pt idx="4">
                  <c:v>3.919</c:v>
                </c:pt>
                <c:pt idx="5">
                  <c:v>0.129</c:v>
                </c:pt>
                <c:pt idx="6">
                  <c:v>0.75</c:v>
                </c:pt>
                <c:pt idx="7">
                  <c:v>2.0779999999999998</c:v>
                </c:pt>
                <c:pt idx="8">
                  <c:v>1.1399999999999999</c:v>
                </c:pt>
                <c:pt idx="9">
                  <c:v>0</c:v>
                </c:pt>
                <c:pt idx="10">
                  <c:v>4.7519999999999998</c:v>
                </c:pt>
                <c:pt idx="11">
                  <c:v>0</c:v>
                </c:pt>
                <c:pt idx="12">
                  <c:v>0</c:v>
                </c:pt>
                <c:pt idx="13">
                  <c:v>0</c:v>
                </c:pt>
                <c:pt idx="14">
                  <c:v>1.1559999999999999</c:v>
                </c:pt>
                <c:pt idx="15">
                  <c:v>0.45</c:v>
                </c:pt>
                <c:pt idx="16">
                  <c:v>2.4</c:v>
                </c:pt>
                <c:pt idx="17">
                  <c:v>0</c:v>
                </c:pt>
                <c:pt idx="18">
                  <c:v>0.75</c:v>
                </c:pt>
                <c:pt idx="19">
                  <c:v>0</c:v>
                </c:pt>
                <c:pt idx="20">
                  <c:v>0.29699999999999999</c:v>
                </c:pt>
                <c:pt idx="21">
                  <c:v>0</c:v>
                </c:pt>
                <c:pt idx="22">
                  <c:v>0</c:v>
                </c:pt>
                <c:pt idx="23">
                  <c:v>0</c:v>
                </c:pt>
                <c:pt idx="24">
                  <c:v>0.77500000000000002</c:v>
                </c:pt>
                <c:pt idx="25">
                  <c:v>0.7</c:v>
                </c:pt>
                <c:pt idx="26">
                  <c:v>0.1</c:v>
                </c:pt>
                <c:pt idx="27">
                  <c:v>0</c:v>
                </c:pt>
                <c:pt idx="28">
                  <c:v>2.6</c:v>
                </c:pt>
                <c:pt idx="29">
                  <c:v>0.2</c:v>
                </c:pt>
                <c:pt idx="30">
                  <c:v>1.7130000000000001</c:v>
                </c:pt>
                <c:pt idx="31">
                  <c:v>3.387</c:v>
                </c:pt>
                <c:pt idx="32">
                  <c:v>0.75</c:v>
                </c:pt>
                <c:pt idx="33">
                  <c:v>0</c:v>
                </c:pt>
                <c:pt idx="34">
                  <c:v>0</c:v>
                </c:pt>
                <c:pt idx="35">
                  <c:v>0</c:v>
                </c:pt>
                <c:pt idx="36">
                  <c:v>0</c:v>
                </c:pt>
                <c:pt idx="37">
                  <c:v>0.2</c:v>
                </c:pt>
                <c:pt idx="38">
                  <c:v>0</c:v>
                </c:pt>
                <c:pt idx="39">
                  <c:v>0</c:v>
                </c:pt>
                <c:pt idx="40">
                  <c:v>10.595000000000001</c:v>
                </c:pt>
                <c:pt idx="41">
                  <c:v>0.125</c:v>
                </c:pt>
                <c:pt idx="42">
                  <c:v>3.5939999999999999</c:v>
                </c:pt>
                <c:pt idx="43">
                  <c:v>0</c:v>
                </c:pt>
                <c:pt idx="44">
                  <c:v>0</c:v>
                </c:pt>
                <c:pt idx="45">
                  <c:v>0</c:v>
                </c:pt>
                <c:pt idx="46">
                  <c:v>0</c:v>
                </c:pt>
                <c:pt idx="47">
                  <c:v>4.0209999999999999</c:v>
                </c:pt>
                <c:pt idx="48">
                  <c:v>0</c:v>
                </c:pt>
                <c:pt idx="49">
                  <c:v>1.1499999999999999</c:v>
                </c:pt>
                <c:pt idx="50">
                  <c:v>0</c:v>
                </c:pt>
                <c:pt idx="51">
                  <c:v>0</c:v>
                </c:pt>
                <c:pt idx="52">
                  <c:v>0</c:v>
                </c:pt>
              </c:numCache>
            </c:numRef>
          </c:val>
        </c:ser>
        <c:ser>
          <c:idx val="1"/>
          <c:order val="1"/>
          <c:tx>
            <c:strRef>
              <c:f>'Value Q2 1617'!$BI$7</c:f>
              <c:strCache>
                <c:ptCount val="1"/>
                <c:pt idx="0">
                  <c:v>Warehouses</c:v>
                </c:pt>
              </c:strCache>
            </c:strRef>
          </c:tx>
          <c:spPr>
            <a:solidFill>
              <a:schemeClr val="accent3"/>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1617'!$BI$52:$BI$104</c:f>
              <c:numCache>
                <c:formatCode>_-"$"* #,##0_-;\-"$"* #,##0_-;_-"$"* "-"??_-;_-@_-</c:formatCode>
                <c:ptCount val="53"/>
                <c:pt idx="0">
                  <c:v>0</c:v>
                </c:pt>
                <c:pt idx="1">
                  <c:v>8.8680000000000003</c:v>
                </c:pt>
                <c:pt idx="2">
                  <c:v>12.214</c:v>
                </c:pt>
                <c:pt idx="3">
                  <c:v>18.803000000000001</c:v>
                </c:pt>
                <c:pt idx="4">
                  <c:v>4.2169999999999996</c:v>
                </c:pt>
                <c:pt idx="5">
                  <c:v>0</c:v>
                </c:pt>
                <c:pt idx="6">
                  <c:v>1.232</c:v>
                </c:pt>
                <c:pt idx="7">
                  <c:v>3.3220000000000001</c:v>
                </c:pt>
                <c:pt idx="8">
                  <c:v>0.16</c:v>
                </c:pt>
                <c:pt idx="9">
                  <c:v>0</c:v>
                </c:pt>
                <c:pt idx="10">
                  <c:v>0.191</c:v>
                </c:pt>
                <c:pt idx="11">
                  <c:v>0</c:v>
                </c:pt>
                <c:pt idx="12">
                  <c:v>0</c:v>
                </c:pt>
                <c:pt idx="13">
                  <c:v>0.3</c:v>
                </c:pt>
                <c:pt idx="14">
                  <c:v>1.97</c:v>
                </c:pt>
                <c:pt idx="15">
                  <c:v>0.85599999999999998</c:v>
                </c:pt>
                <c:pt idx="16">
                  <c:v>0.91500000000000004</c:v>
                </c:pt>
                <c:pt idx="17">
                  <c:v>0.70399999999999996</c:v>
                </c:pt>
                <c:pt idx="18">
                  <c:v>0.40100000000000002</c:v>
                </c:pt>
                <c:pt idx="19">
                  <c:v>0</c:v>
                </c:pt>
                <c:pt idx="20">
                  <c:v>0.622</c:v>
                </c:pt>
                <c:pt idx="21">
                  <c:v>3.319</c:v>
                </c:pt>
                <c:pt idx="22">
                  <c:v>0</c:v>
                </c:pt>
                <c:pt idx="23">
                  <c:v>0</c:v>
                </c:pt>
                <c:pt idx="24">
                  <c:v>0</c:v>
                </c:pt>
                <c:pt idx="25">
                  <c:v>0.155</c:v>
                </c:pt>
                <c:pt idx="26">
                  <c:v>0.38</c:v>
                </c:pt>
                <c:pt idx="27">
                  <c:v>5.6000000000000001E-2</c:v>
                </c:pt>
                <c:pt idx="28">
                  <c:v>0.873</c:v>
                </c:pt>
                <c:pt idx="29">
                  <c:v>7.0000000000000007E-2</c:v>
                </c:pt>
                <c:pt idx="30">
                  <c:v>0.68799999999999994</c:v>
                </c:pt>
                <c:pt idx="31">
                  <c:v>7.1999999999999995E-2</c:v>
                </c:pt>
                <c:pt idx="32">
                  <c:v>0.67200000000000004</c:v>
                </c:pt>
                <c:pt idx="33">
                  <c:v>0.44</c:v>
                </c:pt>
                <c:pt idx="34">
                  <c:v>0.63800000000000001</c:v>
                </c:pt>
                <c:pt idx="35">
                  <c:v>1.2</c:v>
                </c:pt>
                <c:pt idx="36">
                  <c:v>0</c:v>
                </c:pt>
                <c:pt idx="37">
                  <c:v>0.13900000000000001</c:v>
                </c:pt>
                <c:pt idx="38">
                  <c:v>0</c:v>
                </c:pt>
                <c:pt idx="39">
                  <c:v>0.125</c:v>
                </c:pt>
                <c:pt idx="40">
                  <c:v>6.0999999999999999E-2</c:v>
                </c:pt>
                <c:pt idx="41">
                  <c:v>0</c:v>
                </c:pt>
                <c:pt idx="42">
                  <c:v>0</c:v>
                </c:pt>
                <c:pt idx="43">
                  <c:v>0.309</c:v>
                </c:pt>
                <c:pt idx="44">
                  <c:v>0</c:v>
                </c:pt>
                <c:pt idx="45">
                  <c:v>0.67100000000000004</c:v>
                </c:pt>
                <c:pt idx="46">
                  <c:v>0</c:v>
                </c:pt>
                <c:pt idx="47">
                  <c:v>0.90400000000000003</c:v>
                </c:pt>
                <c:pt idx="48">
                  <c:v>0</c:v>
                </c:pt>
                <c:pt idx="49">
                  <c:v>1.466</c:v>
                </c:pt>
                <c:pt idx="50">
                  <c:v>0.25600000000000001</c:v>
                </c:pt>
                <c:pt idx="51">
                  <c:v>0</c:v>
                </c:pt>
                <c:pt idx="52">
                  <c:v>0</c:v>
                </c:pt>
              </c:numCache>
            </c:numRef>
          </c:val>
        </c:ser>
        <c:ser>
          <c:idx val="2"/>
          <c:order val="2"/>
          <c:tx>
            <c:strRef>
              <c:f>'Value Q2 1617'!$BJ$7</c:f>
              <c:strCache>
                <c:ptCount val="1"/>
                <c:pt idx="0">
                  <c:v>Agricultural and aquacultural buildings</c:v>
                </c:pt>
              </c:strCache>
            </c:strRef>
          </c:tx>
          <c:spPr>
            <a:solidFill>
              <a:schemeClr val="accent5"/>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1617'!$BJ$52:$BJ$104</c:f>
              <c:numCache>
                <c:formatCode>_-"$"* #,##0_-;\-"$"* #,##0_-;_-"$"* "-"??_-;_-@_-</c:formatCode>
                <c:ptCount val="53"/>
                <c:pt idx="0">
                  <c:v>0</c:v>
                </c:pt>
                <c:pt idx="1">
                  <c:v>0.69799999999999995</c:v>
                </c:pt>
                <c:pt idx="2">
                  <c:v>5.4619999999999997</c:v>
                </c:pt>
                <c:pt idx="3">
                  <c:v>3.448</c:v>
                </c:pt>
                <c:pt idx="4">
                  <c:v>3.3109999999999999</c:v>
                </c:pt>
                <c:pt idx="5">
                  <c:v>0.38500000000000001</c:v>
                </c:pt>
                <c:pt idx="6">
                  <c:v>0.19400000000000001</c:v>
                </c:pt>
                <c:pt idx="7">
                  <c:v>2.3370000000000002</c:v>
                </c:pt>
                <c:pt idx="8">
                  <c:v>0.53100000000000003</c:v>
                </c:pt>
                <c:pt idx="9">
                  <c:v>0.11</c:v>
                </c:pt>
                <c:pt idx="10">
                  <c:v>0</c:v>
                </c:pt>
                <c:pt idx="11">
                  <c:v>0</c:v>
                </c:pt>
                <c:pt idx="12">
                  <c:v>0</c:v>
                </c:pt>
                <c:pt idx="13">
                  <c:v>0.13100000000000001</c:v>
                </c:pt>
                <c:pt idx="14">
                  <c:v>1.712</c:v>
                </c:pt>
                <c:pt idx="15">
                  <c:v>0.55700000000000005</c:v>
                </c:pt>
                <c:pt idx="16">
                  <c:v>0.98799999999999999</c:v>
                </c:pt>
                <c:pt idx="17">
                  <c:v>0.31</c:v>
                </c:pt>
                <c:pt idx="18">
                  <c:v>0.25900000000000001</c:v>
                </c:pt>
                <c:pt idx="19">
                  <c:v>0</c:v>
                </c:pt>
                <c:pt idx="20">
                  <c:v>0.33600000000000002</c:v>
                </c:pt>
                <c:pt idx="21">
                  <c:v>0.35099999999999998</c:v>
                </c:pt>
                <c:pt idx="22">
                  <c:v>0</c:v>
                </c:pt>
                <c:pt idx="23">
                  <c:v>0</c:v>
                </c:pt>
                <c:pt idx="24">
                  <c:v>7.3999999999999996E-2</c:v>
                </c:pt>
                <c:pt idx="25">
                  <c:v>0.25800000000000001</c:v>
                </c:pt>
                <c:pt idx="26">
                  <c:v>0.14399999999999999</c:v>
                </c:pt>
                <c:pt idx="27">
                  <c:v>0.33</c:v>
                </c:pt>
                <c:pt idx="28">
                  <c:v>14.877000000000001</c:v>
                </c:pt>
                <c:pt idx="29">
                  <c:v>1.0109999999999999</c:v>
                </c:pt>
                <c:pt idx="30">
                  <c:v>0.60799999999999998</c:v>
                </c:pt>
                <c:pt idx="31">
                  <c:v>2.0590000000000002</c:v>
                </c:pt>
                <c:pt idx="32">
                  <c:v>0.374</c:v>
                </c:pt>
                <c:pt idx="33">
                  <c:v>0.39100000000000001</c:v>
                </c:pt>
                <c:pt idx="34">
                  <c:v>0.219</c:v>
                </c:pt>
                <c:pt idx="35">
                  <c:v>3.46</c:v>
                </c:pt>
                <c:pt idx="36">
                  <c:v>1.998</c:v>
                </c:pt>
                <c:pt idx="37">
                  <c:v>0</c:v>
                </c:pt>
                <c:pt idx="38">
                  <c:v>6.5720000000000001</c:v>
                </c:pt>
                <c:pt idx="39">
                  <c:v>5.8000000000000003E-2</c:v>
                </c:pt>
                <c:pt idx="40">
                  <c:v>8.6530000000000005</c:v>
                </c:pt>
                <c:pt idx="41">
                  <c:v>0.51700000000000002</c:v>
                </c:pt>
                <c:pt idx="42">
                  <c:v>0.82299999999999995</c:v>
                </c:pt>
                <c:pt idx="43">
                  <c:v>70.757000000000005</c:v>
                </c:pt>
                <c:pt idx="44">
                  <c:v>0.72599999999999998</c:v>
                </c:pt>
                <c:pt idx="45">
                  <c:v>0.378</c:v>
                </c:pt>
                <c:pt idx="46">
                  <c:v>0.93200000000000005</c:v>
                </c:pt>
                <c:pt idx="47">
                  <c:v>1.0189999999999999</c:v>
                </c:pt>
                <c:pt idx="48">
                  <c:v>5.6000000000000001E-2</c:v>
                </c:pt>
                <c:pt idx="49">
                  <c:v>0.371</c:v>
                </c:pt>
                <c:pt idx="50">
                  <c:v>0</c:v>
                </c:pt>
                <c:pt idx="51">
                  <c:v>0.95099999999999996</c:v>
                </c:pt>
                <c:pt idx="52">
                  <c:v>0</c:v>
                </c:pt>
              </c:numCache>
            </c:numRef>
          </c:val>
        </c:ser>
        <c:ser>
          <c:idx val="3"/>
          <c:order val="3"/>
          <c:tx>
            <c:strRef>
              <c:f>'Value Q2 1617'!$BK$7</c:f>
              <c:strCache>
                <c:ptCount val="1"/>
                <c:pt idx="0">
                  <c:v>Other industrial buildings </c:v>
                </c:pt>
              </c:strCache>
            </c:strRef>
          </c:tx>
          <c:spPr>
            <a:solidFill>
              <a:srgbClr val="CC00CC"/>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1617'!$BK$52:$BK$104</c:f>
              <c:numCache>
                <c:formatCode>_-"$"* #,##0_-;\-"$"* #,##0_-;_-"$"* "-"??_-;_-@_-</c:formatCode>
                <c:ptCount val="53"/>
                <c:pt idx="0">
                  <c:v>0</c:v>
                </c:pt>
                <c:pt idx="1">
                  <c:v>0.41299999999999998</c:v>
                </c:pt>
                <c:pt idx="2">
                  <c:v>1.343</c:v>
                </c:pt>
                <c:pt idx="3">
                  <c:v>1.35</c:v>
                </c:pt>
                <c:pt idx="4">
                  <c:v>0.107</c:v>
                </c:pt>
                <c:pt idx="5">
                  <c:v>0.495</c:v>
                </c:pt>
                <c:pt idx="6">
                  <c:v>0.55300000000000005</c:v>
                </c:pt>
                <c:pt idx="7">
                  <c:v>0.46899999999999997</c:v>
                </c:pt>
                <c:pt idx="8">
                  <c:v>0</c:v>
                </c:pt>
                <c:pt idx="9">
                  <c:v>0.53700000000000003</c:v>
                </c:pt>
                <c:pt idx="10">
                  <c:v>1.2689999999999999</c:v>
                </c:pt>
                <c:pt idx="11">
                  <c:v>0</c:v>
                </c:pt>
                <c:pt idx="12">
                  <c:v>0</c:v>
                </c:pt>
                <c:pt idx="13">
                  <c:v>6.5000000000000002E-2</c:v>
                </c:pt>
                <c:pt idx="14">
                  <c:v>0.155</c:v>
                </c:pt>
                <c:pt idx="15">
                  <c:v>0</c:v>
                </c:pt>
                <c:pt idx="16">
                  <c:v>0.05</c:v>
                </c:pt>
                <c:pt idx="17">
                  <c:v>1.3520000000000001</c:v>
                </c:pt>
                <c:pt idx="18">
                  <c:v>0.56000000000000005</c:v>
                </c:pt>
                <c:pt idx="19">
                  <c:v>0</c:v>
                </c:pt>
                <c:pt idx="20">
                  <c:v>0.89</c:v>
                </c:pt>
                <c:pt idx="21">
                  <c:v>0.2</c:v>
                </c:pt>
                <c:pt idx="22">
                  <c:v>0</c:v>
                </c:pt>
                <c:pt idx="23">
                  <c:v>0</c:v>
                </c:pt>
                <c:pt idx="24">
                  <c:v>0.254</c:v>
                </c:pt>
                <c:pt idx="25">
                  <c:v>0.42799999999999999</c:v>
                </c:pt>
                <c:pt idx="26">
                  <c:v>0.627</c:v>
                </c:pt>
                <c:pt idx="27">
                  <c:v>7.4999999999999997E-2</c:v>
                </c:pt>
                <c:pt idx="28">
                  <c:v>0.59499999999999997</c:v>
                </c:pt>
                <c:pt idx="29">
                  <c:v>0.2</c:v>
                </c:pt>
                <c:pt idx="30">
                  <c:v>0</c:v>
                </c:pt>
                <c:pt idx="31">
                  <c:v>0</c:v>
                </c:pt>
                <c:pt idx="32">
                  <c:v>0.67</c:v>
                </c:pt>
                <c:pt idx="33">
                  <c:v>0.13100000000000001</c:v>
                </c:pt>
                <c:pt idx="34">
                  <c:v>0.36899999999999999</c:v>
                </c:pt>
                <c:pt idx="35">
                  <c:v>7.1999999999999995E-2</c:v>
                </c:pt>
                <c:pt idx="36">
                  <c:v>0</c:v>
                </c:pt>
                <c:pt idx="37">
                  <c:v>0.20200000000000001</c:v>
                </c:pt>
                <c:pt idx="38">
                  <c:v>0.151</c:v>
                </c:pt>
                <c:pt idx="39">
                  <c:v>0.05</c:v>
                </c:pt>
                <c:pt idx="40">
                  <c:v>1.5</c:v>
                </c:pt>
                <c:pt idx="41">
                  <c:v>0</c:v>
                </c:pt>
                <c:pt idx="42">
                  <c:v>5.3999999999999999E-2</c:v>
                </c:pt>
                <c:pt idx="43">
                  <c:v>0.73099999999999998</c:v>
                </c:pt>
                <c:pt idx="44">
                  <c:v>0.08</c:v>
                </c:pt>
                <c:pt idx="45">
                  <c:v>0.06</c:v>
                </c:pt>
                <c:pt idx="46">
                  <c:v>0.115</c:v>
                </c:pt>
                <c:pt idx="47">
                  <c:v>1.409</c:v>
                </c:pt>
                <c:pt idx="48">
                  <c:v>0.19</c:v>
                </c:pt>
                <c:pt idx="49">
                  <c:v>0.153</c:v>
                </c:pt>
                <c:pt idx="50">
                  <c:v>0</c:v>
                </c:pt>
                <c:pt idx="51">
                  <c:v>0</c:v>
                </c:pt>
                <c:pt idx="52">
                  <c:v>0</c:v>
                </c:pt>
              </c:numCache>
            </c:numRef>
          </c:val>
        </c:ser>
        <c:dLbls>
          <c:showLegendKey val="0"/>
          <c:showVal val="0"/>
          <c:showCatName val="0"/>
          <c:showSerName val="0"/>
          <c:showPercent val="0"/>
          <c:showBubbleSize val="0"/>
        </c:dLbls>
        <c:gapWidth val="30"/>
        <c:overlap val="100"/>
        <c:axId val="204023216"/>
        <c:axId val="204023776"/>
      </c:barChart>
      <c:catAx>
        <c:axId val="204023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23776"/>
        <c:crosses val="autoZero"/>
        <c:auto val="1"/>
        <c:lblAlgn val="ctr"/>
        <c:lblOffset val="100"/>
        <c:noMultiLvlLbl val="0"/>
      </c:catAx>
      <c:valAx>
        <c:axId val="20402377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23216"/>
        <c:crosses val="autoZero"/>
        <c:crossBetween val="between"/>
      </c:valAx>
      <c:spPr>
        <a:noFill/>
        <a:ln>
          <a:noFill/>
        </a:ln>
        <a:effectLst/>
      </c:spPr>
    </c:plotArea>
    <c:legend>
      <c:legendPos val="b"/>
      <c:layout>
        <c:manualLayout>
          <c:xMode val="edge"/>
          <c:yMode val="edge"/>
          <c:x val="0.48863411368880905"/>
          <c:y val="2.5831010808238734E-2"/>
          <c:w val="0.50717486656449817"/>
          <c:h val="0.101480974384693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a:t>
            </a:r>
          </a:p>
          <a:p>
            <a:pPr algn="l">
              <a:defRPr/>
            </a:pPr>
            <a:r>
              <a:rPr lang="en-AU" baseline="0"/>
              <a:t>Other building types </a:t>
            </a:r>
          </a:p>
          <a:p>
            <a:pPr algn="l">
              <a:defRPr/>
            </a:pPr>
            <a:r>
              <a:rPr lang="en-AU" baseline="0"/>
              <a:t>Metropolitan Melbourne </a:t>
            </a:r>
          </a:p>
          <a:p>
            <a:pPr algn="l">
              <a:defRPr/>
            </a:pPr>
            <a:r>
              <a:rPr lang="en-AU" sz="1400" b="0" i="0" u="none" strike="noStrike" baseline="0">
                <a:effectLst/>
              </a:rPr>
              <a:t>First 9 months of 2016-17</a:t>
            </a:r>
            <a:endParaRPr lang="en-AU" baseline="0"/>
          </a:p>
          <a:p>
            <a:pPr algn="l">
              <a:defRPr/>
            </a:pPr>
            <a:r>
              <a:rPr lang="en-AU" sz="1000" baseline="0"/>
              <a:t>Source: ABS Building Approvals</a:t>
            </a:r>
            <a:endParaRPr lang="en-AU" sz="1000"/>
          </a:p>
        </c:rich>
      </c:tx>
      <c:layout>
        <c:manualLayout>
          <c:xMode val="edge"/>
          <c:yMode val="edge"/>
          <c:x val="1.6560691419848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946016163043722"/>
          <c:w val="0.73539170574389501"/>
          <c:h val="0.79180434977679071"/>
        </c:manualLayout>
      </c:layout>
      <c:barChart>
        <c:barDir val="bar"/>
        <c:grouping val="stacked"/>
        <c:varyColors val="0"/>
        <c:ser>
          <c:idx val="0"/>
          <c:order val="0"/>
          <c:tx>
            <c:strRef>
              <c:f>'Value Q2 1617'!$BX$7</c:f>
              <c:strCache>
                <c:ptCount val="1"/>
                <c:pt idx="0">
                  <c:v>Education buildings</c:v>
                </c:pt>
              </c:strCache>
            </c:strRef>
          </c:tx>
          <c:spPr>
            <a:solidFill>
              <a:schemeClr val="accent6"/>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1617'!$BX$8:$BX$51</c:f>
              <c:numCache>
                <c:formatCode>_-"$"* #,##0_-;\-"$"* #,##0_-;_-"$"* "-"??_-;_-@_-</c:formatCode>
                <c:ptCount val="44"/>
                <c:pt idx="1">
                  <c:v>292.65800000000002</c:v>
                </c:pt>
                <c:pt idx="2">
                  <c:v>13.151</c:v>
                </c:pt>
                <c:pt idx="3">
                  <c:v>11.002000000000001</c:v>
                </c:pt>
                <c:pt idx="4">
                  <c:v>0</c:v>
                </c:pt>
                <c:pt idx="5">
                  <c:v>0</c:v>
                </c:pt>
                <c:pt idx="6">
                  <c:v>7.7</c:v>
                </c:pt>
                <c:pt idx="7">
                  <c:v>15.351000000000001</c:v>
                </c:pt>
                <c:pt idx="8">
                  <c:v>25.940999999999999</c:v>
                </c:pt>
                <c:pt idx="9">
                  <c:v>249.73400000000001</c:v>
                </c:pt>
                <c:pt idx="10">
                  <c:v>33.545000000000002</c:v>
                </c:pt>
                <c:pt idx="11">
                  <c:v>16.616</c:v>
                </c:pt>
                <c:pt idx="14">
                  <c:v>51.183</c:v>
                </c:pt>
                <c:pt idx="15">
                  <c:v>26.948</c:v>
                </c:pt>
                <c:pt idx="16">
                  <c:v>29.122</c:v>
                </c:pt>
                <c:pt idx="17">
                  <c:v>15.682</c:v>
                </c:pt>
                <c:pt idx="19">
                  <c:v>0</c:v>
                </c:pt>
                <c:pt idx="20">
                  <c:v>28.605</c:v>
                </c:pt>
                <c:pt idx="21">
                  <c:v>13.273999999999999</c:v>
                </c:pt>
                <c:pt idx="22">
                  <c:v>15.077999999999999</c:v>
                </c:pt>
                <c:pt idx="23">
                  <c:v>4.556</c:v>
                </c:pt>
                <c:pt idx="24">
                  <c:v>15.305</c:v>
                </c:pt>
                <c:pt idx="25">
                  <c:v>16.808</c:v>
                </c:pt>
                <c:pt idx="26">
                  <c:v>25.172000000000001</c:v>
                </c:pt>
                <c:pt idx="27">
                  <c:v>0</c:v>
                </c:pt>
                <c:pt idx="28">
                  <c:v>0</c:v>
                </c:pt>
                <c:pt idx="29">
                  <c:v>20.302</c:v>
                </c:pt>
                <c:pt idx="30">
                  <c:v>24.64</c:v>
                </c:pt>
                <c:pt idx="31">
                  <c:v>12.026</c:v>
                </c:pt>
                <c:pt idx="32">
                  <c:v>10.79</c:v>
                </c:pt>
                <c:pt idx="33">
                  <c:v>4.032</c:v>
                </c:pt>
                <c:pt idx="34">
                  <c:v>8.7829999999999995</c:v>
                </c:pt>
                <c:pt idx="35">
                  <c:v>0</c:v>
                </c:pt>
                <c:pt idx="36">
                  <c:v>0</c:v>
                </c:pt>
                <c:pt idx="37">
                  <c:v>17.584</c:v>
                </c:pt>
                <c:pt idx="38">
                  <c:v>5.4509999999999996</c:v>
                </c:pt>
                <c:pt idx="39">
                  <c:v>8.282</c:v>
                </c:pt>
                <c:pt idx="40">
                  <c:v>13.132999999999999</c:v>
                </c:pt>
                <c:pt idx="41">
                  <c:v>20.495999999999999</c:v>
                </c:pt>
                <c:pt idx="42">
                  <c:v>56.183999999999997</c:v>
                </c:pt>
                <c:pt idx="43">
                  <c:v>0</c:v>
                </c:pt>
              </c:numCache>
            </c:numRef>
          </c:val>
        </c:ser>
        <c:ser>
          <c:idx val="1"/>
          <c:order val="1"/>
          <c:tx>
            <c:strRef>
              <c:f>'Value Q2 1617'!$BY$7</c:f>
              <c:strCache>
                <c:ptCount val="1"/>
                <c:pt idx="0">
                  <c:v>Religion buildings</c:v>
                </c:pt>
              </c:strCache>
            </c:strRef>
          </c:tx>
          <c:spPr>
            <a:solidFill>
              <a:schemeClr val="accent5"/>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1617'!$BY$8:$BY$51</c:f>
              <c:numCache>
                <c:formatCode>_-"$"* #,##0_-;\-"$"* #,##0_-;_-"$"* "-"??_-;_-@_-</c:formatCode>
                <c:ptCount val="44"/>
                <c:pt idx="1">
                  <c:v>0.15</c:v>
                </c:pt>
                <c:pt idx="2">
                  <c:v>0</c:v>
                </c:pt>
                <c:pt idx="3">
                  <c:v>4.4329999999999998</c:v>
                </c:pt>
                <c:pt idx="4">
                  <c:v>0</c:v>
                </c:pt>
                <c:pt idx="5">
                  <c:v>0</c:v>
                </c:pt>
                <c:pt idx="6">
                  <c:v>0.72499999999999998</c:v>
                </c:pt>
                <c:pt idx="7">
                  <c:v>0.114</c:v>
                </c:pt>
                <c:pt idx="8">
                  <c:v>0</c:v>
                </c:pt>
                <c:pt idx="9">
                  <c:v>0.90800000000000003</c:v>
                </c:pt>
                <c:pt idx="10">
                  <c:v>4.5289999999999999</c:v>
                </c:pt>
                <c:pt idx="11">
                  <c:v>0.27500000000000002</c:v>
                </c:pt>
                <c:pt idx="14">
                  <c:v>6.2E-2</c:v>
                </c:pt>
                <c:pt idx="15">
                  <c:v>1.85</c:v>
                </c:pt>
                <c:pt idx="16">
                  <c:v>0</c:v>
                </c:pt>
                <c:pt idx="17">
                  <c:v>0.94099999999999995</c:v>
                </c:pt>
                <c:pt idx="19">
                  <c:v>0</c:v>
                </c:pt>
                <c:pt idx="20">
                  <c:v>0</c:v>
                </c:pt>
                <c:pt idx="21">
                  <c:v>0</c:v>
                </c:pt>
                <c:pt idx="22">
                  <c:v>0.18</c:v>
                </c:pt>
                <c:pt idx="23">
                  <c:v>0</c:v>
                </c:pt>
                <c:pt idx="24">
                  <c:v>0.51700000000000002</c:v>
                </c:pt>
                <c:pt idx="25">
                  <c:v>7.8E-2</c:v>
                </c:pt>
                <c:pt idx="26">
                  <c:v>0</c:v>
                </c:pt>
                <c:pt idx="27">
                  <c:v>0</c:v>
                </c:pt>
                <c:pt idx="28">
                  <c:v>0</c:v>
                </c:pt>
                <c:pt idx="29">
                  <c:v>0.06</c:v>
                </c:pt>
                <c:pt idx="30">
                  <c:v>4.0789999999999997</c:v>
                </c:pt>
                <c:pt idx="31">
                  <c:v>0</c:v>
                </c:pt>
                <c:pt idx="32">
                  <c:v>1.7090000000000001</c:v>
                </c:pt>
                <c:pt idx="33">
                  <c:v>0.1</c:v>
                </c:pt>
                <c:pt idx="34">
                  <c:v>0.91500000000000004</c:v>
                </c:pt>
                <c:pt idx="35">
                  <c:v>0</c:v>
                </c:pt>
                <c:pt idx="36">
                  <c:v>0</c:v>
                </c:pt>
                <c:pt idx="37">
                  <c:v>0.30499999999999999</c:v>
                </c:pt>
                <c:pt idx="38">
                  <c:v>1.2</c:v>
                </c:pt>
                <c:pt idx="39">
                  <c:v>0.85</c:v>
                </c:pt>
                <c:pt idx="40">
                  <c:v>0.72499999999999998</c:v>
                </c:pt>
                <c:pt idx="41">
                  <c:v>0</c:v>
                </c:pt>
                <c:pt idx="42">
                  <c:v>0</c:v>
                </c:pt>
                <c:pt idx="43">
                  <c:v>0</c:v>
                </c:pt>
              </c:numCache>
            </c:numRef>
          </c:val>
        </c:ser>
        <c:ser>
          <c:idx val="2"/>
          <c:order val="2"/>
          <c:tx>
            <c:strRef>
              <c:f>'Value Q2 1617'!$BZ$7</c:f>
              <c:strCache>
                <c:ptCount val="1"/>
                <c:pt idx="0">
                  <c:v>Aged care facilities</c:v>
                </c:pt>
              </c:strCache>
            </c:strRef>
          </c:tx>
          <c:spPr>
            <a:solidFill>
              <a:schemeClr val="accent4"/>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1617'!$BZ$8:$BZ$51</c:f>
              <c:numCache>
                <c:formatCode>_-"$"* #,##0_-;\-"$"* #,##0_-;_-"$"* "-"??_-;_-@_-</c:formatCode>
                <c:ptCount val="44"/>
                <c:pt idx="1">
                  <c:v>0</c:v>
                </c:pt>
                <c:pt idx="2">
                  <c:v>0.995</c:v>
                </c:pt>
                <c:pt idx="3">
                  <c:v>36.533999999999999</c:v>
                </c:pt>
                <c:pt idx="4">
                  <c:v>0</c:v>
                </c:pt>
                <c:pt idx="5">
                  <c:v>0</c:v>
                </c:pt>
                <c:pt idx="6">
                  <c:v>0.89600000000000002</c:v>
                </c:pt>
                <c:pt idx="7">
                  <c:v>4.3849999999999998</c:v>
                </c:pt>
                <c:pt idx="8">
                  <c:v>0</c:v>
                </c:pt>
                <c:pt idx="9">
                  <c:v>0.59899999999999998</c:v>
                </c:pt>
                <c:pt idx="10">
                  <c:v>52.112000000000002</c:v>
                </c:pt>
                <c:pt idx="11">
                  <c:v>7.7770000000000001</c:v>
                </c:pt>
                <c:pt idx="14">
                  <c:v>1.27</c:v>
                </c:pt>
                <c:pt idx="15">
                  <c:v>1.9</c:v>
                </c:pt>
                <c:pt idx="16">
                  <c:v>14.515000000000001</c:v>
                </c:pt>
                <c:pt idx="17">
                  <c:v>0</c:v>
                </c:pt>
                <c:pt idx="19">
                  <c:v>0</c:v>
                </c:pt>
                <c:pt idx="20">
                  <c:v>29.518000000000001</c:v>
                </c:pt>
                <c:pt idx="21">
                  <c:v>1.62</c:v>
                </c:pt>
                <c:pt idx="22">
                  <c:v>0</c:v>
                </c:pt>
                <c:pt idx="23">
                  <c:v>0</c:v>
                </c:pt>
                <c:pt idx="24">
                  <c:v>0.14699999999999999</c:v>
                </c:pt>
                <c:pt idx="25">
                  <c:v>5.5E-2</c:v>
                </c:pt>
                <c:pt idx="26">
                  <c:v>43.351999999999997</c:v>
                </c:pt>
                <c:pt idx="27">
                  <c:v>0</c:v>
                </c:pt>
                <c:pt idx="28">
                  <c:v>0</c:v>
                </c:pt>
                <c:pt idx="29">
                  <c:v>0</c:v>
                </c:pt>
                <c:pt idx="30">
                  <c:v>44.948</c:v>
                </c:pt>
                <c:pt idx="31">
                  <c:v>0.69899999999999995</c:v>
                </c:pt>
                <c:pt idx="32">
                  <c:v>24.446999999999999</c:v>
                </c:pt>
                <c:pt idx="33">
                  <c:v>6.976</c:v>
                </c:pt>
                <c:pt idx="34">
                  <c:v>20.225000000000001</c:v>
                </c:pt>
                <c:pt idx="35">
                  <c:v>0</c:v>
                </c:pt>
                <c:pt idx="36">
                  <c:v>0</c:v>
                </c:pt>
                <c:pt idx="37">
                  <c:v>0</c:v>
                </c:pt>
                <c:pt idx="38">
                  <c:v>0.06</c:v>
                </c:pt>
                <c:pt idx="39">
                  <c:v>0</c:v>
                </c:pt>
                <c:pt idx="40">
                  <c:v>0</c:v>
                </c:pt>
                <c:pt idx="41">
                  <c:v>0.09</c:v>
                </c:pt>
                <c:pt idx="42">
                  <c:v>0</c:v>
                </c:pt>
                <c:pt idx="43">
                  <c:v>0</c:v>
                </c:pt>
              </c:numCache>
            </c:numRef>
          </c:val>
        </c:ser>
        <c:ser>
          <c:idx val="3"/>
          <c:order val="3"/>
          <c:tx>
            <c:strRef>
              <c:f>'Value Q2 1617'!$CA$7</c:f>
              <c:strCache>
                <c:ptCount val="1"/>
                <c:pt idx="0">
                  <c:v>Health buildings</c:v>
                </c:pt>
              </c:strCache>
            </c:strRef>
          </c:tx>
          <c:spPr>
            <a:solidFill>
              <a:schemeClr val="accent6">
                <a:lumMod val="60000"/>
              </a:schemeClr>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1617'!$CA$8:$CA$51</c:f>
              <c:numCache>
                <c:formatCode>_-"$"* #,##0_-;\-"$"* #,##0_-;_-"$"* "-"??_-;_-@_-</c:formatCode>
                <c:ptCount val="44"/>
                <c:pt idx="1">
                  <c:v>15.503</c:v>
                </c:pt>
                <c:pt idx="2">
                  <c:v>3</c:v>
                </c:pt>
                <c:pt idx="3">
                  <c:v>12.162000000000001</c:v>
                </c:pt>
                <c:pt idx="4">
                  <c:v>0</c:v>
                </c:pt>
                <c:pt idx="5">
                  <c:v>0</c:v>
                </c:pt>
                <c:pt idx="6">
                  <c:v>21.106999999999999</c:v>
                </c:pt>
                <c:pt idx="7">
                  <c:v>0.1</c:v>
                </c:pt>
                <c:pt idx="8">
                  <c:v>7.9050000000000002</c:v>
                </c:pt>
                <c:pt idx="9">
                  <c:v>23.137</c:v>
                </c:pt>
                <c:pt idx="10">
                  <c:v>8.1549999999999994</c:v>
                </c:pt>
                <c:pt idx="11">
                  <c:v>7.7460000000000004</c:v>
                </c:pt>
                <c:pt idx="14">
                  <c:v>3.4430000000000001</c:v>
                </c:pt>
                <c:pt idx="15">
                  <c:v>2.052</c:v>
                </c:pt>
                <c:pt idx="16">
                  <c:v>9.24</c:v>
                </c:pt>
                <c:pt idx="17">
                  <c:v>22.698</c:v>
                </c:pt>
                <c:pt idx="19">
                  <c:v>0</c:v>
                </c:pt>
                <c:pt idx="20">
                  <c:v>18.821999999999999</c:v>
                </c:pt>
                <c:pt idx="21">
                  <c:v>1.05</c:v>
                </c:pt>
                <c:pt idx="22">
                  <c:v>18.318999999999999</c:v>
                </c:pt>
                <c:pt idx="23">
                  <c:v>0</c:v>
                </c:pt>
                <c:pt idx="24">
                  <c:v>33.692999999999998</c:v>
                </c:pt>
                <c:pt idx="25">
                  <c:v>0</c:v>
                </c:pt>
                <c:pt idx="26">
                  <c:v>5.0949999999999998</c:v>
                </c:pt>
                <c:pt idx="27">
                  <c:v>0</c:v>
                </c:pt>
                <c:pt idx="28">
                  <c:v>0</c:v>
                </c:pt>
                <c:pt idx="29">
                  <c:v>0.57999999999999996</c:v>
                </c:pt>
                <c:pt idx="30">
                  <c:v>96.495000000000005</c:v>
                </c:pt>
                <c:pt idx="31">
                  <c:v>14.786</c:v>
                </c:pt>
                <c:pt idx="32">
                  <c:v>0.76900000000000002</c:v>
                </c:pt>
                <c:pt idx="33">
                  <c:v>6.9219999999999997</c:v>
                </c:pt>
                <c:pt idx="34">
                  <c:v>5.1130000000000004</c:v>
                </c:pt>
                <c:pt idx="35">
                  <c:v>0</c:v>
                </c:pt>
                <c:pt idx="36">
                  <c:v>0</c:v>
                </c:pt>
                <c:pt idx="37">
                  <c:v>141.61699999999999</c:v>
                </c:pt>
                <c:pt idx="38">
                  <c:v>0.57199999999999995</c:v>
                </c:pt>
                <c:pt idx="39">
                  <c:v>0.71599999999999997</c:v>
                </c:pt>
                <c:pt idx="40">
                  <c:v>16.097999999999999</c:v>
                </c:pt>
                <c:pt idx="41">
                  <c:v>5.8040000000000003</c:v>
                </c:pt>
                <c:pt idx="42">
                  <c:v>87.242999999999995</c:v>
                </c:pt>
                <c:pt idx="43">
                  <c:v>0</c:v>
                </c:pt>
              </c:numCache>
            </c:numRef>
          </c:val>
        </c:ser>
        <c:ser>
          <c:idx val="4"/>
          <c:order val="4"/>
          <c:tx>
            <c:strRef>
              <c:f>'Value Q2 1617'!$CB$7</c:f>
              <c:strCache>
                <c:ptCount val="1"/>
                <c:pt idx="0">
                  <c:v>Entertainment and recreation buildings</c:v>
                </c:pt>
              </c:strCache>
            </c:strRef>
          </c:tx>
          <c:spPr>
            <a:solidFill>
              <a:srgbClr val="FF0000"/>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1617'!$CB$8:$CB$51</c:f>
              <c:numCache>
                <c:formatCode>_-"$"* #,##0_-;\-"$"* #,##0_-;_-"$"* "-"??_-;_-@_-</c:formatCode>
                <c:ptCount val="44"/>
                <c:pt idx="1">
                  <c:v>335.065</c:v>
                </c:pt>
                <c:pt idx="2">
                  <c:v>37.965000000000003</c:v>
                </c:pt>
                <c:pt idx="3">
                  <c:v>3.4089999999999998</c:v>
                </c:pt>
                <c:pt idx="4">
                  <c:v>0</c:v>
                </c:pt>
                <c:pt idx="5">
                  <c:v>0</c:v>
                </c:pt>
                <c:pt idx="6">
                  <c:v>12.363</c:v>
                </c:pt>
                <c:pt idx="7">
                  <c:v>22.251000000000001</c:v>
                </c:pt>
                <c:pt idx="8">
                  <c:v>2.3980000000000001</c:v>
                </c:pt>
                <c:pt idx="9">
                  <c:v>3.9470000000000001</c:v>
                </c:pt>
                <c:pt idx="10">
                  <c:v>7.2309999999999999</c:v>
                </c:pt>
                <c:pt idx="11">
                  <c:v>2.7930000000000001</c:v>
                </c:pt>
                <c:pt idx="14">
                  <c:v>9.4369999999999994</c:v>
                </c:pt>
                <c:pt idx="15">
                  <c:v>18.254999999999999</c:v>
                </c:pt>
                <c:pt idx="16">
                  <c:v>6.1749999999999998</c:v>
                </c:pt>
                <c:pt idx="17">
                  <c:v>8.907</c:v>
                </c:pt>
                <c:pt idx="19">
                  <c:v>0</c:v>
                </c:pt>
                <c:pt idx="20">
                  <c:v>8.0020000000000007</c:v>
                </c:pt>
                <c:pt idx="21">
                  <c:v>4.3490000000000002</c:v>
                </c:pt>
                <c:pt idx="22">
                  <c:v>12.542</c:v>
                </c:pt>
                <c:pt idx="23">
                  <c:v>0.38700000000000001</c:v>
                </c:pt>
                <c:pt idx="24">
                  <c:v>4.2830000000000004</c:v>
                </c:pt>
                <c:pt idx="25">
                  <c:v>16.405000000000001</c:v>
                </c:pt>
                <c:pt idx="26">
                  <c:v>4.5579999999999998</c:v>
                </c:pt>
                <c:pt idx="27">
                  <c:v>0</c:v>
                </c:pt>
                <c:pt idx="28">
                  <c:v>0</c:v>
                </c:pt>
                <c:pt idx="29">
                  <c:v>1.5840000000000001</c:v>
                </c:pt>
                <c:pt idx="30">
                  <c:v>7.9960000000000004</c:v>
                </c:pt>
                <c:pt idx="31">
                  <c:v>26.678999999999998</c:v>
                </c:pt>
                <c:pt idx="32">
                  <c:v>16.117999999999999</c:v>
                </c:pt>
                <c:pt idx="33">
                  <c:v>39.161999999999999</c:v>
                </c:pt>
                <c:pt idx="34">
                  <c:v>8.8810000000000002</c:v>
                </c:pt>
                <c:pt idx="35">
                  <c:v>0</c:v>
                </c:pt>
                <c:pt idx="36">
                  <c:v>0</c:v>
                </c:pt>
                <c:pt idx="37">
                  <c:v>10.036</c:v>
                </c:pt>
                <c:pt idx="38">
                  <c:v>1.4690000000000001</c:v>
                </c:pt>
                <c:pt idx="39">
                  <c:v>1.042</c:v>
                </c:pt>
                <c:pt idx="40">
                  <c:v>5.923</c:v>
                </c:pt>
                <c:pt idx="41">
                  <c:v>4.8170000000000002</c:v>
                </c:pt>
                <c:pt idx="42">
                  <c:v>14.739000000000001</c:v>
                </c:pt>
                <c:pt idx="43">
                  <c:v>0</c:v>
                </c:pt>
              </c:numCache>
            </c:numRef>
          </c:val>
        </c:ser>
        <c:ser>
          <c:idx val="5"/>
          <c:order val="5"/>
          <c:tx>
            <c:strRef>
              <c:f>'Value Q2 1617'!$CC$7</c:f>
              <c:strCache>
                <c:ptCount val="1"/>
                <c:pt idx="0">
                  <c:v>Short term accommodation buildings</c:v>
                </c:pt>
              </c:strCache>
            </c:strRef>
          </c:tx>
          <c:spPr>
            <a:solidFill>
              <a:schemeClr val="accent4">
                <a:lumMod val="60000"/>
              </a:schemeClr>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1617'!$CC$8:$CC$51</c:f>
              <c:numCache>
                <c:formatCode>_-"$"* #,##0_-;\-"$"* #,##0_-;_-"$"* "-"??_-;_-@_-</c:formatCode>
                <c:ptCount val="44"/>
                <c:pt idx="1">
                  <c:v>504.50900000000001</c:v>
                </c:pt>
                <c:pt idx="2">
                  <c:v>10.705</c:v>
                </c:pt>
                <c:pt idx="3">
                  <c:v>0</c:v>
                </c:pt>
                <c:pt idx="4">
                  <c:v>0</c:v>
                </c:pt>
                <c:pt idx="5">
                  <c:v>0</c:v>
                </c:pt>
                <c:pt idx="6">
                  <c:v>0.23899999999999999</c:v>
                </c:pt>
                <c:pt idx="7">
                  <c:v>0</c:v>
                </c:pt>
                <c:pt idx="8">
                  <c:v>39.840000000000003</c:v>
                </c:pt>
                <c:pt idx="9">
                  <c:v>2.1040000000000001</c:v>
                </c:pt>
                <c:pt idx="10">
                  <c:v>0</c:v>
                </c:pt>
                <c:pt idx="11">
                  <c:v>0.47899999999999998</c:v>
                </c:pt>
                <c:pt idx="14">
                  <c:v>0</c:v>
                </c:pt>
                <c:pt idx="15">
                  <c:v>0.17</c:v>
                </c:pt>
                <c:pt idx="16">
                  <c:v>0.05</c:v>
                </c:pt>
                <c:pt idx="17">
                  <c:v>0</c:v>
                </c:pt>
                <c:pt idx="19">
                  <c:v>0</c:v>
                </c:pt>
                <c:pt idx="20">
                  <c:v>0</c:v>
                </c:pt>
                <c:pt idx="21">
                  <c:v>0.2</c:v>
                </c:pt>
                <c:pt idx="22">
                  <c:v>0.92</c:v>
                </c:pt>
                <c:pt idx="23">
                  <c:v>0</c:v>
                </c:pt>
                <c:pt idx="24">
                  <c:v>0</c:v>
                </c:pt>
                <c:pt idx="25">
                  <c:v>0.16800000000000001</c:v>
                </c:pt>
                <c:pt idx="26">
                  <c:v>0</c:v>
                </c:pt>
                <c:pt idx="27">
                  <c:v>0</c:v>
                </c:pt>
                <c:pt idx="28">
                  <c:v>0</c:v>
                </c:pt>
                <c:pt idx="29">
                  <c:v>0</c:v>
                </c:pt>
                <c:pt idx="30">
                  <c:v>6.2E-2</c:v>
                </c:pt>
                <c:pt idx="31">
                  <c:v>0.77300000000000002</c:v>
                </c:pt>
                <c:pt idx="32">
                  <c:v>0.13400000000000001</c:v>
                </c:pt>
                <c:pt idx="33">
                  <c:v>0.5</c:v>
                </c:pt>
                <c:pt idx="34">
                  <c:v>2.6579999999999999</c:v>
                </c:pt>
                <c:pt idx="35">
                  <c:v>0</c:v>
                </c:pt>
                <c:pt idx="36">
                  <c:v>0</c:v>
                </c:pt>
                <c:pt idx="37">
                  <c:v>0</c:v>
                </c:pt>
                <c:pt idx="38">
                  <c:v>0</c:v>
                </c:pt>
                <c:pt idx="39">
                  <c:v>0</c:v>
                </c:pt>
                <c:pt idx="40">
                  <c:v>4</c:v>
                </c:pt>
                <c:pt idx="41">
                  <c:v>0.27900000000000003</c:v>
                </c:pt>
                <c:pt idx="42">
                  <c:v>0.06</c:v>
                </c:pt>
                <c:pt idx="43">
                  <c:v>0</c:v>
                </c:pt>
              </c:numCache>
            </c:numRef>
          </c:val>
        </c:ser>
        <c:ser>
          <c:idx val="6"/>
          <c:order val="6"/>
          <c:tx>
            <c:strRef>
              <c:f>'Value Q2 1617'!$CD$7</c:f>
              <c:strCache>
                <c:ptCount val="1"/>
                <c:pt idx="0">
                  <c:v>Other non-residential</c:v>
                </c:pt>
              </c:strCache>
            </c:strRef>
          </c:tx>
          <c:spPr>
            <a:solidFill>
              <a:srgbClr val="00B0F0"/>
            </a:solidFill>
            <a:ln>
              <a:solidFill>
                <a:schemeClr val="tx1"/>
              </a:solidFill>
            </a:ln>
            <a:effectLst/>
          </c:spPr>
          <c:invertIfNegative val="0"/>
          <c:cat>
            <c:strRef>
              <c:f>'Value Q2 1617'!$AC$8:$AC$50</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'Value Q2 1617'!$CD$8:$CD$51</c:f>
              <c:numCache>
                <c:formatCode>_-"$"* #,##0_-;\-"$"* #,##0_-;_-"$"* "-"??_-;_-@_-</c:formatCode>
                <c:ptCount val="44"/>
                <c:pt idx="1">
                  <c:v>16.460999999999999</c:v>
                </c:pt>
                <c:pt idx="2">
                  <c:v>5.585</c:v>
                </c:pt>
                <c:pt idx="3">
                  <c:v>3.5640000000000001</c:v>
                </c:pt>
                <c:pt idx="4">
                  <c:v>0</c:v>
                </c:pt>
                <c:pt idx="5">
                  <c:v>0</c:v>
                </c:pt>
                <c:pt idx="6">
                  <c:v>2.25</c:v>
                </c:pt>
                <c:pt idx="7">
                  <c:v>2.0499999999999998</c:v>
                </c:pt>
                <c:pt idx="8">
                  <c:v>5.4489999999999998</c:v>
                </c:pt>
                <c:pt idx="9">
                  <c:v>5.5919999999999996</c:v>
                </c:pt>
                <c:pt idx="10">
                  <c:v>3.42</c:v>
                </c:pt>
                <c:pt idx="11">
                  <c:v>0.68799999999999994</c:v>
                </c:pt>
                <c:pt idx="14">
                  <c:v>18.844999999999999</c:v>
                </c:pt>
                <c:pt idx="15">
                  <c:v>14.936999999999999</c:v>
                </c:pt>
                <c:pt idx="16">
                  <c:v>3.1469999999999998</c:v>
                </c:pt>
                <c:pt idx="17">
                  <c:v>0.624</c:v>
                </c:pt>
                <c:pt idx="19">
                  <c:v>0</c:v>
                </c:pt>
                <c:pt idx="20">
                  <c:v>5.5359999999999996</c:v>
                </c:pt>
                <c:pt idx="21">
                  <c:v>9.5389999999999997</c:v>
                </c:pt>
                <c:pt idx="22">
                  <c:v>6.3470000000000004</c:v>
                </c:pt>
                <c:pt idx="23">
                  <c:v>1.155</c:v>
                </c:pt>
                <c:pt idx="24">
                  <c:v>4.5970000000000004</c:v>
                </c:pt>
                <c:pt idx="25">
                  <c:v>0.25800000000000001</c:v>
                </c:pt>
                <c:pt idx="26">
                  <c:v>17.02</c:v>
                </c:pt>
                <c:pt idx="27">
                  <c:v>0</c:v>
                </c:pt>
                <c:pt idx="28">
                  <c:v>0</c:v>
                </c:pt>
                <c:pt idx="29">
                  <c:v>2.2349999999999999</c:v>
                </c:pt>
                <c:pt idx="30">
                  <c:v>8.7899999999999991</c:v>
                </c:pt>
                <c:pt idx="31">
                  <c:v>4.5199999999999996</c:v>
                </c:pt>
                <c:pt idx="32">
                  <c:v>5.3949999999999996</c:v>
                </c:pt>
                <c:pt idx="33">
                  <c:v>8.3350000000000009</c:v>
                </c:pt>
                <c:pt idx="34">
                  <c:v>3.0219999999999998</c:v>
                </c:pt>
                <c:pt idx="35">
                  <c:v>0</c:v>
                </c:pt>
                <c:pt idx="36">
                  <c:v>0</c:v>
                </c:pt>
                <c:pt idx="37">
                  <c:v>1.5960000000000001</c:v>
                </c:pt>
                <c:pt idx="38">
                  <c:v>8.4390000000000001</c:v>
                </c:pt>
                <c:pt idx="39">
                  <c:v>4.2750000000000004</c:v>
                </c:pt>
                <c:pt idx="40">
                  <c:v>50.25</c:v>
                </c:pt>
                <c:pt idx="41">
                  <c:v>0.85199999999999998</c:v>
                </c:pt>
                <c:pt idx="42">
                  <c:v>13.16</c:v>
                </c:pt>
                <c:pt idx="43">
                  <c:v>0</c:v>
                </c:pt>
              </c:numCache>
            </c:numRef>
          </c:val>
        </c:ser>
        <c:dLbls>
          <c:showLegendKey val="0"/>
          <c:showVal val="0"/>
          <c:showCatName val="0"/>
          <c:showSerName val="0"/>
          <c:showPercent val="0"/>
          <c:showBubbleSize val="0"/>
        </c:dLbls>
        <c:gapWidth val="30"/>
        <c:overlap val="100"/>
        <c:axId val="204444320"/>
        <c:axId val="204444880"/>
      </c:barChart>
      <c:catAx>
        <c:axId val="204444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44880"/>
        <c:crosses val="autoZero"/>
        <c:auto val="1"/>
        <c:lblAlgn val="ctr"/>
        <c:lblOffset val="100"/>
        <c:noMultiLvlLbl val="0"/>
      </c:catAx>
      <c:valAx>
        <c:axId val="2044448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44320"/>
        <c:crosses val="autoZero"/>
        <c:crossBetween val="between"/>
      </c:valAx>
      <c:spPr>
        <a:noFill/>
        <a:ln>
          <a:noFill/>
        </a:ln>
        <a:effectLst/>
      </c:spPr>
    </c:plotArea>
    <c:legend>
      <c:legendPos val="b"/>
      <c:layout>
        <c:manualLayout>
          <c:xMode val="edge"/>
          <c:yMode val="edge"/>
          <c:x val="0.49576751326158575"/>
          <c:y val="0"/>
          <c:w val="0.50423248673841425"/>
          <c:h val="0.138078315261821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a:t>
            </a:r>
          </a:p>
          <a:p>
            <a:pPr algn="l">
              <a:defRPr/>
            </a:pPr>
            <a:r>
              <a:rPr lang="en-AU" baseline="0"/>
              <a:t>Other building types </a:t>
            </a:r>
          </a:p>
          <a:p>
            <a:pPr algn="l">
              <a:defRPr/>
            </a:pPr>
            <a:r>
              <a:rPr lang="en-AU" baseline="0"/>
              <a:t>Regional Victoria</a:t>
            </a:r>
          </a:p>
          <a:p>
            <a:pPr algn="l">
              <a:defRPr/>
            </a:pPr>
            <a:r>
              <a:rPr lang="en-AU" sz="1400" b="0" i="0" u="none" strike="noStrike" baseline="0">
                <a:effectLst/>
              </a:rPr>
              <a:t>First 9 months of 2016-17</a:t>
            </a:r>
          </a:p>
          <a:p>
            <a:pPr algn="l">
              <a:defRPr/>
            </a:pPr>
            <a:r>
              <a:rPr lang="en-AU" sz="1000" baseline="0"/>
              <a:t>Source: ABS Building Approvals</a:t>
            </a:r>
            <a:endParaRPr lang="en-AU" sz="1000"/>
          </a:p>
        </c:rich>
      </c:tx>
      <c:layout>
        <c:manualLayout>
          <c:xMode val="edge"/>
          <c:yMode val="edge"/>
          <c:x val="1.6561109209174941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957374109330862"/>
          <c:y val="0.17350457775056599"/>
          <c:w val="0.68895713906408462"/>
          <c:h val="0.812901354102889"/>
        </c:manualLayout>
      </c:layout>
      <c:barChart>
        <c:barDir val="bar"/>
        <c:grouping val="stacked"/>
        <c:varyColors val="0"/>
        <c:ser>
          <c:idx val="0"/>
          <c:order val="0"/>
          <c:tx>
            <c:strRef>
              <c:f>'Value Q2 1617'!$BX$7</c:f>
              <c:strCache>
                <c:ptCount val="1"/>
                <c:pt idx="0">
                  <c:v>Education buildings</c:v>
                </c:pt>
              </c:strCache>
            </c:strRef>
          </c:tx>
          <c:spPr>
            <a:solidFill>
              <a:schemeClr val="accent6"/>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1617'!$BX$52:$BX$104</c:f>
              <c:numCache>
                <c:formatCode>_-"$"* #,##0_-;\-"$"* #,##0_-;_-"$"* "-"??_-;_-@_-</c:formatCode>
                <c:ptCount val="53"/>
                <c:pt idx="0">
                  <c:v>0</c:v>
                </c:pt>
                <c:pt idx="1">
                  <c:v>20.582999999999998</c:v>
                </c:pt>
                <c:pt idx="2">
                  <c:v>13.215999999999999</c:v>
                </c:pt>
                <c:pt idx="3">
                  <c:v>146.64599999999999</c:v>
                </c:pt>
                <c:pt idx="4">
                  <c:v>15.705</c:v>
                </c:pt>
                <c:pt idx="5">
                  <c:v>11.973000000000001</c:v>
                </c:pt>
                <c:pt idx="6">
                  <c:v>7.282</c:v>
                </c:pt>
                <c:pt idx="7">
                  <c:v>0.94199999999999995</c:v>
                </c:pt>
                <c:pt idx="8">
                  <c:v>5.87</c:v>
                </c:pt>
                <c:pt idx="9">
                  <c:v>2.1150000000000002</c:v>
                </c:pt>
                <c:pt idx="10">
                  <c:v>1.548</c:v>
                </c:pt>
                <c:pt idx="11">
                  <c:v>0</c:v>
                </c:pt>
                <c:pt idx="12">
                  <c:v>0</c:v>
                </c:pt>
                <c:pt idx="13">
                  <c:v>9.8480000000000008</c:v>
                </c:pt>
                <c:pt idx="14">
                  <c:v>0.92600000000000005</c:v>
                </c:pt>
                <c:pt idx="15">
                  <c:v>47.627000000000002</c:v>
                </c:pt>
                <c:pt idx="16">
                  <c:v>24.035</c:v>
                </c:pt>
                <c:pt idx="17">
                  <c:v>3.0579999999999998</c:v>
                </c:pt>
                <c:pt idx="18">
                  <c:v>2.081</c:v>
                </c:pt>
                <c:pt idx="19">
                  <c:v>0</c:v>
                </c:pt>
                <c:pt idx="20">
                  <c:v>5.0270000000000001</c:v>
                </c:pt>
                <c:pt idx="21">
                  <c:v>21.309000000000001</c:v>
                </c:pt>
                <c:pt idx="22">
                  <c:v>0</c:v>
                </c:pt>
                <c:pt idx="23">
                  <c:v>0</c:v>
                </c:pt>
                <c:pt idx="24">
                  <c:v>2.7890000000000001</c:v>
                </c:pt>
                <c:pt idx="25">
                  <c:v>1.9430000000000001</c:v>
                </c:pt>
                <c:pt idx="26">
                  <c:v>0.49199999999999999</c:v>
                </c:pt>
                <c:pt idx="27">
                  <c:v>1.02</c:v>
                </c:pt>
                <c:pt idx="28">
                  <c:v>9.3840000000000003</c:v>
                </c:pt>
                <c:pt idx="29">
                  <c:v>0.13100000000000001</c:v>
                </c:pt>
                <c:pt idx="30">
                  <c:v>5.117</c:v>
                </c:pt>
                <c:pt idx="31">
                  <c:v>8.7629999999999999</c:v>
                </c:pt>
                <c:pt idx="32">
                  <c:v>0.54200000000000004</c:v>
                </c:pt>
                <c:pt idx="33">
                  <c:v>2.8559999999999999</c:v>
                </c:pt>
                <c:pt idx="34">
                  <c:v>1.9510000000000001</c:v>
                </c:pt>
                <c:pt idx="35">
                  <c:v>7.0819999999999999</c:v>
                </c:pt>
                <c:pt idx="36">
                  <c:v>0</c:v>
                </c:pt>
                <c:pt idx="37">
                  <c:v>0</c:v>
                </c:pt>
                <c:pt idx="38">
                  <c:v>0.92</c:v>
                </c:pt>
                <c:pt idx="39">
                  <c:v>2.7919999999999998</c:v>
                </c:pt>
                <c:pt idx="40">
                  <c:v>5.87</c:v>
                </c:pt>
                <c:pt idx="41">
                  <c:v>0.151</c:v>
                </c:pt>
                <c:pt idx="42">
                  <c:v>0.66100000000000003</c:v>
                </c:pt>
                <c:pt idx="43">
                  <c:v>0.18099999999999999</c:v>
                </c:pt>
                <c:pt idx="44">
                  <c:v>0</c:v>
                </c:pt>
                <c:pt idx="45">
                  <c:v>1.9379999999999999</c:v>
                </c:pt>
                <c:pt idx="46">
                  <c:v>6.0999999999999999E-2</c:v>
                </c:pt>
                <c:pt idx="47">
                  <c:v>0.61</c:v>
                </c:pt>
                <c:pt idx="48">
                  <c:v>0</c:v>
                </c:pt>
                <c:pt idx="49">
                  <c:v>13.297000000000001</c:v>
                </c:pt>
                <c:pt idx="50">
                  <c:v>0.29099999999999998</c:v>
                </c:pt>
                <c:pt idx="51">
                  <c:v>0</c:v>
                </c:pt>
                <c:pt idx="52">
                  <c:v>0.129</c:v>
                </c:pt>
              </c:numCache>
            </c:numRef>
          </c:val>
        </c:ser>
        <c:ser>
          <c:idx val="1"/>
          <c:order val="1"/>
          <c:tx>
            <c:strRef>
              <c:f>'Value Q2 1617'!$BY$7</c:f>
              <c:strCache>
                <c:ptCount val="1"/>
                <c:pt idx="0">
                  <c:v>Religion buildings</c:v>
                </c:pt>
              </c:strCache>
            </c:strRef>
          </c:tx>
          <c:spPr>
            <a:solidFill>
              <a:schemeClr val="accent5"/>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1617'!$BY$52:$BY$104</c:f>
              <c:numCache>
                <c:formatCode>_-"$"* #,##0_-;\-"$"* #,##0_-;_-"$"* "-"??_-;_-@_-</c:formatCode>
                <c:ptCount val="53"/>
                <c:pt idx="0">
                  <c:v>0</c:v>
                </c:pt>
                <c:pt idx="1">
                  <c:v>0</c:v>
                </c:pt>
                <c:pt idx="2">
                  <c:v>0.627</c:v>
                </c:pt>
                <c:pt idx="3">
                  <c:v>0.82</c:v>
                </c:pt>
                <c:pt idx="4">
                  <c:v>0</c:v>
                </c:pt>
                <c:pt idx="5">
                  <c:v>4.9119999999999999</c:v>
                </c:pt>
                <c:pt idx="6">
                  <c:v>0</c:v>
                </c:pt>
                <c:pt idx="7">
                  <c:v>0</c:v>
                </c:pt>
                <c:pt idx="8">
                  <c:v>0</c:v>
                </c:pt>
                <c:pt idx="9">
                  <c:v>0</c:v>
                </c:pt>
                <c:pt idx="10">
                  <c:v>0</c:v>
                </c:pt>
                <c:pt idx="11">
                  <c:v>0</c:v>
                </c:pt>
                <c:pt idx="12">
                  <c:v>0</c:v>
                </c:pt>
                <c:pt idx="13">
                  <c:v>0.06</c:v>
                </c:pt>
                <c:pt idx="14">
                  <c:v>0.25</c:v>
                </c:pt>
                <c:pt idx="15">
                  <c:v>0.499</c:v>
                </c:pt>
                <c:pt idx="16">
                  <c:v>0</c:v>
                </c:pt>
                <c:pt idx="17">
                  <c:v>0</c:v>
                </c:pt>
                <c:pt idx="18">
                  <c:v>7.4999999999999997E-2</c:v>
                </c:pt>
                <c:pt idx="19">
                  <c:v>0</c:v>
                </c:pt>
                <c:pt idx="20">
                  <c:v>0</c:v>
                </c:pt>
                <c:pt idx="21">
                  <c:v>0.35</c:v>
                </c:pt>
                <c:pt idx="22">
                  <c:v>0</c:v>
                </c:pt>
                <c:pt idx="23">
                  <c:v>0</c:v>
                </c:pt>
                <c:pt idx="24">
                  <c:v>0</c:v>
                </c:pt>
                <c:pt idx="25">
                  <c:v>0</c:v>
                </c:pt>
                <c:pt idx="26">
                  <c:v>0</c:v>
                </c:pt>
                <c:pt idx="27">
                  <c:v>0</c:v>
                </c:pt>
                <c:pt idx="28">
                  <c:v>0</c:v>
                </c:pt>
                <c:pt idx="29">
                  <c:v>0</c:v>
                </c:pt>
                <c:pt idx="30">
                  <c:v>0.315</c:v>
                </c:pt>
                <c:pt idx="31">
                  <c:v>0</c:v>
                </c:pt>
                <c:pt idx="32">
                  <c:v>0</c:v>
                </c:pt>
                <c:pt idx="33">
                  <c:v>0.14799999999999999</c:v>
                </c:pt>
                <c:pt idx="34">
                  <c:v>0</c:v>
                </c:pt>
                <c:pt idx="35">
                  <c:v>0</c:v>
                </c:pt>
                <c:pt idx="36">
                  <c:v>0</c:v>
                </c:pt>
                <c:pt idx="37">
                  <c:v>0</c:v>
                </c:pt>
                <c:pt idx="38">
                  <c:v>0</c:v>
                </c:pt>
                <c:pt idx="39">
                  <c:v>0</c:v>
                </c:pt>
                <c:pt idx="40">
                  <c:v>0.4</c:v>
                </c:pt>
                <c:pt idx="41">
                  <c:v>0</c:v>
                </c:pt>
                <c:pt idx="42">
                  <c:v>0</c:v>
                </c:pt>
                <c:pt idx="43">
                  <c:v>0</c:v>
                </c:pt>
                <c:pt idx="44">
                  <c:v>0</c:v>
                </c:pt>
                <c:pt idx="45">
                  <c:v>5.6000000000000001E-2</c:v>
                </c:pt>
                <c:pt idx="46">
                  <c:v>0</c:v>
                </c:pt>
                <c:pt idx="47">
                  <c:v>0</c:v>
                </c:pt>
                <c:pt idx="48">
                  <c:v>0</c:v>
                </c:pt>
                <c:pt idx="49">
                  <c:v>0</c:v>
                </c:pt>
                <c:pt idx="50">
                  <c:v>0</c:v>
                </c:pt>
                <c:pt idx="51">
                  <c:v>0</c:v>
                </c:pt>
                <c:pt idx="52">
                  <c:v>0</c:v>
                </c:pt>
              </c:numCache>
            </c:numRef>
          </c:val>
        </c:ser>
        <c:ser>
          <c:idx val="2"/>
          <c:order val="2"/>
          <c:tx>
            <c:strRef>
              <c:f>'Value Q2 1617'!$BZ$7</c:f>
              <c:strCache>
                <c:ptCount val="1"/>
                <c:pt idx="0">
                  <c:v>Aged care facilities</c:v>
                </c:pt>
              </c:strCache>
            </c:strRef>
          </c:tx>
          <c:spPr>
            <a:solidFill>
              <a:schemeClr val="accent4"/>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1617'!$BZ$52:$BZ$104</c:f>
              <c:numCache>
                <c:formatCode>_-"$"* #,##0_-;\-"$"* #,##0_-;_-"$"* "-"??_-;_-@_-</c:formatCode>
                <c:ptCount val="53"/>
                <c:pt idx="0">
                  <c:v>0</c:v>
                </c:pt>
                <c:pt idx="1">
                  <c:v>25.64</c:v>
                </c:pt>
                <c:pt idx="2">
                  <c:v>5.4740000000000002</c:v>
                </c:pt>
                <c:pt idx="3">
                  <c:v>45.545999999999999</c:v>
                </c:pt>
                <c:pt idx="4">
                  <c:v>0</c:v>
                </c:pt>
                <c:pt idx="5">
                  <c:v>0</c:v>
                </c:pt>
                <c:pt idx="6">
                  <c:v>0</c:v>
                </c:pt>
                <c:pt idx="7">
                  <c:v>3.54</c:v>
                </c:pt>
                <c:pt idx="8">
                  <c:v>1.1240000000000001</c:v>
                </c:pt>
                <c:pt idx="9">
                  <c:v>0</c:v>
                </c:pt>
                <c:pt idx="10">
                  <c:v>0</c:v>
                </c:pt>
                <c:pt idx="11">
                  <c:v>0</c:v>
                </c:pt>
                <c:pt idx="12">
                  <c:v>0</c:v>
                </c:pt>
                <c:pt idx="13">
                  <c:v>0</c:v>
                </c:pt>
                <c:pt idx="14">
                  <c:v>0</c:v>
                </c:pt>
                <c:pt idx="15">
                  <c:v>0</c:v>
                </c:pt>
                <c:pt idx="16">
                  <c:v>0</c:v>
                </c:pt>
                <c:pt idx="17">
                  <c:v>0</c:v>
                </c:pt>
                <c:pt idx="18">
                  <c:v>0.4</c:v>
                </c:pt>
                <c:pt idx="19">
                  <c:v>0</c:v>
                </c:pt>
                <c:pt idx="20">
                  <c:v>0.13700000000000001</c:v>
                </c:pt>
                <c:pt idx="21">
                  <c:v>0.85</c:v>
                </c:pt>
                <c:pt idx="22">
                  <c:v>0</c:v>
                </c:pt>
                <c:pt idx="23">
                  <c:v>0</c:v>
                </c:pt>
                <c:pt idx="24">
                  <c:v>0</c:v>
                </c:pt>
                <c:pt idx="25">
                  <c:v>0</c:v>
                </c:pt>
                <c:pt idx="26">
                  <c:v>0</c:v>
                </c:pt>
                <c:pt idx="27">
                  <c:v>0</c:v>
                </c:pt>
                <c:pt idx="28">
                  <c:v>2.4329999999999998</c:v>
                </c:pt>
                <c:pt idx="29">
                  <c:v>0</c:v>
                </c:pt>
                <c:pt idx="30">
                  <c:v>0</c:v>
                </c:pt>
                <c:pt idx="31">
                  <c:v>0</c:v>
                </c:pt>
                <c:pt idx="32">
                  <c:v>0</c:v>
                </c:pt>
                <c:pt idx="33">
                  <c:v>0</c:v>
                </c:pt>
                <c:pt idx="34">
                  <c:v>0</c:v>
                </c:pt>
                <c:pt idx="35">
                  <c:v>1.24</c:v>
                </c:pt>
                <c:pt idx="36">
                  <c:v>0</c:v>
                </c:pt>
                <c:pt idx="37">
                  <c:v>0</c:v>
                </c:pt>
                <c:pt idx="38">
                  <c:v>0</c:v>
                </c:pt>
                <c:pt idx="39">
                  <c:v>0</c:v>
                </c:pt>
                <c:pt idx="40">
                  <c:v>0.8</c:v>
                </c:pt>
                <c:pt idx="41">
                  <c:v>0</c:v>
                </c:pt>
                <c:pt idx="42">
                  <c:v>0</c:v>
                </c:pt>
                <c:pt idx="43">
                  <c:v>0</c:v>
                </c:pt>
                <c:pt idx="44">
                  <c:v>0</c:v>
                </c:pt>
                <c:pt idx="45">
                  <c:v>0</c:v>
                </c:pt>
                <c:pt idx="46">
                  <c:v>0</c:v>
                </c:pt>
                <c:pt idx="47">
                  <c:v>0</c:v>
                </c:pt>
                <c:pt idx="48">
                  <c:v>0</c:v>
                </c:pt>
                <c:pt idx="49">
                  <c:v>0</c:v>
                </c:pt>
                <c:pt idx="50">
                  <c:v>0</c:v>
                </c:pt>
                <c:pt idx="51">
                  <c:v>0</c:v>
                </c:pt>
                <c:pt idx="52">
                  <c:v>0</c:v>
                </c:pt>
              </c:numCache>
            </c:numRef>
          </c:val>
        </c:ser>
        <c:ser>
          <c:idx val="3"/>
          <c:order val="3"/>
          <c:tx>
            <c:strRef>
              <c:f>'Value Q2 1617'!$CA$7</c:f>
              <c:strCache>
                <c:ptCount val="1"/>
                <c:pt idx="0">
                  <c:v>Health buildings</c:v>
                </c:pt>
              </c:strCache>
            </c:strRef>
          </c:tx>
          <c:spPr>
            <a:solidFill>
              <a:schemeClr val="accent6">
                <a:lumMod val="60000"/>
              </a:schemeClr>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1617'!$CA$52:$CA$104</c:f>
              <c:numCache>
                <c:formatCode>_-"$"* #,##0_-;\-"$"* #,##0_-;_-"$"* "-"??_-;_-@_-</c:formatCode>
                <c:ptCount val="53"/>
                <c:pt idx="0">
                  <c:v>0</c:v>
                </c:pt>
                <c:pt idx="1">
                  <c:v>10.095000000000001</c:v>
                </c:pt>
                <c:pt idx="2">
                  <c:v>3.0150000000000001</c:v>
                </c:pt>
                <c:pt idx="3">
                  <c:v>3.4860000000000002</c:v>
                </c:pt>
                <c:pt idx="4">
                  <c:v>3.6339999999999999</c:v>
                </c:pt>
                <c:pt idx="5">
                  <c:v>0.18</c:v>
                </c:pt>
                <c:pt idx="6">
                  <c:v>0</c:v>
                </c:pt>
                <c:pt idx="7">
                  <c:v>3.323</c:v>
                </c:pt>
                <c:pt idx="8">
                  <c:v>0</c:v>
                </c:pt>
                <c:pt idx="9">
                  <c:v>4.3979999999999997</c:v>
                </c:pt>
                <c:pt idx="10">
                  <c:v>6.5000000000000002E-2</c:v>
                </c:pt>
                <c:pt idx="11">
                  <c:v>0</c:v>
                </c:pt>
                <c:pt idx="12">
                  <c:v>0</c:v>
                </c:pt>
                <c:pt idx="13">
                  <c:v>0</c:v>
                </c:pt>
                <c:pt idx="14">
                  <c:v>0.39500000000000002</c:v>
                </c:pt>
                <c:pt idx="15">
                  <c:v>0</c:v>
                </c:pt>
                <c:pt idx="16">
                  <c:v>0.33100000000000002</c:v>
                </c:pt>
                <c:pt idx="17">
                  <c:v>0.499</c:v>
                </c:pt>
                <c:pt idx="18">
                  <c:v>0</c:v>
                </c:pt>
                <c:pt idx="19">
                  <c:v>5.0999999999999996</c:v>
                </c:pt>
                <c:pt idx="20">
                  <c:v>4.7309999999999999</c:v>
                </c:pt>
                <c:pt idx="21">
                  <c:v>6.657</c:v>
                </c:pt>
                <c:pt idx="22">
                  <c:v>0</c:v>
                </c:pt>
                <c:pt idx="23">
                  <c:v>0</c:v>
                </c:pt>
                <c:pt idx="24">
                  <c:v>0</c:v>
                </c:pt>
                <c:pt idx="25">
                  <c:v>0</c:v>
                </c:pt>
                <c:pt idx="26">
                  <c:v>0.49099999999999999</c:v>
                </c:pt>
                <c:pt idx="27">
                  <c:v>3.2629999999999999</c:v>
                </c:pt>
                <c:pt idx="28">
                  <c:v>0</c:v>
                </c:pt>
                <c:pt idx="29">
                  <c:v>0</c:v>
                </c:pt>
                <c:pt idx="30">
                  <c:v>0</c:v>
                </c:pt>
                <c:pt idx="31">
                  <c:v>0</c:v>
                </c:pt>
                <c:pt idx="32">
                  <c:v>3.7669999999999999</c:v>
                </c:pt>
                <c:pt idx="33">
                  <c:v>0.317</c:v>
                </c:pt>
                <c:pt idx="34">
                  <c:v>0</c:v>
                </c:pt>
                <c:pt idx="35">
                  <c:v>0</c:v>
                </c:pt>
                <c:pt idx="36">
                  <c:v>0</c:v>
                </c:pt>
                <c:pt idx="37">
                  <c:v>0</c:v>
                </c:pt>
                <c:pt idx="38">
                  <c:v>0.10100000000000001</c:v>
                </c:pt>
                <c:pt idx="39">
                  <c:v>0</c:v>
                </c:pt>
                <c:pt idx="40">
                  <c:v>0.1</c:v>
                </c:pt>
                <c:pt idx="41">
                  <c:v>0</c:v>
                </c:pt>
                <c:pt idx="42">
                  <c:v>0</c:v>
                </c:pt>
                <c:pt idx="43">
                  <c:v>0</c:v>
                </c:pt>
                <c:pt idx="44">
                  <c:v>0</c:v>
                </c:pt>
                <c:pt idx="45">
                  <c:v>0</c:v>
                </c:pt>
                <c:pt idx="46">
                  <c:v>0.437</c:v>
                </c:pt>
                <c:pt idx="47">
                  <c:v>0.84499999999999997</c:v>
                </c:pt>
                <c:pt idx="48">
                  <c:v>0</c:v>
                </c:pt>
                <c:pt idx="49">
                  <c:v>0</c:v>
                </c:pt>
                <c:pt idx="50">
                  <c:v>0</c:v>
                </c:pt>
                <c:pt idx="51">
                  <c:v>0</c:v>
                </c:pt>
                <c:pt idx="52">
                  <c:v>0</c:v>
                </c:pt>
              </c:numCache>
            </c:numRef>
          </c:val>
        </c:ser>
        <c:ser>
          <c:idx val="4"/>
          <c:order val="4"/>
          <c:tx>
            <c:strRef>
              <c:f>'Value Q2 1617'!$CB$7</c:f>
              <c:strCache>
                <c:ptCount val="1"/>
                <c:pt idx="0">
                  <c:v>Entertainment and recreation buildings</c:v>
                </c:pt>
              </c:strCache>
            </c:strRef>
          </c:tx>
          <c:spPr>
            <a:solidFill>
              <a:srgbClr val="FF0000"/>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1617'!$CB$52:$CB$104</c:f>
              <c:numCache>
                <c:formatCode>_-"$"* #,##0_-;\-"$"* #,##0_-;_-"$"* "-"??_-;_-@_-</c:formatCode>
                <c:ptCount val="53"/>
                <c:pt idx="0">
                  <c:v>0</c:v>
                </c:pt>
                <c:pt idx="1">
                  <c:v>27.829000000000001</c:v>
                </c:pt>
                <c:pt idx="2">
                  <c:v>27.899000000000001</c:v>
                </c:pt>
                <c:pt idx="3">
                  <c:v>7.891</c:v>
                </c:pt>
                <c:pt idx="4">
                  <c:v>3.7170000000000001</c:v>
                </c:pt>
                <c:pt idx="5">
                  <c:v>3.843</c:v>
                </c:pt>
                <c:pt idx="6">
                  <c:v>3.5910000000000002</c:v>
                </c:pt>
                <c:pt idx="7">
                  <c:v>2.1</c:v>
                </c:pt>
                <c:pt idx="8">
                  <c:v>0</c:v>
                </c:pt>
                <c:pt idx="9">
                  <c:v>2.06</c:v>
                </c:pt>
                <c:pt idx="10">
                  <c:v>1.75</c:v>
                </c:pt>
                <c:pt idx="11">
                  <c:v>0</c:v>
                </c:pt>
                <c:pt idx="12">
                  <c:v>0</c:v>
                </c:pt>
                <c:pt idx="13">
                  <c:v>0.128</c:v>
                </c:pt>
                <c:pt idx="14">
                  <c:v>6.1639999999999997</c:v>
                </c:pt>
                <c:pt idx="15">
                  <c:v>0.755</c:v>
                </c:pt>
                <c:pt idx="16">
                  <c:v>0.69499999999999995</c:v>
                </c:pt>
                <c:pt idx="17">
                  <c:v>0.439</c:v>
                </c:pt>
                <c:pt idx="18">
                  <c:v>0.40799999999999997</c:v>
                </c:pt>
                <c:pt idx="19">
                  <c:v>0</c:v>
                </c:pt>
                <c:pt idx="20">
                  <c:v>0</c:v>
                </c:pt>
                <c:pt idx="21">
                  <c:v>4.16</c:v>
                </c:pt>
                <c:pt idx="22">
                  <c:v>0</c:v>
                </c:pt>
                <c:pt idx="23">
                  <c:v>0</c:v>
                </c:pt>
                <c:pt idx="24">
                  <c:v>0.34799999999999998</c:v>
                </c:pt>
                <c:pt idx="25">
                  <c:v>0.4</c:v>
                </c:pt>
                <c:pt idx="26">
                  <c:v>6.2E-2</c:v>
                </c:pt>
                <c:pt idx="27">
                  <c:v>8.5000000000000006E-2</c:v>
                </c:pt>
                <c:pt idx="28">
                  <c:v>0.57699999999999996</c:v>
                </c:pt>
                <c:pt idx="29">
                  <c:v>0</c:v>
                </c:pt>
                <c:pt idx="30">
                  <c:v>0</c:v>
                </c:pt>
                <c:pt idx="31">
                  <c:v>0</c:v>
                </c:pt>
                <c:pt idx="32">
                  <c:v>0.35</c:v>
                </c:pt>
                <c:pt idx="33">
                  <c:v>8.5999999999999993E-2</c:v>
                </c:pt>
                <c:pt idx="34">
                  <c:v>0.28999999999999998</c:v>
                </c:pt>
                <c:pt idx="35">
                  <c:v>0.35799999999999998</c:v>
                </c:pt>
                <c:pt idx="36">
                  <c:v>0</c:v>
                </c:pt>
                <c:pt idx="37">
                  <c:v>0</c:v>
                </c:pt>
                <c:pt idx="38">
                  <c:v>1.1000000000000001</c:v>
                </c:pt>
                <c:pt idx="39">
                  <c:v>0</c:v>
                </c:pt>
                <c:pt idx="40">
                  <c:v>0</c:v>
                </c:pt>
                <c:pt idx="41">
                  <c:v>0</c:v>
                </c:pt>
                <c:pt idx="42">
                  <c:v>0.5</c:v>
                </c:pt>
                <c:pt idx="43">
                  <c:v>0</c:v>
                </c:pt>
                <c:pt idx="44">
                  <c:v>0</c:v>
                </c:pt>
                <c:pt idx="45">
                  <c:v>0.20100000000000001</c:v>
                </c:pt>
                <c:pt idx="46">
                  <c:v>0.33800000000000002</c:v>
                </c:pt>
                <c:pt idx="47">
                  <c:v>1.6339999999999999</c:v>
                </c:pt>
                <c:pt idx="48">
                  <c:v>0.2</c:v>
                </c:pt>
                <c:pt idx="49">
                  <c:v>0</c:v>
                </c:pt>
                <c:pt idx="50">
                  <c:v>1.3520000000000001</c:v>
                </c:pt>
                <c:pt idx="51">
                  <c:v>0.28000000000000003</c:v>
                </c:pt>
                <c:pt idx="52">
                  <c:v>0</c:v>
                </c:pt>
              </c:numCache>
            </c:numRef>
          </c:val>
        </c:ser>
        <c:ser>
          <c:idx val="5"/>
          <c:order val="5"/>
          <c:tx>
            <c:strRef>
              <c:f>'Value Q2 1617'!$CC$7</c:f>
              <c:strCache>
                <c:ptCount val="1"/>
                <c:pt idx="0">
                  <c:v>Short term accommodation buildings</c:v>
                </c:pt>
              </c:strCache>
            </c:strRef>
          </c:tx>
          <c:spPr>
            <a:solidFill>
              <a:schemeClr val="accent4">
                <a:lumMod val="60000"/>
              </a:schemeClr>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1617'!$CC$52:$CC$104</c:f>
              <c:numCache>
                <c:formatCode>_-"$"* #,##0_-;\-"$"* #,##0_-;_-"$"* "-"??_-;_-@_-</c:formatCode>
                <c:ptCount val="53"/>
                <c:pt idx="0">
                  <c:v>0</c:v>
                </c:pt>
                <c:pt idx="1">
                  <c:v>3.4359999999999999</c:v>
                </c:pt>
                <c:pt idx="2">
                  <c:v>0</c:v>
                </c:pt>
                <c:pt idx="3">
                  <c:v>0.77400000000000002</c:v>
                </c:pt>
                <c:pt idx="4">
                  <c:v>2.157</c:v>
                </c:pt>
                <c:pt idx="5">
                  <c:v>0</c:v>
                </c:pt>
                <c:pt idx="6">
                  <c:v>0.151</c:v>
                </c:pt>
                <c:pt idx="7">
                  <c:v>0.44400000000000001</c:v>
                </c:pt>
                <c:pt idx="8">
                  <c:v>0</c:v>
                </c:pt>
                <c:pt idx="9">
                  <c:v>0.151</c:v>
                </c:pt>
                <c:pt idx="10">
                  <c:v>0.15</c:v>
                </c:pt>
                <c:pt idx="11">
                  <c:v>0</c:v>
                </c:pt>
                <c:pt idx="12">
                  <c:v>0</c:v>
                </c:pt>
                <c:pt idx="13">
                  <c:v>0</c:v>
                </c:pt>
                <c:pt idx="14">
                  <c:v>0</c:v>
                </c:pt>
                <c:pt idx="15">
                  <c:v>0</c:v>
                </c:pt>
                <c:pt idx="16">
                  <c:v>0</c:v>
                </c:pt>
                <c:pt idx="17">
                  <c:v>0</c:v>
                </c:pt>
                <c:pt idx="18">
                  <c:v>0.31900000000000001</c:v>
                </c:pt>
                <c:pt idx="19">
                  <c:v>0</c:v>
                </c:pt>
                <c:pt idx="20">
                  <c:v>0</c:v>
                </c:pt>
                <c:pt idx="21">
                  <c:v>0</c:v>
                </c:pt>
                <c:pt idx="22">
                  <c:v>0</c:v>
                </c:pt>
                <c:pt idx="23">
                  <c:v>0</c:v>
                </c:pt>
                <c:pt idx="24">
                  <c:v>0.308</c:v>
                </c:pt>
                <c:pt idx="25">
                  <c:v>0</c:v>
                </c:pt>
                <c:pt idx="26">
                  <c:v>0</c:v>
                </c:pt>
                <c:pt idx="27">
                  <c:v>0</c:v>
                </c:pt>
                <c:pt idx="28">
                  <c:v>0.17499999999999999</c:v>
                </c:pt>
                <c:pt idx="29">
                  <c:v>0</c:v>
                </c:pt>
                <c:pt idx="30">
                  <c:v>0.17100000000000001</c:v>
                </c:pt>
                <c:pt idx="31">
                  <c:v>0</c:v>
                </c:pt>
                <c:pt idx="32">
                  <c:v>0.13500000000000001</c:v>
                </c:pt>
                <c:pt idx="33">
                  <c:v>0</c:v>
                </c:pt>
                <c:pt idx="34">
                  <c:v>0</c:v>
                </c:pt>
                <c:pt idx="35">
                  <c:v>0.746</c:v>
                </c:pt>
                <c:pt idx="36">
                  <c:v>0</c:v>
                </c:pt>
                <c:pt idx="37">
                  <c:v>0.1</c:v>
                </c:pt>
                <c:pt idx="38">
                  <c:v>0</c:v>
                </c:pt>
                <c:pt idx="39">
                  <c:v>0.34300000000000003</c:v>
                </c:pt>
                <c:pt idx="40">
                  <c:v>0.45</c:v>
                </c:pt>
                <c:pt idx="41">
                  <c:v>0</c:v>
                </c:pt>
                <c:pt idx="42">
                  <c:v>7.0999999999999994E-2</c:v>
                </c:pt>
                <c:pt idx="43">
                  <c:v>0</c:v>
                </c:pt>
                <c:pt idx="44">
                  <c:v>0.52500000000000002</c:v>
                </c:pt>
                <c:pt idx="45">
                  <c:v>0</c:v>
                </c:pt>
                <c:pt idx="46">
                  <c:v>8</c:v>
                </c:pt>
                <c:pt idx="47">
                  <c:v>0</c:v>
                </c:pt>
                <c:pt idx="48">
                  <c:v>0</c:v>
                </c:pt>
                <c:pt idx="49">
                  <c:v>0.50900000000000001</c:v>
                </c:pt>
                <c:pt idx="50">
                  <c:v>0</c:v>
                </c:pt>
                <c:pt idx="51">
                  <c:v>0</c:v>
                </c:pt>
                <c:pt idx="52">
                  <c:v>14.898999999999999</c:v>
                </c:pt>
              </c:numCache>
            </c:numRef>
          </c:val>
        </c:ser>
        <c:ser>
          <c:idx val="6"/>
          <c:order val="6"/>
          <c:tx>
            <c:strRef>
              <c:f>'Value Q2 1617'!$CD$7</c:f>
              <c:strCache>
                <c:ptCount val="1"/>
                <c:pt idx="0">
                  <c:v>Other non-residential</c:v>
                </c:pt>
              </c:strCache>
            </c:strRef>
          </c:tx>
          <c:spPr>
            <a:solidFill>
              <a:srgbClr val="00B0F0"/>
            </a:solidFill>
            <a:ln>
              <a:solidFill>
                <a:schemeClr val="tx1"/>
              </a:solidFill>
            </a:ln>
            <a:effectLst/>
          </c:spPr>
          <c:invertIfNegative val="0"/>
          <c:cat>
            <c:strRef>
              <c:f>'Value Q2 1617'!$AC$52:$AC$104</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'Value Q2 1617'!$CD$52:$CD$104</c:f>
              <c:numCache>
                <c:formatCode>_-"$"* #,##0_-;\-"$"* #,##0_-;_-"$"* "-"??_-;_-@_-</c:formatCode>
                <c:ptCount val="53"/>
                <c:pt idx="0">
                  <c:v>0</c:v>
                </c:pt>
                <c:pt idx="1">
                  <c:v>4.37</c:v>
                </c:pt>
                <c:pt idx="2">
                  <c:v>6.2610000000000001</c:v>
                </c:pt>
                <c:pt idx="3">
                  <c:v>9.2089999999999996</c:v>
                </c:pt>
                <c:pt idx="4">
                  <c:v>1.27</c:v>
                </c:pt>
                <c:pt idx="5">
                  <c:v>0.43099999999999999</c:v>
                </c:pt>
                <c:pt idx="6">
                  <c:v>0.434</c:v>
                </c:pt>
                <c:pt idx="7">
                  <c:v>1.6779999999999999</c:v>
                </c:pt>
                <c:pt idx="8">
                  <c:v>0.25</c:v>
                </c:pt>
                <c:pt idx="9">
                  <c:v>0.94699999999999995</c:v>
                </c:pt>
                <c:pt idx="10">
                  <c:v>1.349</c:v>
                </c:pt>
                <c:pt idx="11">
                  <c:v>0</c:v>
                </c:pt>
                <c:pt idx="12">
                  <c:v>0</c:v>
                </c:pt>
                <c:pt idx="13">
                  <c:v>1.6679999999999999</c:v>
                </c:pt>
                <c:pt idx="14">
                  <c:v>1.012</c:v>
                </c:pt>
                <c:pt idx="15">
                  <c:v>1.5</c:v>
                </c:pt>
                <c:pt idx="16">
                  <c:v>0.93</c:v>
                </c:pt>
                <c:pt idx="17">
                  <c:v>9.5000000000000001E-2</c:v>
                </c:pt>
                <c:pt idx="18">
                  <c:v>0.34599999999999997</c:v>
                </c:pt>
                <c:pt idx="19">
                  <c:v>0</c:v>
                </c:pt>
                <c:pt idx="20">
                  <c:v>0.63600000000000001</c:v>
                </c:pt>
                <c:pt idx="21">
                  <c:v>2.4940000000000002</c:v>
                </c:pt>
                <c:pt idx="22">
                  <c:v>0</c:v>
                </c:pt>
                <c:pt idx="23">
                  <c:v>0</c:v>
                </c:pt>
                <c:pt idx="24">
                  <c:v>0.16200000000000001</c:v>
                </c:pt>
                <c:pt idx="25">
                  <c:v>1.0640000000000001</c:v>
                </c:pt>
                <c:pt idx="26">
                  <c:v>0</c:v>
                </c:pt>
                <c:pt idx="27">
                  <c:v>0.28899999999999998</c:v>
                </c:pt>
                <c:pt idx="28">
                  <c:v>9.9000000000000005E-2</c:v>
                </c:pt>
                <c:pt idx="29">
                  <c:v>0</c:v>
                </c:pt>
                <c:pt idx="30">
                  <c:v>2.67</c:v>
                </c:pt>
                <c:pt idx="31">
                  <c:v>0</c:v>
                </c:pt>
                <c:pt idx="32">
                  <c:v>0.65100000000000002</c:v>
                </c:pt>
                <c:pt idx="33">
                  <c:v>1.026</c:v>
                </c:pt>
                <c:pt idx="34">
                  <c:v>0.48699999999999999</c:v>
                </c:pt>
                <c:pt idx="35">
                  <c:v>0.15</c:v>
                </c:pt>
                <c:pt idx="36">
                  <c:v>0</c:v>
                </c:pt>
                <c:pt idx="37">
                  <c:v>0.71099999999999997</c:v>
                </c:pt>
                <c:pt idx="38">
                  <c:v>0</c:v>
                </c:pt>
                <c:pt idx="39">
                  <c:v>0</c:v>
                </c:pt>
                <c:pt idx="40">
                  <c:v>0</c:v>
                </c:pt>
                <c:pt idx="41">
                  <c:v>0.48499999999999999</c:v>
                </c:pt>
                <c:pt idx="42">
                  <c:v>1.7270000000000001</c:v>
                </c:pt>
                <c:pt idx="43">
                  <c:v>0</c:v>
                </c:pt>
                <c:pt idx="44">
                  <c:v>1.899</c:v>
                </c:pt>
                <c:pt idx="45">
                  <c:v>0.56699999999999995</c:v>
                </c:pt>
                <c:pt idx="46">
                  <c:v>9.7420000000000009</c:v>
                </c:pt>
                <c:pt idx="47">
                  <c:v>0</c:v>
                </c:pt>
                <c:pt idx="48">
                  <c:v>0</c:v>
                </c:pt>
                <c:pt idx="49">
                  <c:v>22.087</c:v>
                </c:pt>
                <c:pt idx="50">
                  <c:v>0</c:v>
                </c:pt>
                <c:pt idx="51">
                  <c:v>0.14399999999999999</c:v>
                </c:pt>
                <c:pt idx="52">
                  <c:v>0</c:v>
                </c:pt>
              </c:numCache>
            </c:numRef>
          </c:val>
        </c:ser>
        <c:dLbls>
          <c:showLegendKey val="0"/>
          <c:showVal val="0"/>
          <c:showCatName val="0"/>
          <c:showSerName val="0"/>
          <c:showPercent val="0"/>
          <c:showBubbleSize val="0"/>
        </c:dLbls>
        <c:gapWidth val="30"/>
        <c:overlap val="100"/>
        <c:axId val="204450480"/>
        <c:axId val="204451040"/>
      </c:barChart>
      <c:catAx>
        <c:axId val="204450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51040"/>
        <c:crosses val="autoZero"/>
        <c:auto val="1"/>
        <c:lblAlgn val="ctr"/>
        <c:lblOffset val="100"/>
        <c:noMultiLvlLbl val="0"/>
      </c:catAx>
      <c:valAx>
        <c:axId val="20445104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50480"/>
        <c:crosses val="autoZero"/>
        <c:crossBetween val="between"/>
      </c:valAx>
      <c:spPr>
        <a:noFill/>
        <a:ln>
          <a:noFill/>
        </a:ln>
        <a:effectLst/>
      </c:spPr>
    </c:plotArea>
    <c:legend>
      <c:legendPos val="b"/>
      <c:layout>
        <c:manualLayout>
          <c:xMode val="edge"/>
          <c:yMode val="edge"/>
          <c:x val="0.49576751326158575"/>
          <c:y val="0"/>
          <c:w val="0.50423248673841425"/>
          <c:h val="0.112460428205967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Crane</a:t>
            </a:r>
            <a:r>
              <a:rPr lang="en-AU" baseline="0"/>
              <a:t>s in Melbourne by Construction Type</a:t>
            </a:r>
          </a:p>
          <a:p>
            <a:pPr algn="l">
              <a:defRPr/>
            </a:pPr>
            <a:r>
              <a:rPr lang="en-AU" sz="1050" baseline="0"/>
              <a:t>Source: RLB crane index</a:t>
            </a:r>
            <a:endParaRPr lang="en-AU" sz="1050"/>
          </a:p>
        </c:rich>
      </c:tx>
      <c:layout>
        <c:manualLayout>
          <c:xMode val="edge"/>
          <c:yMode val="edge"/>
          <c:x val="1.734470691163676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631563055333905E-2"/>
          <c:y val="0.16262626262626262"/>
          <c:w val="0.90248411146172958"/>
          <c:h val="0.69857778766665157"/>
        </c:manualLayout>
      </c:layout>
      <c:barChart>
        <c:barDir val="col"/>
        <c:grouping val="clustered"/>
        <c:varyColors val="0"/>
        <c:ser>
          <c:idx val="0"/>
          <c:order val="0"/>
          <c:tx>
            <c:strRef>
              <c:f>Melbourne!$B$1</c:f>
              <c:strCache>
                <c:ptCount val="1"/>
                <c:pt idx="0">
                  <c:v>2nd Half 2014</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Melbourne!$A$2:$A$11</c:f>
              <c:strCache>
                <c:ptCount val="10"/>
                <c:pt idx="0">
                  <c:v>Commerical</c:v>
                </c:pt>
                <c:pt idx="1">
                  <c:v>Residential </c:v>
                </c:pt>
                <c:pt idx="2">
                  <c:v>Health </c:v>
                </c:pt>
                <c:pt idx="3">
                  <c:v>Education</c:v>
                </c:pt>
                <c:pt idx="4">
                  <c:v>Retail</c:v>
                </c:pt>
                <c:pt idx="5">
                  <c:v>Civic</c:v>
                </c:pt>
                <c:pt idx="6">
                  <c:v>Recreation</c:v>
                </c:pt>
                <c:pt idx="7">
                  <c:v>Hotel</c:v>
                </c:pt>
                <c:pt idx="8">
                  <c:v>Civil</c:v>
                </c:pt>
                <c:pt idx="9">
                  <c:v>Other</c:v>
                </c:pt>
              </c:strCache>
            </c:strRef>
          </c:cat>
          <c:val>
            <c:numRef>
              <c:f>Melbourne!$B$2:$B$11</c:f>
              <c:numCache>
                <c:formatCode>General</c:formatCode>
                <c:ptCount val="10"/>
                <c:pt idx="0">
                  <c:v>8</c:v>
                </c:pt>
                <c:pt idx="1">
                  <c:v>74</c:v>
                </c:pt>
                <c:pt idx="2">
                  <c:v>6</c:v>
                </c:pt>
                <c:pt idx="4">
                  <c:v>2</c:v>
                </c:pt>
                <c:pt idx="5">
                  <c:v>1</c:v>
                </c:pt>
                <c:pt idx="9">
                  <c:v>2</c:v>
                </c:pt>
              </c:numCache>
            </c:numRef>
          </c:val>
        </c:ser>
        <c:ser>
          <c:idx val="1"/>
          <c:order val="1"/>
          <c:tx>
            <c:strRef>
              <c:f>Melbourne!$C$1</c:f>
              <c:strCache>
                <c:ptCount val="1"/>
                <c:pt idx="0">
                  <c:v>1st Half 2015</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Melbourne!$A$2:$A$11</c:f>
              <c:strCache>
                <c:ptCount val="10"/>
                <c:pt idx="0">
                  <c:v>Commerical</c:v>
                </c:pt>
                <c:pt idx="1">
                  <c:v>Residential </c:v>
                </c:pt>
                <c:pt idx="2">
                  <c:v>Health </c:v>
                </c:pt>
                <c:pt idx="3">
                  <c:v>Education</c:v>
                </c:pt>
                <c:pt idx="4">
                  <c:v>Retail</c:v>
                </c:pt>
                <c:pt idx="5">
                  <c:v>Civic</c:v>
                </c:pt>
                <c:pt idx="6">
                  <c:v>Recreation</c:v>
                </c:pt>
                <c:pt idx="7">
                  <c:v>Hotel</c:v>
                </c:pt>
                <c:pt idx="8">
                  <c:v>Civil</c:v>
                </c:pt>
                <c:pt idx="9">
                  <c:v>Other</c:v>
                </c:pt>
              </c:strCache>
            </c:strRef>
          </c:cat>
          <c:val>
            <c:numRef>
              <c:f>Melbourne!$C$2:$C$11</c:f>
              <c:numCache>
                <c:formatCode>General</c:formatCode>
                <c:ptCount val="10"/>
                <c:pt idx="0">
                  <c:v>11</c:v>
                </c:pt>
                <c:pt idx="1">
                  <c:v>87</c:v>
                </c:pt>
                <c:pt idx="2">
                  <c:v>10</c:v>
                </c:pt>
                <c:pt idx="3">
                  <c:v>1</c:v>
                </c:pt>
                <c:pt idx="4">
                  <c:v>6</c:v>
                </c:pt>
                <c:pt idx="5">
                  <c:v>1</c:v>
                </c:pt>
              </c:numCache>
            </c:numRef>
          </c:val>
        </c:ser>
        <c:ser>
          <c:idx val="2"/>
          <c:order val="2"/>
          <c:tx>
            <c:strRef>
              <c:f>Melbourne!$D$1</c:f>
              <c:strCache>
                <c:ptCount val="1"/>
                <c:pt idx="0">
                  <c:v>2nd Half 2015</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Melbourne!$A$2:$A$11</c:f>
              <c:strCache>
                <c:ptCount val="10"/>
                <c:pt idx="0">
                  <c:v>Commerical</c:v>
                </c:pt>
                <c:pt idx="1">
                  <c:v>Residential </c:v>
                </c:pt>
                <c:pt idx="2">
                  <c:v>Health </c:v>
                </c:pt>
                <c:pt idx="3">
                  <c:v>Education</c:v>
                </c:pt>
                <c:pt idx="4">
                  <c:v>Retail</c:v>
                </c:pt>
                <c:pt idx="5">
                  <c:v>Civic</c:v>
                </c:pt>
                <c:pt idx="6">
                  <c:v>Recreation</c:v>
                </c:pt>
                <c:pt idx="7">
                  <c:v>Hotel</c:v>
                </c:pt>
                <c:pt idx="8">
                  <c:v>Civil</c:v>
                </c:pt>
                <c:pt idx="9">
                  <c:v>Other</c:v>
                </c:pt>
              </c:strCache>
            </c:strRef>
          </c:cat>
          <c:val>
            <c:numRef>
              <c:f>Melbourne!$D$2:$D$11</c:f>
              <c:numCache>
                <c:formatCode>General</c:formatCode>
                <c:ptCount val="10"/>
                <c:pt idx="0">
                  <c:v>15</c:v>
                </c:pt>
                <c:pt idx="1">
                  <c:v>109</c:v>
                </c:pt>
                <c:pt idx="2">
                  <c:v>3</c:v>
                </c:pt>
                <c:pt idx="3">
                  <c:v>1</c:v>
                </c:pt>
                <c:pt idx="4">
                  <c:v>6</c:v>
                </c:pt>
                <c:pt idx="5">
                  <c:v>1</c:v>
                </c:pt>
                <c:pt idx="9">
                  <c:v>1</c:v>
                </c:pt>
              </c:numCache>
            </c:numRef>
          </c:val>
        </c:ser>
        <c:ser>
          <c:idx val="3"/>
          <c:order val="3"/>
          <c:tx>
            <c:strRef>
              <c:f>Melbourne!$E$1</c:f>
              <c:strCache>
                <c:ptCount val="1"/>
                <c:pt idx="0">
                  <c:v>1st Half 2016</c:v>
                </c:pt>
              </c:strCache>
            </c:strRef>
          </c:tx>
          <c:spPr>
            <a:solidFill>
              <a:srgbClr val="C0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Melbourne!$A$2:$A$11</c:f>
              <c:strCache>
                <c:ptCount val="10"/>
                <c:pt idx="0">
                  <c:v>Commerical</c:v>
                </c:pt>
                <c:pt idx="1">
                  <c:v>Residential </c:v>
                </c:pt>
                <c:pt idx="2">
                  <c:v>Health </c:v>
                </c:pt>
                <c:pt idx="3">
                  <c:v>Education</c:v>
                </c:pt>
                <c:pt idx="4">
                  <c:v>Retail</c:v>
                </c:pt>
                <c:pt idx="5">
                  <c:v>Civic</c:v>
                </c:pt>
                <c:pt idx="6">
                  <c:v>Recreation</c:v>
                </c:pt>
                <c:pt idx="7">
                  <c:v>Hotel</c:v>
                </c:pt>
                <c:pt idx="8">
                  <c:v>Civil</c:v>
                </c:pt>
                <c:pt idx="9">
                  <c:v>Other</c:v>
                </c:pt>
              </c:strCache>
            </c:strRef>
          </c:cat>
          <c:val>
            <c:numRef>
              <c:f>Melbourne!$E$2:$E$11</c:f>
              <c:numCache>
                <c:formatCode>General</c:formatCode>
                <c:ptCount val="10"/>
                <c:pt idx="0">
                  <c:v>10</c:v>
                </c:pt>
                <c:pt idx="1">
                  <c:v>124</c:v>
                </c:pt>
                <c:pt idx="2">
                  <c:v>1</c:v>
                </c:pt>
                <c:pt idx="3">
                  <c:v>3</c:v>
                </c:pt>
                <c:pt idx="4">
                  <c:v>8</c:v>
                </c:pt>
                <c:pt idx="5">
                  <c:v>1</c:v>
                </c:pt>
                <c:pt idx="7">
                  <c:v>1</c:v>
                </c:pt>
              </c:numCache>
            </c:numRef>
          </c:val>
        </c:ser>
        <c:ser>
          <c:idx val="4"/>
          <c:order val="4"/>
          <c:tx>
            <c:strRef>
              <c:f>Melbourne!$F$1</c:f>
              <c:strCache>
                <c:ptCount val="1"/>
                <c:pt idx="0">
                  <c:v>2nd Half 2016</c:v>
                </c:pt>
              </c:strCache>
            </c:strRef>
          </c:tx>
          <c:spPr>
            <a:solidFill>
              <a:schemeClr val="accent5">
                <a:lumMod val="60000"/>
              </a:schemeClr>
            </a:solidFill>
            <a:ln>
              <a:noFill/>
            </a:ln>
            <a:effectLst/>
          </c:spPr>
          <c:invertIfNegative val="0"/>
          <c:dLbls>
            <c:dLbl>
              <c:idx val="2"/>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Melbourne!$A$2:$A$11</c:f>
              <c:strCache>
                <c:ptCount val="10"/>
                <c:pt idx="0">
                  <c:v>Commerical</c:v>
                </c:pt>
                <c:pt idx="1">
                  <c:v>Residential </c:v>
                </c:pt>
                <c:pt idx="2">
                  <c:v>Health </c:v>
                </c:pt>
                <c:pt idx="3">
                  <c:v>Education</c:v>
                </c:pt>
                <c:pt idx="4">
                  <c:v>Retail</c:v>
                </c:pt>
                <c:pt idx="5">
                  <c:v>Civic</c:v>
                </c:pt>
                <c:pt idx="6">
                  <c:v>Recreation</c:v>
                </c:pt>
                <c:pt idx="7">
                  <c:v>Hotel</c:v>
                </c:pt>
                <c:pt idx="8">
                  <c:v>Civil</c:v>
                </c:pt>
                <c:pt idx="9">
                  <c:v>Other</c:v>
                </c:pt>
              </c:strCache>
            </c:strRef>
          </c:cat>
          <c:val>
            <c:numRef>
              <c:f>Melbourne!$F$2:$F$11</c:f>
              <c:numCache>
                <c:formatCode>General</c:formatCode>
                <c:ptCount val="10"/>
                <c:pt idx="0">
                  <c:v>6</c:v>
                </c:pt>
                <c:pt idx="1">
                  <c:v>109</c:v>
                </c:pt>
                <c:pt idx="2">
                  <c:v>2</c:v>
                </c:pt>
                <c:pt idx="3">
                  <c:v>6</c:v>
                </c:pt>
                <c:pt idx="4">
                  <c:v>3</c:v>
                </c:pt>
                <c:pt idx="5">
                  <c:v>1</c:v>
                </c:pt>
                <c:pt idx="7">
                  <c:v>3</c:v>
                </c:pt>
                <c:pt idx="9">
                  <c:v>1</c:v>
                </c:pt>
              </c:numCache>
            </c:numRef>
          </c:val>
        </c:ser>
        <c:ser>
          <c:idx val="5"/>
          <c:order val="5"/>
          <c:tx>
            <c:strRef>
              <c:f>Melbourne!$G$1</c:f>
              <c:strCache>
                <c:ptCount val="1"/>
                <c:pt idx="0">
                  <c:v>1st Half 2017</c:v>
                </c:pt>
              </c:strCache>
            </c:strRef>
          </c:tx>
          <c:spPr>
            <a:solidFill>
              <a:schemeClr val="accent4">
                <a:lumMod val="60000"/>
              </a:schemeClr>
            </a:solidFill>
            <a:ln>
              <a:noFill/>
            </a:ln>
            <a:effectLst/>
          </c:spPr>
          <c:invertIfNegative val="0"/>
          <c:dLbls>
            <c:dLbl>
              <c:idx val="6"/>
              <c:delete val="1"/>
              <c:extLst>
                <c:ext xmlns:c15="http://schemas.microsoft.com/office/drawing/2012/chart" uri="{CE6537A1-D6FC-4f65-9D91-7224C49458BB}"/>
              </c:extLst>
            </c:dLbl>
            <c:dLbl>
              <c:idx val="8"/>
              <c:tx>
                <c:rich>
                  <a:bodyPr/>
                  <a:lstStyle/>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Melbourne!$A$2:$A$11</c:f>
              <c:strCache>
                <c:ptCount val="10"/>
                <c:pt idx="0">
                  <c:v>Commerical</c:v>
                </c:pt>
                <c:pt idx="1">
                  <c:v>Residential </c:v>
                </c:pt>
                <c:pt idx="2">
                  <c:v>Health </c:v>
                </c:pt>
                <c:pt idx="3">
                  <c:v>Education</c:v>
                </c:pt>
                <c:pt idx="4">
                  <c:v>Retail</c:v>
                </c:pt>
                <c:pt idx="5">
                  <c:v>Civic</c:v>
                </c:pt>
                <c:pt idx="6">
                  <c:v>Recreation</c:v>
                </c:pt>
                <c:pt idx="7">
                  <c:v>Hotel</c:v>
                </c:pt>
                <c:pt idx="8">
                  <c:v>Civil</c:v>
                </c:pt>
                <c:pt idx="9">
                  <c:v>Other</c:v>
                </c:pt>
              </c:strCache>
            </c:strRef>
          </c:cat>
          <c:val>
            <c:numRef>
              <c:f>Melbourne!$G$2:$G$11</c:f>
              <c:numCache>
                <c:formatCode>General</c:formatCode>
                <c:ptCount val="10"/>
                <c:pt idx="0">
                  <c:v>9</c:v>
                </c:pt>
                <c:pt idx="1">
                  <c:v>122</c:v>
                </c:pt>
                <c:pt idx="2">
                  <c:v>4</c:v>
                </c:pt>
                <c:pt idx="3">
                  <c:v>4</c:v>
                </c:pt>
                <c:pt idx="4">
                  <c:v>2</c:v>
                </c:pt>
                <c:pt idx="5">
                  <c:v>2</c:v>
                </c:pt>
                <c:pt idx="7">
                  <c:v>3</c:v>
                </c:pt>
              </c:numCache>
            </c:numRef>
          </c:val>
        </c:ser>
        <c:dLbls>
          <c:showLegendKey val="0"/>
          <c:showVal val="0"/>
          <c:showCatName val="0"/>
          <c:showSerName val="0"/>
          <c:showPercent val="0"/>
          <c:showBubbleSize val="0"/>
        </c:dLbls>
        <c:gapWidth val="219"/>
        <c:overlap val="-27"/>
        <c:axId val="204973776"/>
        <c:axId val="204974336"/>
      </c:barChart>
      <c:catAx>
        <c:axId val="20497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74336"/>
        <c:crosses val="autoZero"/>
        <c:auto val="1"/>
        <c:lblAlgn val="ctr"/>
        <c:lblOffset val="100"/>
        <c:noMultiLvlLbl val="0"/>
      </c:catAx>
      <c:valAx>
        <c:axId val="2049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Cranes</a:t>
                </a:r>
              </a:p>
            </c:rich>
          </c:tx>
          <c:layout>
            <c:manualLayout>
              <c:xMode val="edge"/>
              <c:yMode val="edge"/>
              <c:x val="4.5480714338052061E-3"/>
              <c:y val="0.344455020045571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73776"/>
        <c:crosses val="autoZero"/>
        <c:crossBetween val="between"/>
      </c:valAx>
      <c:spPr>
        <a:solidFill>
          <a:schemeClr val="bg1">
            <a:lumMod val="95000"/>
          </a:schemeClr>
        </a:solidFill>
        <a:ln>
          <a:noFill/>
        </a:ln>
        <a:effectLst/>
      </c:spPr>
    </c:plotArea>
    <c:legend>
      <c:legendPos val="b"/>
      <c:layout>
        <c:manualLayout>
          <c:xMode val="edge"/>
          <c:yMode val="edge"/>
          <c:x val="0.52391988939822032"/>
          <c:y val="0"/>
          <c:w val="0.47608011060177963"/>
          <c:h val="0.128316394371408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Crane</a:t>
            </a:r>
            <a:r>
              <a:rPr lang="en-AU" baseline="0"/>
              <a:t> counts in Australian cities</a:t>
            </a:r>
          </a:p>
          <a:p>
            <a:pPr algn="l">
              <a:defRPr/>
            </a:pPr>
            <a:r>
              <a:rPr lang="en-AU" sz="800" baseline="0"/>
              <a:t>Source: Rider Levett Bucknell Crane Index</a:t>
            </a:r>
            <a:endParaRPr lang="en-AU" sz="1000"/>
          </a:p>
        </c:rich>
      </c:tx>
      <c:layout>
        <c:manualLayout>
          <c:xMode val="edge"/>
          <c:yMode val="edge"/>
          <c:x val="1.4096675415573086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218479459020692E-2"/>
          <c:y val="0.14945786082959725"/>
          <c:w val="0.92071974757667929"/>
          <c:h val="0.77946979115648818"/>
        </c:manualLayout>
      </c:layout>
      <c:barChart>
        <c:barDir val="col"/>
        <c:grouping val="clustered"/>
        <c:varyColors val="0"/>
        <c:ser>
          <c:idx val="0"/>
          <c:order val="0"/>
          <c:tx>
            <c:strRef>
              <c:f>'City vs city'!$B$1</c:f>
              <c:strCache>
                <c:ptCount val="1"/>
                <c:pt idx="0">
                  <c:v>1st Half 2014</c:v>
                </c:pt>
              </c:strCache>
            </c:strRef>
          </c:tx>
          <c:spPr>
            <a:solidFill>
              <a:schemeClr val="accent1"/>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city'!$B$2:$B$11</c:f>
              <c:numCache>
                <c:formatCode>General</c:formatCode>
                <c:ptCount val="10"/>
                <c:pt idx="0">
                  <c:v>14</c:v>
                </c:pt>
                <c:pt idx="1">
                  <c:v>50</c:v>
                </c:pt>
                <c:pt idx="2">
                  <c:v>9</c:v>
                </c:pt>
                <c:pt idx="3">
                  <c:v>7</c:v>
                </c:pt>
                <c:pt idx="4">
                  <c:v>61</c:v>
                </c:pt>
                <c:pt idx="5">
                  <c:v>42</c:v>
                </c:pt>
                <c:pt idx="6">
                  <c:v>125</c:v>
                </c:pt>
              </c:numCache>
            </c:numRef>
          </c:val>
        </c:ser>
        <c:ser>
          <c:idx val="1"/>
          <c:order val="1"/>
          <c:tx>
            <c:strRef>
              <c:f>'City vs city'!$C$1</c:f>
              <c:strCache>
                <c:ptCount val="1"/>
                <c:pt idx="0">
                  <c:v>2nd Half 2014</c:v>
                </c:pt>
              </c:strCache>
            </c:strRef>
          </c:tx>
          <c:spPr>
            <a:solidFill>
              <a:schemeClr val="accent2"/>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city'!$C$2:$C$11</c:f>
              <c:numCache>
                <c:formatCode>General</c:formatCode>
                <c:ptCount val="10"/>
                <c:pt idx="0">
                  <c:v>8</c:v>
                </c:pt>
                <c:pt idx="1">
                  <c:v>50</c:v>
                </c:pt>
                <c:pt idx="2">
                  <c:v>7</c:v>
                </c:pt>
                <c:pt idx="3">
                  <c:v>7</c:v>
                </c:pt>
                <c:pt idx="4">
                  <c:v>93</c:v>
                </c:pt>
                <c:pt idx="5">
                  <c:v>40</c:v>
                </c:pt>
                <c:pt idx="6">
                  <c:v>119</c:v>
                </c:pt>
              </c:numCache>
            </c:numRef>
          </c:val>
        </c:ser>
        <c:ser>
          <c:idx val="2"/>
          <c:order val="2"/>
          <c:tx>
            <c:strRef>
              <c:f>'City vs city'!$D$1</c:f>
              <c:strCache>
                <c:ptCount val="1"/>
                <c:pt idx="0">
                  <c:v>1st Half 2015</c:v>
                </c:pt>
              </c:strCache>
            </c:strRef>
          </c:tx>
          <c:spPr>
            <a:solidFill>
              <a:schemeClr val="accent3"/>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city'!$D$2:$D$11</c:f>
              <c:numCache>
                <c:formatCode>General</c:formatCode>
                <c:ptCount val="10"/>
                <c:pt idx="0">
                  <c:v>6</c:v>
                </c:pt>
                <c:pt idx="1">
                  <c:v>73</c:v>
                </c:pt>
                <c:pt idx="2">
                  <c:v>5</c:v>
                </c:pt>
                <c:pt idx="3">
                  <c:v>6</c:v>
                </c:pt>
                <c:pt idx="4">
                  <c:v>116</c:v>
                </c:pt>
                <c:pt idx="5">
                  <c:v>43</c:v>
                </c:pt>
                <c:pt idx="6">
                  <c:v>162</c:v>
                </c:pt>
                <c:pt idx="7">
                  <c:v>15</c:v>
                </c:pt>
              </c:numCache>
            </c:numRef>
          </c:val>
        </c:ser>
        <c:ser>
          <c:idx val="3"/>
          <c:order val="3"/>
          <c:tx>
            <c:strRef>
              <c:f>'City vs city'!$E$1</c:f>
              <c:strCache>
                <c:ptCount val="1"/>
                <c:pt idx="0">
                  <c:v>2nd Half 2015</c:v>
                </c:pt>
              </c:strCache>
            </c:strRef>
          </c:tx>
          <c:spPr>
            <a:solidFill>
              <a:schemeClr val="accent4"/>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city'!$E$2:$E$11</c:f>
              <c:numCache>
                <c:formatCode>General</c:formatCode>
                <c:ptCount val="10"/>
                <c:pt idx="0">
                  <c:v>7</c:v>
                </c:pt>
                <c:pt idx="1">
                  <c:v>104</c:v>
                </c:pt>
                <c:pt idx="2">
                  <c:v>6</c:v>
                </c:pt>
                <c:pt idx="3">
                  <c:v>3</c:v>
                </c:pt>
                <c:pt idx="4">
                  <c:v>136</c:v>
                </c:pt>
                <c:pt idx="5">
                  <c:v>47</c:v>
                </c:pt>
                <c:pt idx="6">
                  <c:v>220</c:v>
                </c:pt>
                <c:pt idx="7">
                  <c:v>16</c:v>
                </c:pt>
                <c:pt idx="8">
                  <c:v>8</c:v>
                </c:pt>
              </c:numCache>
            </c:numRef>
          </c:val>
        </c:ser>
        <c:ser>
          <c:idx val="4"/>
          <c:order val="4"/>
          <c:tx>
            <c:strRef>
              <c:f>'City vs city'!$F$1</c:f>
              <c:strCache>
                <c:ptCount val="1"/>
                <c:pt idx="0">
                  <c:v>1st Half 2016</c:v>
                </c:pt>
              </c:strCache>
            </c:strRef>
          </c:tx>
          <c:spPr>
            <a:solidFill>
              <a:srgbClr val="C00000"/>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city'!$F$2:$F$11</c:f>
              <c:numCache>
                <c:formatCode>General</c:formatCode>
                <c:ptCount val="10"/>
                <c:pt idx="0">
                  <c:v>9</c:v>
                </c:pt>
                <c:pt idx="1">
                  <c:v>104</c:v>
                </c:pt>
                <c:pt idx="2">
                  <c:v>17</c:v>
                </c:pt>
                <c:pt idx="3">
                  <c:v>3</c:v>
                </c:pt>
                <c:pt idx="4">
                  <c:v>148</c:v>
                </c:pt>
                <c:pt idx="5">
                  <c:v>45</c:v>
                </c:pt>
                <c:pt idx="6">
                  <c:v>288</c:v>
                </c:pt>
                <c:pt idx="7">
                  <c:v>30</c:v>
                </c:pt>
                <c:pt idx="8">
                  <c:v>9</c:v>
                </c:pt>
              </c:numCache>
            </c:numRef>
          </c:val>
        </c:ser>
        <c:ser>
          <c:idx val="5"/>
          <c:order val="5"/>
          <c:tx>
            <c:strRef>
              <c:f>'City vs city'!$G$1</c:f>
              <c:strCache>
                <c:ptCount val="1"/>
                <c:pt idx="0">
                  <c:v>2nd Half 2016</c:v>
                </c:pt>
              </c:strCache>
            </c:strRef>
          </c:tx>
          <c:spPr>
            <a:solidFill>
              <a:schemeClr val="accent6"/>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city'!$G$2:$G$11</c:f>
              <c:numCache>
                <c:formatCode>General</c:formatCode>
                <c:ptCount val="10"/>
                <c:pt idx="0">
                  <c:v>15</c:v>
                </c:pt>
                <c:pt idx="1">
                  <c:v>95</c:v>
                </c:pt>
                <c:pt idx="2">
                  <c:v>24</c:v>
                </c:pt>
                <c:pt idx="3">
                  <c:v>1</c:v>
                </c:pt>
                <c:pt idx="4">
                  <c:v>131</c:v>
                </c:pt>
                <c:pt idx="5">
                  <c:v>48</c:v>
                </c:pt>
                <c:pt idx="6">
                  <c:v>305</c:v>
                </c:pt>
                <c:pt idx="7">
                  <c:v>34</c:v>
                </c:pt>
                <c:pt idx="8">
                  <c:v>9</c:v>
                </c:pt>
                <c:pt idx="9">
                  <c:v>4</c:v>
                </c:pt>
              </c:numCache>
            </c:numRef>
          </c:val>
        </c:ser>
        <c:ser>
          <c:idx val="6"/>
          <c:order val="6"/>
          <c:tx>
            <c:strRef>
              <c:f>'City vs city'!$H$1</c:f>
              <c:strCache>
                <c:ptCount val="1"/>
                <c:pt idx="0">
                  <c:v>1st Half 2017</c:v>
                </c:pt>
              </c:strCache>
            </c:strRef>
          </c:tx>
          <c:spPr>
            <a:solidFill>
              <a:schemeClr val="accent1">
                <a:lumMod val="60000"/>
              </a:schemeClr>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 vs city'!$A$2:$A$11</c:f>
              <c:strCache>
                <c:ptCount val="10"/>
                <c:pt idx="0">
                  <c:v>Adelaide</c:v>
                </c:pt>
                <c:pt idx="1">
                  <c:v>Brisbane</c:v>
                </c:pt>
                <c:pt idx="2">
                  <c:v>Canberra</c:v>
                </c:pt>
                <c:pt idx="3">
                  <c:v>Darwin</c:v>
                </c:pt>
                <c:pt idx="4">
                  <c:v>Melbourne</c:v>
                </c:pt>
                <c:pt idx="5">
                  <c:v>Perth</c:v>
                </c:pt>
                <c:pt idx="6">
                  <c:v>Sydney</c:v>
                </c:pt>
                <c:pt idx="7">
                  <c:v>Gold Coast</c:v>
                </c:pt>
                <c:pt idx="8">
                  <c:v>Newcastle</c:v>
                </c:pt>
                <c:pt idx="9">
                  <c:v>Hobart</c:v>
                </c:pt>
              </c:strCache>
            </c:strRef>
          </c:cat>
          <c:val>
            <c:numRef>
              <c:f>'City vs city'!$H$2:$H$11</c:f>
              <c:numCache>
                <c:formatCode>General</c:formatCode>
                <c:ptCount val="10"/>
                <c:pt idx="0">
                  <c:v>15</c:v>
                </c:pt>
                <c:pt idx="1">
                  <c:v>81</c:v>
                </c:pt>
                <c:pt idx="2">
                  <c:v>19</c:v>
                </c:pt>
                <c:pt idx="3">
                  <c:v>0</c:v>
                </c:pt>
                <c:pt idx="4">
                  <c:v>146</c:v>
                </c:pt>
                <c:pt idx="5">
                  <c:v>24</c:v>
                </c:pt>
                <c:pt idx="6">
                  <c:v>334</c:v>
                </c:pt>
                <c:pt idx="7">
                  <c:v>30</c:v>
                </c:pt>
                <c:pt idx="8">
                  <c:v>4</c:v>
                </c:pt>
                <c:pt idx="9">
                  <c:v>1</c:v>
                </c:pt>
              </c:numCache>
            </c:numRef>
          </c:val>
        </c:ser>
        <c:dLbls>
          <c:showLegendKey val="0"/>
          <c:showVal val="0"/>
          <c:showCatName val="0"/>
          <c:showSerName val="0"/>
          <c:showPercent val="0"/>
          <c:showBubbleSize val="0"/>
        </c:dLbls>
        <c:gapWidth val="219"/>
        <c:axId val="204979936"/>
        <c:axId val="204980496"/>
      </c:barChart>
      <c:catAx>
        <c:axId val="20497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80496"/>
        <c:crosses val="autoZero"/>
        <c:auto val="1"/>
        <c:lblAlgn val="ctr"/>
        <c:lblOffset val="100"/>
        <c:noMultiLvlLbl val="0"/>
      </c:catAx>
      <c:valAx>
        <c:axId val="20498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79936"/>
        <c:crosses val="autoZero"/>
        <c:crossBetween val="between"/>
      </c:valAx>
      <c:spPr>
        <a:solidFill>
          <a:schemeClr val="bg1">
            <a:lumMod val="95000"/>
          </a:schemeClr>
        </a:solidFill>
        <a:ln>
          <a:noFill/>
        </a:ln>
        <a:effectLst/>
      </c:spPr>
    </c:plotArea>
    <c:legend>
      <c:legendPos val="b"/>
      <c:layout>
        <c:manualLayout>
          <c:xMode val="edge"/>
          <c:yMode val="edge"/>
          <c:x val="0.38435840826755863"/>
          <c:y val="0"/>
          <c:w val="0.58948741515613812"/>
          <c:h val="0.136569583762521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Annaul</a:t>
            </a:r>
            <a:r>
              <a:rPr lang="en-AU" baseline="0"/>
              <a:t> Growth Rate (%) of </a:t>
            </a:r>
            <a:r>
              <a:rPr lang="en-AU"/>
              <a:t>States &amp; Territories</a:t>
            </a:r>
          </a:p>
          <a:p>
            <a:pPr algn="l">
              <a:defRPr/>
            </a:pPr>
            <a:r>
              <a:rPr lang="en-AU" baseline="0"/>
              <a:t>12 months to September June 30 2016</a:t>
            </a:r>
          </a:p>
          <a:p>
            <a:pPr algn="l">
              <a:defRPr/>
            </a:pPr>
            <a:r>
              <a:rPr lang="en-AU" sz="1000" baseline="0"/>
              <a:t>Source: ABS 3101.0</a:t>
            </a:r>
            <a:endParaRPr lang="en-AU" sz="1000"/>
          </a:p>
        </c:rich>
      </c:tx>
      <c:layout>
        <c:manualLayout>
          <c:xMode val="edge"/>
          <c:yMode val="edge"/>
          <c:x val="1.657887870533013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52287618628019"/>
          <c:y val="0.19661385959910657"/>
          <c:w val="0.86630529387752775"/>
          <c:h val="0.72785251486480662"/>
        </c:manualLayout>
      </c:layout>
      <c:barChart>
        <c:barDir val="col"/>
        <c:grouping val="clustered"/>
        <c:varyColors val="0"/>
        <c:ser>
          <c:idx val="0"/>
          <c:order val="0"/>
          <c:tx>
            <c:strRef>
              <c:f>'Popuatlion Graph'!$B$8</c:f>
              <c:strCache>
                <c:ptCount val="1"/>
              </c:strCache>
            </c:strRef>
          </c:tx>
          <c:spPr>
            <a:solidFill>
              <a:schemeClr val="accent1"/>
            </a:solidFill>
            <a:ln>
              <a:solidFill>
                <a:schemeClr val="tx1"/>
              </a:solidFill>
            </a:ln>
            <a:effectLst/>
          </c:spPr>
          <c:invertIfNegative val="0"/>
          <c:dPt>
            <c:idx val="1"/>
            <c:invertIfNegative val="0"/>
            <c:bubble3D val="0"/>
            <c:spPr>
              <a:solidFill>
                <a:schemeClr val="tx2"/>
              </a:solidFill>
              <a:ln>
                <a:solidFill>
                  <a:schemeClr val="tx1"/>
                </a:solidFill>
              </a:ln>
              <a:effectLst/>
            </c:spPr>
          </c:dPt>
          <c:dPt>
            <c:idx val="2"/>
            <c:invertIfNegative val="0"/>
            <c:bubble3D val="0"/>
            <c:spPr>
              <a:solidFill>
                <a:srgbClr val="C00000"/>
              </a:solidFill>
              <a:ln>
                <a:solidFill>
                  <a:schemeClr val="tx1"/>
                </a:solidFill>
              </a:ln>
              <a:effectLst/>
            </c:spPr>
          </c:dPt>
          <c:dPt>
            <c:idx val="3"/>
            <c:invertIfNegative val="0"/>
            <c:bubble3D val="0"/>
            <c:spPr>
              <a:solidFill>
                <a:srgbClr val="FF0000"/>
              </a:solidFill>
              <a:ln>
                <a:solidFill>
                  <a:schemeClr val="tx1"/>
                </a:solidFill>
              </a:ln>
              <a:effectLst/>
            </c:spPr>
          </c:dPt>
          <c:dPt>
            <c:idx val="4"/>
            <c:invertIfNegative val="0"/>
            <c:bubble3D val="0"/>
            <c:spPr>
              <a:solidFill>
                <a:schemeClr val="accent4"/>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2">
                  <a:lumMod val="75000"/>
                </a:schemeClr>
              </a:solidFill>
              <a:ln>
                <a:solidFill>
                  <a:schemeClr val="tx1"/>
                </a:solidFill>
              </a:ln>
              <a:effectLst/>
            </c:spPr>
          </c:dPt>
          <c:dPt>
            <c:idx val="7"/>
            <c:invertIfNegative val="0"/>
            <c:bubble3D val="0"/>
            <c:spPr>
              <a:solidFill>
                <a:schemeClr val="accent4">
                  <a:lumMod val="75000"/>
                </a:schemeClr>
              </a:solidFill>
              <a:ln>
                <a:solidFill>
                  <a:schemeClr val="tx1"/>
                </a:solidFill>
              </a:ln>
              <a:effectLst/>
            </c:spPr>
          </c:dPt>
          <c:dPt>
            <c:idx val="8"/>
            <c:invertIfNegative val="0"/>
            <c:bubble3D val="0"/>
            <c:spPr>
              <a:solidFill>
                <a:schemeClr val="bg2"/>
              </a:solidFill>
              <a:ln>
                <a:solidFill>
                  <a:schemeClr val="tx1"/>
                </a:solidFill>
              </a:ln>
              <a:effectLst/>
            </c:spPr>
          </c:dPt>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dLbl>
              <c:idx val="6"/>
              <c:layout/>
              <c:showLegendKey val="0"/>
              <c:showVal val="1"/>
              <c:showCatName val="0"/>
              <c:showSerName val="0"/>
              <c:showPercent val="0"/>
              <c:showBubbleSize val="0"/>
              <c:extLst>
                <c:ext xmlns:c15="http://schemas.microsoft.com/office/drawing/2012/chart" uri="{CE6537A1-D6FC-4f65-9D91-7224C49458BB}">
                  <c15:layout/>
                </c:ext>
              </c:extLst>
            </c:dLbl>
            <c:dLbl>
              <c:idx val="7"/>
              <c:layout/>
              <c:showLegendKey val="0"/>
              <c:showVal val="1"/>
              <c:showCatName val="0"/>
              <c:showSerName val="0"/>
              <c:showPercent val="0"/>
              <c:showBubbleSize val="0"/>
              <c:extLst>
                <c:ext xmlns:c15="http://schemas.microsoft.com/office/drawing/2012/chart" uri="{CE6537A1-D6FC-4f65-9D91-7224C49458BB}">
                  <c15:layout/>
                </c:ext>
              </c:extLst>
            </c:dLbl>
            <c:dLbl>
              <c:idx val="8"/>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'Popuatlion Graph'!$C$7:$K$7</c:f>
              <c:strCache>
                <c:ptCount val="9"/>
                <c:pt idx="0">
                  <c:v>NSW</c:v>
                </c:pt>
                <c:pt idx="1">
                  <c:v>VIC</c:v>
                </c:pt>
                <c:pt idx="2">
                  <c:v>QLD</c:v>
                </c:pt>
                <c:pt idx="3">
                  <c:v>SA</c:v>
                </c:pt>
                <c:pt idx="4">
                  <c:v>WA</c:v>
                </c:pt>
                <c:pt idx="5">
                  <c:v>TAS</c:v>
                </c:pt>
                <c:pt idx="6">
                  <c:v>NT</c:v>
                </c:pt>
                <c:pt idx="7">
                  <c:v>ACT</c:v>
                </c:pt>
                <c:pt idx="8">
                  <c:v>Australia</c:v>
                </c:pt>
              </c:strCache>
            </c:strRef>
          </c:cat>
          <c:val>
            <c:numRef>
              <c:f>'Popuatlion Graph'!$C$10:$K$10</c:f>
              <c:numCache>
                <c:formatCode>0.00%</c:formatCode>
                <c:ptCount val="9"/>
                <c:pt idx="0">
                  <c:v>1.4330751736543763E-2</c:v>
                </c:pt>
                <c:pt idx="1">
                  <c:v>2.1344368070400355E-2</c:v>
                </c:pt>
                <c:pt idx="2">
                  <c:v>1.4125296359145868E-2</c:v>
                </c:pt>
                <c:pt idx="3">
                  <c:v>5.5473072813257114E-3</c:v>
                </c:pt>
                <c:pt idx="4">
                  <c:v>9.7162270460775958E-3</c:v>
                </c:pt>
                <c:pt idx="5">
                  <c:v>5.0136313540478355E-3</c:v>
                </c:pt>
                <c:pt idx="6">
                  <c:v>3.3163838346709144E-3</c:v>
                </c:pt>
                <c:pt idx="7">
                  <c:v>1.4718356679428689E-2</c:v>
                </c:pt>
                <c:pt idx="8">
                  <c:v>1.4607169378610818E-2</c:v>
                </c:pt>
              </c:numCache>
            </c:numRef>
          </c:val>
        </c:ser>
        <c:dLbls>
          <c:showLegendKey val="0"/>
          <c:showVal val="0"/>
          <c:showCatName val="0"/>
          <c:showSerName val="0"/>
          <c:showPercent val="0"/>
          <c:showBubbleSize val="0"/>
        </c:dLbls>
        <c:gapWidth val="20"/>
        <c:overlap val="-27"/>
        <c:axId val="137934304"/>
        <c:axId val="137934864"/>
      </c:barChart>
      <c:catAx>
        <c:axId val="1379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4864"/>
        <c:crosses val="autoZero"/>
        <c:auto val="1"/>
        <c:lblAlgn val="ctr"/>
        <c:lblOffset val="100"/>
        <c:noMultiLvlLbl val="0"/>
      </c:catAx>
      <c:valAx>
        <c:axId val="137934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a:t>
            </a:r>
            <a:r>
              <a:rPr lang="en-AU" baseline="0"/>
              <a:t> of Cordell Connect Projects within Victoria by status - May 2017</a:t>
            </a:r>
            <a:endParaRPr lang="en-AU" sz="800" baseline="0"/>
          </a:p>
          <a:p>
            <a:pPr>
              <a:defRPr/>
            </a:pPr>
            <a:r>
              <a:rPr lang="en-AU" sz="800" baseline="0"/>
              <a:t>Source: VPA analysis of Cordell Connect Database </a:t>
            </a:r>
            <a:endParaRPr lang="en-AU"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278060451288798"/>
          <c:y val="0.28536472671967344"/>
          <c:w val="0.47876466301663151"/>
          <c:h val="0.714635273280326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2"/>
              <c:layout>
                <c:manualLayout>
                  <c:x val="5.1195211270527945E-2"/>
                  <c:y val="7.420949352939638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dLbl>
              <c:idx val="3"/>
              <c:layout>
                <c:manualLayout>
                  <c:x val="-8.258419478891918E-2"/>
                  <c:y val="-5.9278760692810711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dLbl>
              <c:idx val="4"/>
              <c:layout>
                <c:manualLayout>
                  <c:x val="-3.018289709833703E-2"/>
                  <c:y val="8.8209178899956039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'May 2017'!$D$100:$H$100</c:f>
              <c:strCache>
                <c:ptCount val="5"/>
                <c:pt idx="0">
                  <c:v>Early</c:v>
                </c:pt>
                <c:pt idx="1">
                  <c:v>Registrations</c:v>
                </c:pt>
                <c:pt idx="2">
                  <c:v>Possible</c:v>
                </c:pt>
                <c:pt idx="3">
                  <c:v>Firm</c:v>
                </c:pt>
                <c:pt idx="4">
                  <c:v>Commenced</c:v>
                </c:pt>
              </c:strCache>
            </c:strRef>
          </c:cat>
          <c:val>
            <c:numRef>
              <c:f>'May 2017'!$D$101:$H$101</c:f>
              <c:numCache>
                <c:formatCode>General</c:formatCode>
                <c:ptCount val="5"/>
                <c:pt idx="0">
                  <c:v>916</c:v>
                </c:pt>
                <c:pt idx="1">
                  <c:v>71</c:v>
                </c:pt>
                <c:pt idx="2">
                  <c:v>10593</c:v>
                </c:pt>
                <c:pt idx="3">
                  <c:v>5154</c:v>
                </c:pt>
                <c:pt idx="4">
                  <c:v>6398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a:t>Value of Cordell Connect Projects within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AU"/>
              <a:t>Victoria by staus </a:t>
            </a:r>
            <a:r>
              <a:rPr lang="en-AU" sz="1400" b="0" i="0" u="none" strike="noStrike" baseline="0">
                <a:effectLst/>
              </a:rPr>
              <a:t> ($ Billions) - May 2017</a:t>
            </a:r>
            <a:endParaRPr lang="en-AU" sz="800"/>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AU" sz="800" b="0" i="0" baseline="0">
                <a:effectLst/>
              </a:rPr>
              <a:t>Source: VPA analysis of Cordell Connect Database </a:t>
            </a:r>
            <a:endParaRPr lang="en-AU" sz="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3041468075197068"/>
          <c:y val="0.2877675707203266"/>
          <c:w val="0.41934618247345945"/>
          <c:h val="0.7024048556430446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8.5283011887195698E-2"/>
                  <c:y val="5.631634587343249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12704565536273141"/>
                  <c:y val="-0.1146525955088947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1.853059723255986E-2"/>
                  <c:y val="2.3536745406824149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8.7195366126497864E-2"/>
                  <c:y val="5.0253353747448236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'May 2017'!$J$100:$N$100</c:f>
              <c:strCache>
                <c:ptCount val="5"/>
                <c:pt idx="0">
                  <c:v>Early</c:v>
                </c:pt>
                <c:pt idx="1">
                  <c:v>Registrations</c:v>
                </c:pt>
                <c:pt idx="2">
                  <c:v>Possible</c:v>
                </c:pt>
                <c:pt idx="3">
                  <c:v>Firm</c:v>
                </c:pt>
                <c:pt idx="4">
                  <c:v>Commenced</c:v>
                </c:pt>
              </c:strCache>
            </c:strRef>
          </c:cat>
          <c:val>
            <c:numRef>
              <c:f>'May 2017'!$J$102:$N$102</c:f>
              <c:numCache>
                <c:formatCode>_("$"* #,##0.00_);_("$"* \(#,##0.00\);_("$"* "-"??_);_(@_)</c:formatCode>
                <c:ptCount val="5"/>
                <c:pt idx="0">
                  <c:v>42.570242999999984</c:v>
                </c:pt>
                <c:pt idx="1">
                  <c:v>2.2321009999999997</c:v>
                </c:pt>
                <c:pt idx="2">
                  <c:v>78.963252000000026</c:v>
                </c:pt>
                <c:pt idx="3">
                  <c:v>41.340271999999985</c:v>
                </c:pt>
                <c:pt idx="4">
                  <c:v>32.435661999999994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en-AU" sz="1600" b="0"/>
              <a:t>Greenfield</a:t>
            </a:r>
            <a:r>
              <a:rPr lang="en-AU" sz="1600" b="0" baseline="0"/>
              <a:t> </a:t>
            </a:r>
            <a:r>
              <a:rPr lang="en-AU" sz="1600" b="0"/>
              <a:t>Lots</a:t>
            </a:r>
            <a:r>
              <a:rPr lang="en-AU" sz="1600" b="0" baseline="0"/>
              <a:t> Sales </a:t>
            </a:r>
          </a:p>
          <a:p>
            <a:pPr marL="0" marR="0" indent="0" algn="l"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en-AU" sz="900" b="0" i="0" baseline="0"/>
              <a:t>Source: MPA analysis of CKC Research 4 National Land Survey Program</a:t>
            </a:r>
            <a:endParaRPr lang="en-AU" sz="900" b="0"/>
          </a:p>
        </c:rich>
      </c:tx>
      <c:layout>
        <c:manualLayout>
          <c:xMode val="edge"/>
          <c:yMode val="edge"/>
          <c:x val="1.2271856054444988E-3"/>
          <c:y val="0"/>
        </c:manualLayout>
      </c:layout>
      <c:overlay val="1"/>
    </c:title>
    <c:autoTitleDeleted val="0"/>
    <c:plotArea>
      <c:layout>
        <c:manualLayout>
          <c:layoutTarget val="inner"/>
          <c:xMode val="edge"/>
          <c:yMode val="edge"/>
          <c:x val="9.2890360490298182E-2"/>
          <c:y val="0.20839738851963951"/>
          <c:w val="0.8914257461011883"/>
          <c:h val="0.62640192334696243"/>
        </c:manualLayout>
      </c:layout>
      <c:lineChart>
        <c:grouping val="standard"/>
        <c:varyColors val="0"/>
        <c:ser>
          <c:idx val="0"/>
          <c:order val="0"/>
          <c:tx>
            <c:strRef>
              <c:f>'CKC Sales Figures'!$A$2</c:f>
              <c:strCache>
                <c:ptCount val="1"/>
                <c:pt idx="0">
                  <c:v>Sydney/ Wollongong/ Newcastle</c:v>
                </c:pt>
              </c:strCache>
            </c:strRef>
          </c:tx>
          <c:marker>
            <c:symbol val="none"/>
          </c:marker>
          <c:cat>
            <c:numRef>
              <c:f>'CKC Sales Figures'!$B$1:$AH$1</c:f>
              <c:numCache>
                <c:formatCode>mmm\-yy</c:formatCode>
                <c:ptCount val="33"/>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numCache>
            </c:numRef>
          </c:cat>
          <c:val>
            <c:numRef>
              <c:f>'CKC Sales Figures'!$B$2:$AH$2</c:f>
              <c:numCache>
                <c:formatCode>General</c:formatCode>
                <c:ptCount val="33"/>
                <c:pt idx="0">
                  <c:v>750</c:v>
                </c:pt>
                <c:pt idx="1">
                  <c:v>696</c:v>
                </c:pt>
                <c:pt idx="2">
                  <c:v>894</c:v>
                </c:pt>
                <c:pt idx="3">
                  <c:v>768</c:v>
                </c:pt>
                <c:pt idx="4">
                  <c:v>1143</c:v>
                </c:pt>
                <c:pt idx="5">
                  <c:v>1239</c:v>
                </c:pt>
                <c:pt idx="6">
                  <c:v>1074</c:v>
                </c:pt>
                <c:pt idx="7">
                  <c:v>1089</c:v>
                </c:pt>
                <c:pt idx="8">
                  <c:v>1311</c:v>
                </c:pt>
                <c:pt idx="9">
                  <c:v>1176</c:v>
                </c:pt>
                <c:pt idx="10">
                  <c:v>1053</c:v>
                </c:pt>
                <c:pt idx="11">
                  <c:v>1455</c:v>
                </c:pt>
                <c:pt idx="12">
                  <c:v>1416</c:v>
                </c:pt>
                <c:pt idx="13">
                  <c:v>1512</c:v>
                </c:pt>
                <c:pt idx="14">
                  <c:v>1539</c:v>
                </c:pt>
                <c:pt idx="15">
                  <c:v>1548</c:v>
                </c:pt>
                <c:pt idx="16">
                  <c:v>2028</c:v>
                </c:pt>
                <c:pt idx="17">
                  <c:v>2391</c:v>
                </c:pt>
                <c:pt idx="18">
                  <c:v>2565</c:v>
                </c:pt>
                <c:pt idx="19">
                  <c:v>2856</c:v>
                </c:pt>
                <c:pt idx="20">
                  <c:v>2652</c:v>
                </c:pt>
                <c:pt idx="21">
                  <c:v>2778</c:v>
                </c:pt>
                <c:pt idx="22">
                  <c:v>2859</c:v>
                </c:pt>
                <c:pt idx="23">
                  <c:v>2568</c:v>
                </c:pt>
                <c:pt idx="24">
                  <c:v>2154</c:v>
                </c:pt>
                <c:pt idx="25">
                  <c:v>2829</c:v>
                </c:pt>
                <c:pt idx="26">
                  <c:v>2592</c:v>
                </c:pt>
                <c:pt idx="27">
                  <c:v>2109</c:v>
                </c:pt>
                <c:pt idx="28">
                  <c:v>2151</c:v>
                </c:pt>
                <c:pt idx="29">
                  <c:v>2928</c:v>
                </c:pt>
                <c:pt idx="30">
                  <c:v>2901</c:v>
                </c:pt>
                <c:pt idx="31">
                  <c:v>3726</c:v>
                </c:pt>
                <c:pt idx="32">
                  <c:v>2940</c:v>
                </c:pt>
              </c:numCache>
            </c:numRef>
          </c:val>
          <c:smooth val="1"/>
        </c:ser>
        <c:ser>
          <c:idx val="1"/>
          <c:order val="1"/>
          <c:tx>
            <c:strRef>
              <c:f>'CKC Sales Figures'!$A$3</c:f>
              <c:strCache>
                <c:ptCount val="1"/>
                <c:pt idx="0">
                  <c:v>Brisbane/ Sunshine Coast/ Gold Coast</c:v>
                </c:pt>
              </c:strCache>
            </c:strRef>
          </c:tx>
          <c:marker>
            <c:symbol val="none"/>
          </c:marker>
          <c:cat>
            <c:numRef>
              <c:f>'CKC Sales Figures'!$B$1:$AH$1</c:f>
              <c:numCache>
                <c:formatCode>mmm\-yy</c:formatCode>
                <c:ptCount val="33"/>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numCache>
            </c:numRef>
          </c:cat>
          <c:val>
            <c:numRef>
              <c:f>'CKC Sales Figures'!$B$3:$AH$3</c:f>
              <c:numCache>
                <c:formatCode>General</c:formatCode>
                <c:ptCount val="33"/>
                <c:pt idx="0">
                  <c:v>936</c:v>
                </c:pt>
                <c:pt idx="1">
                  <c:v>1290</c:v>
                </c:pt>
                <c:pt idx="2">
                  <c:v>1680</c:v>
                </c:pt>
                <c:pt idx="3">
                  <c:v>1326</c:v>
                </c:pt>
                <c:pt idx="4">
                  <c:v>1437</c:v>
                </c:pt>
                <c:pt idx="5">
                  <c:v>1695</c:v>
                </c:pt>
                <c:pt idx="6">
                  <c:v>1410</c:v>
                </c:pt>
                <c:pt idx="7">
                  <c:v>1077</c:v>
                </c:pt>
                <c:pt idx="8">
                  <c:v>882</c:v>
                </c:pt>
                <c:pt idx="9">
                  <c:v>864</c:v>
                </c:pt>
                <c:pt idx="10">
                  <c:v>1107</c:v>
                </c:pt>
                <c:pt idx="11">
                  <c:v>1254</c:v>
                </c:pt>
                <c:pt idx="12">
                  <c:v>1161</c:v>
                </c:pt>
                <c:pt idx="13">
                  <c:v>1110</c:v>
                </c:pt>
                <c:pt idx="14">
                  <c:v>1173</c:v>
                </c:pt>
                <c:pt idx="15">
                  <c:v>1278</c:v>
                </c:pt>
                <c:pt idx="16">
                  <c:v>1521</c:v>
                </c:pt>
                <c:pt idx="17">
                  <c:v>1707</c:v>
                </c:pt>
                <c:pt idx="18">
                  <c:v>2313</c:v>
                </c:pt>
                <c:pt idx="19">
                  <c:v>2259</c:v>
                </c:pt>
                <c:pt idx="20">
                  <c:v>2772</c:v>
                </c:pt>
                <c:pt idx="21">
                  <c:v>2745</c:v>
                </c:pt>
                <c:pt idx="22">
                  <c:v>3075</c:v>
                </c:pt>
                <c:pt idx="23">
                  <c:v>2613</c:v>
                </c:pt>
                <c:pt idx="24">
                  <c:v>2811</c:v>
                </c:pt>
                <c:pt idx="25">
                  <c:v>2754</c:v>
                </c:pt>
                <c:pt idx="26">
                  <c:v>2739</c:v>
                </c:pt>
                <c:pt idx="27">
                  <c:v>2232</c:v>
                </c:pt>
                <c:pt idx="28">
                  <c:v>2817</c:v>
                </c:pt>
                <c:pt idx="29">
                  <c:v>2706</c:v>
                </c:pt>
                <c:pt idx="30">
                  <c:v>2949</c:v>
                </c:pt>
                <c:pt idx="31">
                  <c:v>2997</c:v>
                </c:pt>
                <c:pt idx="32">
                  <c:v>3300</c:v>
                </c:pt>
              </c:numCache>
            </c:numRef>
          </c:val>
          <c:smooth val="1"/>
        </c:ser>
        <c:ser>
          <c:idx val="2"/>
          <c:order val="2"/>
          <c:tx>
            <c:strRef>
              <c:f>'CKC Sales Figures'!$A$4</c:f>
              <c:strCache>
                <c:ptCount val="1"/>
                <c:pt idx="0">
                  <c:v>Perth</c:v>
                </c:pt>
              </c:strCache>
            </c:strRef>
          </c:tx>
          <c:marker>
            <c:symbol val="none"/>
          </c:marker>
          <c:cat>
            <c:numRef>
              <c:f>'CKC Sales Figures'!$B$1:$AH$1</c:f>
              <c:numCache>
                <c:formatCode>mmm\-yy</c:formatCode>
                <c:ptCount val="33"/>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numCache>
            </c:numRef>
          </c:cat>
          <c:val>
            <c:numRef>
              <c:f>'CKC Sales Figures'!$B$4:$AH$4</c:f>
              <c:numCache>
                <c:formatCode>General</c:formatCode>
                <c:ptCount val="33"/>
                <c:pt idx="0">
                  <c:v>1476</c:v>
                </c:pt>
                <c:pt idx="1">
                  <c:v>1413</c:v>
                </c:pt>
                <c:pt idx="2">
                  <c:v>1941</c:v>
                </c:pt>
                <c:pt idx="3">
                  <c:v>1479</c:v>
                </c:pt>
                <c:pt idx="4">
                  <c:v>2070</c:v>
                </c:pt>
                <c:pt idx="5">
                  <c:v>2214</c:v>
                </c:pt>
                <c:pt idx="6">
                  <c:v>1350</c:v>
                </c:pt>
                <c:pt idx="7">
                  <c:v>1389</c:v>
                </c:pt>
                <c:pt idx="8">
                  <c:v>1329</c:v>
                </c:pt>
                <c:pt idx="9">
                  <c:v>1239</c:v>
                </c:pt>
                <c:pt idx="10">
                  <c:v>1386</c:v>
                </c:pt>
                <c:pt idx="11">
                  <c:v>1467</c:v>
                </c:pt>
                <c:pt idx="12">
                  <c:v>1869</c:v>
                </c:pt>
                <c:pt idx="13">
                  <c:v>2154</c:v>
                </c:pt>
                <c:pt idx="14">
                  <c:v>2766</c:v>
                </c:pt>
                <c:pt idx="15">
                  <c:v>2634</c:v>
                </c:pt>
                <c:pt idx="16">
                  <c:v>3594</c:v>
                </c:pt>
                <c:pt idx="17">
                  <c:v>3720</c:v>
                </c:pt>
                <c:pt idx="18">
                  <c:v>3258</c:v>
                </c:pt>
                <c:pt idx="19">
                  <c:v>3117</c:v>
                </c:pt>
                <c:pt idx="20">
                  <c:v>3129</c:v>
                </c:pt>
                <c:pt idx="21">
                  <c:v>2994</c:v>
                </c:pt>
                <c:pt idx="22">
                  <c:v>3150</c:v>
                </c:pt>
                <c:pt idx="23">
                  <c:v>2748</c:v>
                </c:pt>
                <c:pt idx="24">
                  <c:v>2904</c:v>
                </c:pt>
                <c:pt idx="25">
                  <c:v>1887</c:v>
                </c:pt>
                <c:pt idx="26">
                  <c:v>2172</c:v>
                </c:pt>
                <c:pt idx="27">
                  <c:v>1278</c:v>
                </c:pt>
                <c:pt idx="28">
                  <c:v>1668</c:v>
                </c:pt>
                <c:pt idx="29">
                  <c:v>1584</c:v>
                </c:pt>
                <c:pt idx="30">
                  <c:v>1572</c:v>
                </c:pt>
                <c:pt idx="31">
                  <c:v>1287</c:v>
                </c:pt>
                <c:pt idx="32">
                  <c:v>1392</c:v>
                </c:pt>
              </c:numCache>
            </c:numRef>
          </c:val>
          <c:smooth val="1"/>
        </c:ser>
        <c:ser>
          <c:idx val="3"/>
          <c:order val="3"/>
          <c:tx>
            <c:strRef>
              <c:f>'CKC Sales Figures'!$A$5</c:f>
              <c:strCache>
                <c:ptCount val="1"/>
                <c:pt idx="0">
                  <c:v>Adelaide</c:v>
                </c:pt>
              </c:strCache>
            </c:strRef>
          </c:tx>
          <c:marker>
            <c:symbol val="none"/>
          </c:marker>
          <c:cat>
            <c:numRef>
              <c:f>'CKC Sales Figures'!$B$1:$AH$1</c:f>
              <c:numCache>
                <c:formatCode>mmm\-yy</c:formatCode>
                <c:ptCount val="33"/>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numCache>
            </c:numRef>
          </c:cat>
          <c:val>
            <c:numRef>
              <c:f>'CKC Sales Figures'!$B$5:$AH$5</c:f>
              <c:numCache>
                <c:formatCode>General</c:formatCode>
                <c:ptCount val="33"/>
                <c:pt idx="0">
                  <c:v>354</c:v>
                </c:pt>
                <c:pt idx="1">
                  <c:v>399</c:v>
                </c:pt>
                <c:pt idx="2">
                  <c:v>585</c:v>
                </c:pt>
                <c:pt idx="3">
                  <c:v>420</c:v>
                </c:pt>
                <c:pt idx="4">
                  <c:v>621</c:v>
                </c:pt>
                <c:pt idx="5">
                  <c:v>738</c:v>
                </c:pt>
                <c:pt idx="6">
                  <c:v>570</c:v>
                </c:pt>
                <c:pt idx="7">
                  <c:v>336</c:v>
                </c:pt>
                <c:pt idx="8">
                  <c:v>498</c:v>
                </c:pt>
                <c:pt idx="9">
                  <c:v>378</c:v>
                </c:pt>
                <c:pt idx="10">
                  <c:v>303</c:v>
                </c:pt>
                <c:pt idx="11">
                  <c:v>258</c:v>
                </c:pt>
                <c:pt idx="12">
                  <c:v>345</c:v>
                </c:pt>
                <c:pt idx="13">
                  <c:v>447</c:v>
                </c:pt>
                <c:pt idx="14">
                  <c:v>390</c:v>
                </c:pt>
                <c:pt idx="15">
                  <c:v>438</c:v>
                </c:pt>
                <c:pt idx="16">
                  <c:v>630</c:v>
                </c:pt>
                <c:pt idx="17">
                  <c:v>720</c:v>
                </c:pt>
                <c:pt idx="18">
                  <c:v>555</c:v>
                </c:pt>
                <c:pt idx="19">
                  <c:v>630</c:v>
                </c:pt>
                <c:pt idx="20">
                  <c:v>558</c:v>
                </c:pt>
                <c:pt idx="21">
                  <c:v>480</c:v>
                </c:pt>
                <c:pt idx="22">
                  <c:v>480</c:v>
                </c:pt>
                <c:pt idx="23">
                  <c:v>480</c:v>
                </c:pt>
                <c:pt idx="24">
                  <c:v>543</c:v>
                </c:pt>
                <c:pt idx="25">
                  <c:v>540</c:v>
                </c:pt>
                <c:pt idx="26">
                  <c:v>633</c:v>
                </c:pt>
                <c:pt idx="27">
                  <c:v>507</c:v>
                </c:pt>
                <c:pt idx="28">
                  <c:v>486</c:v>
                </c:pt>
                <c:pt idx="29">
                  <c:v>345</c:v>
                </c:pt>
                <c:pt idx="30">
                  <c:v>513</c:v>
                </c:pt>
                <c:pt idx="31">
                  <c:v>417</c:v>
                </c:pt>
                <c:pt idx="32">
                  <c:v>372</c:v>
                </c:pt>
              </c:numCache>
            </c:numRef>
          </c:val>
          <c:smooth val="1"/>
        </c:ser>
        <c:ser>
          <c:idx val="4"/>
          <c:order val="4"/>
          <c:tx>
            <c:strRef>
              <c:f>'CKC Sales Figures'!$A$6</c:f>
              <c:strCache>
                <c:ptCount val="1"/>
                <c:pt idx="0">
                  <c:v>Canberra</c:v>
                </c:pt>
              </c:strCache>
            </c:strRef>
          </c:tx>
          <c:marker>
            <c:symbol val="none"/>
          </c:marker>
          <c:cat>
            <c:numRef>
              <c:f>'CKC Sales Figures'!$B$1:$AH$1</c:f>
              <c:numCache>
                <c:formatCode>mmm\-yy</c:formatCode>
                <c:ptCount val="33"/>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numCache>
            </c:numRef>
          </c:cat>
          <c:val>
            <c:numRef>
              <c:f>'CKC Sales Figures'!$B$6:$AH$6</c:f>
              <c:numCache>
                <c:formatCode>General</c:formatCode>
                <c:ptCount val="33"/>
                <c:pt idx="0">
                  <c:v>150</c:v>
                </c:pt>
                <c:pt idx="1">
                  <c:v>240</c:v>
                </c:pt>
                <c:pt idx="2">
                  <c:v>315</c:v>
                </c:pt>
                <c:pt idx="3">
                  <c:v>459</c:v>
                </c:pt>
                <c:pt idx="4">
                  <c:v>441</c:v>
                </c:pt>
                <c:pt idx="5">
                  <c:v>873</c:v>
                </c:pt>
                <c:pt idx="6">
                  <c:v>306</c:v>
                </c:pt>
                <c:pt idx="7">
                  <c:v>363</c:v>
                </c:pt>
                <c:pt idx="8">
                  <c:v>231</c:v>
                </c:pt>
                <c:pt idx="9">
                  <c:v>780</c:v>
                </c:pt>
                <c:pt idx="10">
                  <c:v>480</c:v>
                </c:pt>
                <c:pt idx="11">
                  <c:v>279</c:v>
                </c:pt>
                <c:pt idx="12">
                  <c:v>321</c:v>
                </c:pt>
                <c:pt idx="13">
                  <c:v>489</c:v>
                </c:pt>
                <c:pt idx="14">
                  <c:v>279</c:v>
                </c:pt>
                <c:pt idx="15">
                  <c:v>225</c:v>
                </c:pt>
                <c:pt idx="16">
                  <c:v>159</c:v>
                </c:pt>
                <c:pt idx="17">
                  <c:v>411</c:v>
                </c:pt>
                <c:pt idx="18">
                  <c:v>402</c:v>
                </c:pt>
                <c:pt idx="19">
                  <c:v>282</c:v>
                </c:pt>
                <c:pt idx="20">
                  <c:v>366</c:v>
                </c:pt>
                <c:pt idx="21">
                  <c:v>234</c:v>
                </c:pt>
                <c:pt idx="22">
                  <c:v>87</c:v>
                </c:pt>
                <c:pt idx="23">
                  <c:v>447</c:v>
                </c:pt>
                <c:pt idx="24">
                  <c:v>84</c:v>
                </c:pt>
                <c:pt idx="25">
                  <c:v>18</c:v>
                </c:pt>
                <c:pt idx="26">
                  <c:v>219</c:v>
                </c:pt>
                <c:pt idx="27">
                  <c:v>357</c:v>
                </c:pt>
                <c:pt idx="28">
                  <c:v>216</c:v>
                </c:pt>
                <c:pt idx="29">
                  <c:v>297</c:v>
                </c:pt>
                <c:pt idx="30">
                  <c:v>216</c:v>
                </c:pt>
                <c:pt idx="31">
                  <c:v>96</c:v>
                </c:pt>
                <c:pt idx="32">
                  <c:v>261</c:v>
                </c:pt>
              </c:numCache>
            </c:numRef>
          </c:val>
          <c:smooth val="1"/>
        </c:ser>
        <c:ser>
          <c:idx val="5"/>
          <c:order val="5"/>
          <c:tx>
            <c:strRef>
              <c:f>'CKC Sales Figures'!$A$7</c:f>
              <c:strCache>
                <c:ptCount val="1"/>
                <c:pt idx="0">
                  <c:v>Melbourne</c:v>
                </c:pt>
              </c:strCache>
            </c:strRef>
          </c:tx>
          <c:cat>
            <c:numRef>
              <c:f>'CKC Sales Figures'!$B$1:$AH$1</c:f>
              <c:numCache>
                <c:formatCode>mmm\-yy</c:formatCode>
                <c:ptCount val="33"/>
                <c:pt idx="0">
                  <c:v>39873</c:v>
                </c:pt>
                <c:pt idx="1">
                  <c:v>39965</c:v>
                </c:pt>
                <c:pt idx="2">
                  <c:v>40057</c:v>
                </c:pt>
                <c:pt idx="3">
                  <c:v>40148</c:v>
                </c:pt>
                <c:pt idx="4">
                  <c:v>40238</c:v>
                </c:pt>
                <c:pt idx="5">
                  <c:v>40330</c:v>
                </c:pt>
                <c:pt idx="6">
                  <c:v>40422</c:v>
                </c:pt>
                <c:pt idx="7">
                  <c:v>40513</c:v>
                </c:pt>
                <c:pt idx="8">
                  <c:v>40603</c:v>
                </c:pt>
                <c:pt idx="9">
                  <c:v>40695</c:v>
                </c:pt>
                <c:pt idx="10">
                  <c:v>40787</c:v>
                </c:pt>
                <c:pt idx="11">
                  <c:v>40878</c:v>
                </c:pt>
                <c:pt idx="12">
                  <c:v>40969</c:v>
                </c:pt>
                <c:pt idx="13">
                  <c:v>41061</c:v>
                </c:pt>
                <c:pt idx="14">
                  <c:v>41153</c:v>
                </c:pt>
                <c:pt idx="15">
                  <c:v>41244</c:v>
                </c:pt>
                <c:pt idx="16">
                  <c:v>41334</c:v>
                </c:pt>
                <c:pt idx="17">
                  <c:v>41426</c:v>
                </c:pt>
                <c:pt idx="18">
                  <c:v>41518</c:v>
                </c:pt>
                <c:pt idx="19">
                  <c:v>41609</c:v>
                </c:pt>
                <c:pt idx="20">
                  <c:v>41699</c:v>
                </c:pt>
                <c:pt idx="21">
                  <c:v>41791</c:v>
                </c:pt>
                <c:pt idx="22">
                  <c:v>41883</c:v>
                </c:pt>
                <c:pt idx="23">
                  <c:v>41974</c:v>
                </c:pt>
                <c:pt idx="24">
                  <c:v>42064</c:v>
                </c:pt>
                <c:pt idx="25">
                  <c:v>42156</c:v>
                </c:pt>
                <c:pt idx="26">
                  <c:v>42248</c:v>
                </c:pt>
                <c:pt idx="27">
                  <c:v>42339</c:v>
                </c:pt>
                <c:pt idx="28">
                  <c:v>42430</c:v>
                </c:pt>
                <c:pt idx="29">
                  <c:v>42522</c:v>
                </c:pt>
                <c:pt idx="30">
                  <c:v>42614</c:v>
                </c:pt>
                <c:pt idx="31">
                  <c:v>42705</c:v>
                </c:pt>
                <c:pt idx="32">
                  <c:v>42795</c:v>
                </c:pt>
              </c:numCache>
            </c:numRef>
          </c:cat>
          <c:val>
            <c:numRef>
              <c:f>'CKC Sales Figures'!$B$7:$AH$7</c:f>
              <c:numCache>
                <c:formatCode>General</c:formatCode>
                <c:ptCount val="33"/>
                <c:pt idx="0">
                  <c:v>2592</c:v>
                </c:pt>
                <c:pt idx="1">
                  <c:v>3711</c:v>
                </c:pt>
                <c:pt idx="2">
                  <c:v>4386</c:v>
                </c:pt>
                <c:pt idx="3">
                  <c:v>2541</c:v>
                </c:pt>
                <c:pt idx="4">
                  <c:v>4257</c:v>
                </c:pt>
                <c:pt idx="5">
                  <c:v>3963</c:v>
                </c:pt>
                <c:pt idx="6">
                  <c:v>3213</c:v>
                </c:pt>
                <c:pt idx="7">
                  <c:v>2688</c:v>
                </c:pt>
                <c:pt idx="8">
                  <c:v>2736</c:v>
                </c:pt>
                <c:pt idx="9">
                  <c:v>2154</c:v>
                </c:pt>
                <c:pt idx="10">
                  <c:v>1758</c:v>
                </c:pt>
                <c:pt idx="11">
                  <c:v>1377</c:v>
                </c:pt>
                <c:pt idx="12">
                  <c:v>1821</c:v>
                </c:pt>
                <c:pt idx="13">
                  <c:v>1830</c:v>
                </c:pt>
                <c:pt idx="14">
                  <c:v>1089</c:v>
                </c:pt>
                <c:pt idx="15">
                  <c:v>1302</c:v>
                </c:pt>
                <c:pt idx="16">
                  <c:v>1419</c:v>
                </c:pt>
                <c:pt idx="17">
                  <c:v>1956</c:v>
                </c:pt>
                <c:pt idx="18">
                  <c:v>2781</c:v>
                </c:pt>
                <c:pt idx="19">
                  <c:v>2652</c:v>
                </c:pt>
                <c:pt idx="20">
                  <c:v>2790</c:v>
                </c:pt>
                <c:pt idx="21">
                  <c:v>3207</c:v>
                </c:pt>
                <c:pt idx="22">
                  <c:v>3240</c:v>
                </c:pt>
                <c:pt idx="23">
                  <c:v>3465</c:v>
                </c:pt>
                <c:pt idx="24">
                  <c:v>3897</c:v>
                </c:pt>
                <c:pt idx="25">
                  <c:v>5136</c:v>
                </c:pt>
                <c:pt idx="26">
                  <c:v>5676</c:v>
                </c:pt>
                <c:pt idx="27">
                  <c:v>4899</c:v>
                </c:pt>
                <c:pt idx="28">
                  <c:v>5418</c:v>
                </c:pt>
                <c:pt idx="29">
                  <c:v>6033</c:v>
                </c:pt>
                <c:pt idx="30">
                  <c:v>5409</c:v>
                </c:pt>
                <c:pt idx="31">
                  <c:v>5718</c:v>
                </c:pt>
                <c:pt idx="32">
                  <c:v>6393</c:v>
                </c:pt>
              </c:numCache>
            </c:numRef>
          </c:val>
          <c:smooth val="1"/>
        </c:ser>
        <c:dLbls>
          <c:showLegendKey val="0"/>
          <c:showVal val="0"/>
          <c:showCatName val="0"/>
          <c:showSerName val="0"/>
          <c:showPercent val="0"/>
          <c:showBubbleSize val="0"/>
        </c:dLbls>
        <c:smooth val="0"/>
        <c:axId val="205582576"/>
        <c:axId val="205583136"/>
      </c:lineChart>
      <c:dateAx>
        <c:axId val="205582576"/>
        <c:scaling>
          <c:orientation val="minMax"/>
        </c:scaling>
        <c:delete val="0"/>
        <c:axPos val="b"/>
        <c:numFmt formatCode="mmm\-yy" sourceLinked="0"/>
        <c:majorTickMark val="out"/>
        <c:minorTickMark val="none"/>
        <c:tickLblPos val="nextTo"/>
        <c:txPr>
          <a:bodyPr rot="5400000" vert="horz"/>
          <a:lstStyle/>
          <a:p>
            <a:pPr>
              <a:defRPr sz="900"/>
            </a:pPr>
            <a:endParaRPr lang="en-US"/>
          </a:p>
        </c:txPr>
        <c:crossAx val="205583136"/>
        <c:crosses val="autoZero"/>
        <c:auto val="1"/>
        <c:lblOffset val="100"/>
        <c:baseTimeUnit val="months"/>
        <c:majorUnit val="3"/>
        <c:majorTimeUnit val="months"/>
      </c:dateAx>
      <c:valAx>
        <c:axId val="205583136"/>
        <c:scaling>
          <c:orientation val="minMax"/>
        </c:scaling>
        <c:delete val="0"/>
        <c:axPos val="l"/>
        <c:majorGridlines/>
        <c:title>
          <c:tx>
            <c:rich>
              <a:bodyPr rot="-5400000" vert="horz"/>
              <a:lstStyle/>
              <a:p>
                <a:pPr>
                  <a:defRPr/>
                </a:pPr>
                <a:r>
                  <a:rPr lang="en-AU"/>
                  <a:t>Sales</a:t>
                </a:r>
                <a:r>
                  <a:rPr lang="en-AU" baseline="0"/>
                  <a:t> of Lots Per Quarter</a:t>
                </a:r>
                <a:endParaRPr lang="en-AU"/>
              </a:p>
            </c:rich>
          </c:tx>
          <c:overlay val="0"/>
        </c:title>
        <c:numFmt formatCode="#,##0" sourceLinked="0"/>
        <c:majorTickMark val="out"/>
        <c:minorTickMark val="none"/>
        <c:tickLblPos val="nextTo"/>
        <c:crossAx val="205582576"/>
        <c:crosses val="autoZero"/>
        <c:crossBetween val="midCat"/>
      </c:valAx>
      <c:spPr>
        <a:solidFill>
          <a:schemeClr val="bg1">
            <a:lumMod val="95000"/>
          </a:schemeClr>
        </a:solidFill>
      </c:spPr>
    </c:plotArea>
    <c:legend>
      <c:legendPos val="r"/>
      <c:layout>
        <c:manualLayout>
          <c:xMode val="edge"/>
          <c:yMode val="edge"/>
          <c:x val="0.54453017996945086"/>
          <c:y val="7.095973035302466E-3"/>
          <c:w val="0.43877519962832134"/>
          <c:h val="0.20533354820354735"/>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Average number of months Supply</a:t>
            </a:r>
            <a:r>
              <a:rPr lang="en-AU" baseline="0"/>
              <a:t> of Serviced Vacant Lots</a:t>
            </a:r>
            <a:r>
              <a:rPr lang="en-AU" sz="900" baseline="0"/>
              <a:t> </a:t>
            </a:r>
          </a:p>
          <a:p>
            <a:pPr algn="l">
              <a:defRPr/>
            </a:pPr>
            <a:r>
              <a:rPr lang="en-AU" sz="900" baseline="0"/>
              <a:t>Source: VPA analysis of Charter Keck Cramer Research 4 Data</a:t>
            </a:r>
            <a:endParaRPr lang="en-AU" sz="900"/>
          </a:p>
        </c:rich>
      </c:tx>
      <c:layout>
        <c:manualLayout>
          <c:xMode val="edge"/>
          <c:yMode val="edge"/>
          <c:x val="8.644845962863572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265435088755535E-2"/>
          <c:y val="0.11221329500592926"/>
          <c:w val="0.90195195948951745"/>
          <c:h val="0.71110037485523192"/>
        </c:manualLayout>
      </c:layout>
      <c:lineChart>
        <c:grouping val="standard"/>
        <c:varyColors val="0"/>
        <c:ser>
          <c:idx val="7"/>
          <c:order val="0"/>
          <c:tx>
            <c:strRef>
              <c:f>'Sales by LGA'!$B$60</c:f>
              <c:strCache>
                <c:ptCount val="1"/>
                <c:pt idx="0">
                  <c:v>All growth areas</c:v>
                </c:pt>
              </c:strCache>
            </c:strRef>
          </c:tx>
          <c:spPr>
            <a:ln w="28575" cap="rnd">
              <a:solidFill>
                <a:schemeClr val="tx1"/>
              </a:solidFill>
              <a:prstDash val="sysDash"/>
              <a:round/>
            </a:ln>
            <a:effectLst/>
          </c:spPr>
          <c:marker>
            <c:symbol val="circle"/>
            <c:size val="5"/>
            <c:spPr>
              <a:solidFill>
                <a:schemeClr val="accent2">
                  <a:lumMod val="60000"/>
                </a:schemeClr>
              </a:solidFill>
              <a:ln w="9525">
                <a:solidFill>
                  <a:schemeClr val="accent2">
                    <a:lumMod val="60000"/>
                  </a:schemeClr>
                </a:solidFill>
              </a:ln>
              <a:effectLst/>
            </c:spPr>
          </c:marker>
          <c:cat>
            <c:numRef>
              <c:f>'Sales by LGA'!$C$52:$S$52</c:f>
              <c:numCache>
                <c:formatCode>mmm\-yy</c:formatCode>
                <c:ptCount val="17"/>
                <c:pt idx="0">
                  <c:v>41334</c:v>
                </c:pt>
                <c:pt idx="1">
                  <c:v>41426</c:v>
                </c:pt>
                <c:pt idx="2">
                  <c:v>41518</c:v>
                </c:pt>
                <c:pt idx="3">
                  <c:v>41609</c:v>
                </c:pt>
                <c:pt idx="4">
                  <c:v>41699</c:v>
                </c:pt>
                <c:pt idx="5">
                  <c:v>41791</c:v>
                </c:pt>
                <c:pt idx="6">
                  <c:v>41883</c:v>
                </c:pt>
                <c:pt idx="7">
                  <c:v>41974</c:v>
                </c:pt>
                <c:pt idx="8">
                  <c:v>42064</c:v>
                </c:pt>
                <c:pt idx="9">
                  <c:v>42156</c:v>
                </c:pt>
                <c:pt idx="10">
                  <c:v>42248</c:v>
                </c:pt>
                <c:pt idx="11">
                  <c:v>42339</c:v>
                </c:pt>
                <c:pt idx="12">
                  <c:v>42430</c:v>
                </c:pt>
                <c:pt idx="13">
                  <c:v>42522</c:v>
                </c:pt>
                <c:pt idx="14">
                  <c:v>42614</c:v>
                </c:pt>
                <c:pt idx="15">
                  <c:v>42705</c:v>
                </c:pt>
                <c:pt idx="16">
                  <c:v>42795</c:v>
                </c:pt>
              </c:numCache>
            </c:numRef>
          </c:cat>
          <c:val>
            <c:numRef>
              <c:f>'Sales by LGA'!$C$60:$S$60</c:f>
              <c:numCache>
                <c:formatCode>0.0</c:formatCode>
                <c:ptCount val="17"/>
                <c:pt idx="0">
                  <c:v>10.235042735042734</c:v>
                </c:pt>
                <c:pt idx="1">
                  <c:v>7.6134715025906736</c:v>
                </c:pt>
                <c:pt idx="2">
                  <c:v>4.2730547550432281</c:v>
                </c:pt>
                <c:pt idx="3">
                  <c:v>4.2172084130019121</c:v>
                </c:pt>
                <c:pt idx="4">
                  <c:v>4.151648351648352</c:v>
                </c:pt>
                <c:pt idx="5">
                  <c:v>3.7167721518987342</c:v>
                </c:pt>
                <c:pt idx="6">
                  <c:v>3.3199367088607596</c:v>
                </c:pt>
                <c:pt idx="7">
                  <c:v>2.6335276967930028</c:v>
                </c:pt>
                <c:pt idx="8">
                  <c:v>2.1608557844690965</c:v>
                </c:pt>
                <c:pt idx="9">
                  <c:v>1.5190604543704274</c:v>
                </c:pt>
                <c:pt idx="10">
                  <c:v>1.1907441016333937</c:v>
                </c:pt>
                <c:pt idx="11">
                  <c:v>1.538245332262598</c:v>
                </c:pt>
                <c:pt idx="12">
                  <c:v>1.3980154355016539</c:v>
                </c:pt>
                <c:pt idx="13" formatCode="0.00">
                  <c:v>1.3076302629456364</c:v>
                </c:pt>
                <c:pt idx="14" formatCode="0.00">
                  <c:v>1.2606212067118887</c:v>
                </c:pt>
                <c:pt idx="15" formatCode="0.000">
                  <c:v>0.95143298438304447</c:v>
                </c:pt>
                <c:pt idx="16" formatCode="0.000">
                  <c:v>0.66972619788425636</c:v>
                </c:pt>
              </c:numCache>
            </c:numRef>
          </c:val>
          <c:smooth val="1"/>
        </c:ser>
        <c:dLbls>
          <c:showLegendKey val="0"/>
          <c:showVal val="0"/>
          <c:showCatName val="0"/>
          <c:showSerName val="0"/>
          <c:showPercent val="0"/>
          <c:showBubbleSize val="0"/>
        </c:dLbls>
        <c:marker val="1"/>
        <c:smooth val="0"/>
        <c:axId val="205585376"/>
        <c:axId val="205585936"/>
      </c:lineChart>
      <c:dateAx>
        <c:axId val="2055853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85936"/>
        <c:crosses val="autoZero"/>
        <c:auto val="1"/>
        <c:lblOffset val="100"/>
        <c:baseTimeUnit val="months"/>
        <c:majorUnit val="3"/>
        <c:majorTimeUnit val="months"/>
      </c:dateAx>
      <c:valAx>
        <c:axId val="205585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 Supply of</a:t>
                </a:r>
                <a:r>
                  <a:rPr lang="en-AU" baseline="0"/>
                  <a:t> Lots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85376"/>
        <c:crosses val="autoZero"/>
        <c:crossBetween val="midCat"/>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AU" sz="1200"/>
              <a:t>Australian Cities - </a:t>
            </a:r>
          </a:p>
          <a:p>
            <a:pPr algn="l">
              <a:defRPr/>
            </a:pPr>
            <a:r>
              <a:rPr lang="en-AU" sz="1200"/>
              <a:t>Median Lot Price for Vacant Serviced Lots in Greenfield Areas</a:t>
            </a:r>
          </a:p>
          <a:p>
            <a:pPr algn="l">
              <a:defRPr/>
            </a:pPr>
            <a:r>
              <a:rPr lang="en-AU" sz="1200"/>
              <a:t>1st Quarter 2017</a:t>
            </a:r>
          </a:p>
          <a:p>
            <a:pPr algn="l">
              <a:defRPr/>
            </a:pPr>
            <a:r>
              <a:rPr lang="en-AU" sz="800"/>
              <a:t>Source: VPA analysis of CKC Research 4 National Land Survey Program</a:t>
            </a:r>
          </a:p>
        </c:rich>
      </c:tx>
      <c:layout>
        <c:manualLayout>
          <c:xMode val="edge"/>
          <c:yMode val="edge"/>
          <c:x val="7.8801118788340569E-4"/>
          <c:y val="1.2148872369736274E-3"/>
        </c:manualLayout>
      </c:layout>
      <c:overlay val="0"/>
      <c:spPr>
        <a:noFill/>
        <a:ln w="25400">
          <a:noFill/>
        </a:ln>
      </c:spPr>
    </c:title>
    <c:autoTitleDeleted val="0"/>
    <c:plotArea>
      <c:layout>
        <c:manualLayout>
          <c:layoutTarget val="inner"/>
          <c:xMode val="edge"/>
          <c:yMode val="edge"/>
          <c:x val="0.28164864291106606"/>
          <c:y val="0.2801194362471478"/>
          <c:w val="0.61414591476556069"/>
          <c:h val="0.70272479925181464"/>
        </c:manualLayout>
      </c:layout>
      <c:barChart>
        <c:barDir val="bar"/>
        <c:grouping val="clustered"/>
        <c:varyColors val="0"/>
        <c:ser>
          <c:idx val="0"/>
          <c:order val="0"/>
          <c:spPr>
            <a:solidFill>
              <a:schemeClr val="accent1"/>
            </a:solidFill>
            <a:ln>
              <a:solidFill>
                <a:schemeClr val="tx1"/>
              </a:solidFill>
            </a:ln>
          </c:spPr>
          <c:invertIfNegative val="0"/>
          <c:dPt>
            <c:idx val="2"/>
            <c:invertIfNegative val="0"/>
            <c:bubble3D val="0"/>
            <c:spPr>
              <a:solidFill>
                <a:schemeClr val="tx2">
                  <a:lumMod val="75000"/>
                </a:schemeClr>
              </a:solidFill>
              <a:ln>
                <a:solidFill>
                  <a:schemeClr val="tx1"/>
                </a:solidFill>
              </a:ln>
            </c:spPr>
          </c:dPt>
          <c:dPt>
            <c:idx val="3"/>
            <c:invertIfNegative val="0"/>
            <c:bubble3D val="0"/>
          </c:dPt>
          <c:dPt>
            <c:idx val="4"/>
            <c:invertIfNegative val="0"/>
            <c:bubble3D val="0"/>
            <c:spPr>
              <a:solidFill>
                <a:schemeClr val="accent6">
                  <a:lumMod val="75000"/>
                </a:schemeClr>
              </a:solidFill>
              <a:ln>
                <a:solidFill>
                  <a:schemeClr val="tx1"/>
                </a:solidFill>
              </a:ln>
            </c:spPr>
          </c:dPt>
          <c:dPt>
            <c:idx val="5"/>
            <c:invertIfNegative val="0"/>
            <c:bubble3D val="0"/>
          </c:dPt>
          <c:dLbls>
            <c:spPr>
              <a:noFill/>
              <a:ln w="25400">
                <a:noFill/>
              </a:ln>
            </c:spPr>
            <c:txPr>
              <a:bodyPr/>
              <a:lstStyle/>
              <a:p>
                <a:pPr>
                  <a:defRPr sz="800" b="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'CKC Research 4 Prices'!$AC$33:$AC$39</c:f>
              <c:strCache>
                <c:ptCount val="7"/>
                <c:pt idx="0">
                  <c:v>Sydney / Woollongong / Newcastle</c:v>
                </c:pt>
                <c:pt idx="1">
                  <c:v>Canberra</c:v>
                </c:pt>
                <c:pt idx="2">
                  <c:v>National Median</c:v>
                </c:pt>
                <c:pt idx="3">
                  <c:v>Brisbane / Sunshine Coast / Gold Coast</c:v>
                </c:pt>
                <c:pt idx="4">
                  <c:v>Melbourne</c:v>
                </c:pt>
                <c:pt idx="5">
                  <c:v>Perth </c:v>
                </c:pt>
                <c:pt idx="6">
                  <c:v>Adelaide</c:v>
                </c:pt>
              </c:strCache>
            </c:strRef>
          </c:cat>
          <c:val>
            <c:numRef>
              <c:f>'CKC Research 4 Prices'!$AB$33:$AB$39</c:f>
              <c:numCache>
                <c:formatCode>_-"$"* #,##0_-;\-"$"* #,##0_-;_-"$"* "-"??_-;_-@_-</c:formatCode>
                <c:ptCount val="7"/>
                <c:pt idx="0">
                  <c:v>423250</c:v>
                </c:pt>
                <c:pt idx="1">
                  <c:v>353000</c:v>
                </c:pt>
                <c:pt idx="2">
                  <c:v>284286</c:v>
                </c:pt>
                <c:pt idx="3">
                  <c:v>256000</c:v>
                </c:pt>
                <c:pt idx="4">
                  <c:v>252000</c:v>
                </c:pt>
                <c:pt idx="5">
                  <c:v>225000</c:v>
                </c:pt>
                <c:pt idx="6">
                  <c:v>164750</c:v>
                </c:pt>
              </c:numCache>
            </c:numRef>
          </c:val>
        </c:ser>
        <c:dLbls>
          <c:showLegendKey val="0"/>
          <c:showVal val="0"/>
          <c:showCatName val="0"/>
          <c:showSerName val="0"/>
          <c:showPercent val="0"/>
          <c:showBubbleSize val="0"/>
        </c:dLbls>
        <c:gapWidth val="60"/>
        <c:axId val="205588176"/>
        <c:axId val="205588736"/>
      </c:barChart>
      <c:catAx>
        <c:axId val="205588176"/>
        <c:scaling>
          <c:orientation val="maxMin"/>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a:pPr>
            <a:endParaRPr lang="en-US"/>
          </a:p>
        </c:txPr>
        <c:crossAx val="205588736"/>
        <c:crosses val="autoZero"/>
        <c:auto val="1"/>
        <c:lblAlgn val="ctr"/>
        <c:lblOffset val="100"/>
        <c:tickLblSkip val="1"/>
        <c:tickMarkSkip val="1"/>
        <c:noMultiLvlLbl val="0"/>
      </c:catAx>
      <c:valAx>
        <c:axId val="205588736"/>
        <c:scaling>
          <c:orientation val="minMax"/>
          <c:max val="500000"/>
        </c:scaling>
        <c:delete val="0"/>
        <c:axPos val="t"/>
        <c:majorGridlines>
          <c:spPr>
            <a:ln w="3175">
              <a:solidFill>
                <a:srgbClr val="000000"/>
              </a:solidFill>
              <a:prstDash val="solid"/>
            </a:ln>
          </c:spPr>
        </c:majorGridlines>
        <c:numFmt formatCode="_-&quot;$&quot;* #,##0_-;\-&quot;$&quot;* #,##0_-;_-&quot;$&quot;* &quot;-&quot;??_-;_-@_-" sourceLinked="1"/>
        <c:majorTickMark val="out"/>
        <c:minorTickMark val="none"/>
        <c:tickLblPos val="nextTo"/>
        <c:spPr>
          <a:ln w="3175">
            <a:solidFill>
              <a:srgbClr val="000000"/>
            </a:solidFill>
            <a:prstDash val="solid"/>
          </a:ln>
        </c:spPr>
        <c:txPr>
          <a:bodyPr rot="0" vert="horz"/>
          <a:lstStyle/>
          <a:p>
            <a:pPr>
              <a:defRPr sz="1000"/>
            </a:pPr>
            <a:endParaRPr lang="en-US"/>
          </a:p>
        </c:txPr>
        <c:crossAx val="205588176"/>
        <c:crosses val="autoZero"/>
        <c:crossBetween val="between"/>
        <c:majorUnit val="100000"/>
      </c:valAx>
      <c:spPr>
        <a:solidFill>
          <a:schemeClr val="bg1">
            <a:lumMod val="95000"/>
          </a:schemeClr>
        </a:solidFill>
        <a:ln w="12700">
          <a:solidFill>
            <a:srgbClr val="808080"/>
          </a:solidFill>
          <a:prstDash val="solid"/>
        </a:ln>
      </c:spPr>
    </c:plotArea>
    <c:plotVisOnly val="1"/>
    <c:dispBlanksAs val="gap"/>
    <c:showDLblsOverMax val="0"/>
  </c:chart>
  <c:spPr>
    <a:solidFill>
      <a:schemeClr val="bg1"/>
    </a:solidFill>
    <a:ln w="3175">
      <a:noFill/>
      <a:prstDash val="solid"/>
    </a:ln>
  </c:spPr>
  <c:txPr>
    <a:bodyPr/>
    <a:lstStyle/>
    <a:p>
      <a:pPr>
        <a:defRPr sz="1600" b="0" i="0" u="none" strike="noStrike" baseline="0">
          <a:solidFill>
            <a:srgbClr val="000000"/>
          </a:solidFill>
          <a:latin typeface="Trebuchet MS"/>
          <a:ea typeface="Trebuchet MS"/>
          <a:cs typeface="Trebuchet MS"/>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cap="none" spc="20" baseline="0">
                <a:solidFill>
                  <a:sysClr val="windowText" lastClr="000000"/>
                </a:solidFill>
                <a:latin typeface="+mn-lt"/>
                <a:ea typeface="+mn-ea"/>
                <a:cs typeface="+mn-cs"/>
              </a:defRPr>
            </a:pPr>
            <a:r>
              <a:rPr lang="en-AU">
                <a:solidFill>
                  <a:sysClr val="windowText" lastClr="000000"/>
                </a:solidFill>
              </a:rPr>
              <a:t>Supply of 'PSP Approved Land' in Melbourne greenfields</a:t>
            </a:r>
          </a:p>
          <a:p>
            <a:pPr algn="l">
              <a:defRPr>
                <a:solidFill>
                  <a:sysClr val="windowText" lastClr="000000"/>
                </a:solidFill>
              </a:defRPr>
            </a:pPr>
            <a:r>
              <a:rPr lang="en-AU" sz="1000">
                <a:solidFill>
                  <a:sysClr val="windowText" lastClr="000000"/>
                </a:solidFill>
              </a:rPr>
              <a:t>Source: VPA modelling</a:t>
            </a:r>
          </a:p>
        </c:rich>
      </c:tx>
      <c:layout>
        <c:manualLayout>
          <c:xMode val="edge"/>
          <c:yMode val="edge"/>
          <c:x val="6.940724193813456E-5"/>
          <c:y val="0"/>
        </c:manualLayout>
      </c:layout>
      <c:overlay val="0"/>
      <c:spPr>
        <a:noFill/>
        <a:ln>
          <a:noFill/>
        </a:ln>
        <a:effectLst/>
      </c:spPr>
      <c:txPr>
        <a:bodyPr rot="0" spcFirstLastPara="1" vertOverflow="ellipsis" vert="horz" wrap="square" anchor="ctr" anchorCtr="1"/>
        <a:lstStyle/>
        <a:p>
          <a:pPr algn="l">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1782503565007126E-2"/>
          <c:y val="0.14607596833270459"/>
          <c:w val="0.87934610535887736"/>
          <c:h val="0.64995036935367789"/>
        </c:manualLayout>
      </c:layout>
      <c:barChart>
        <c:barDir val="col"/>
        <c:grouping val="clustered"/>
        <c:varyColors val="1"/>
        <c:ser>
          <c:idx val="0"/>
          <c:order val="0"/>
          <c:invertIfNegative val="0"/>
          <c:dPt>
            <c:idx val="0"/>
            <c:invertIfNegative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invertIfNegative val="0"/>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invertIfNegative val="0"/>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invertIfNegative val="0"/>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Pt>
            <c:idx val="7"/>
            <c:invertIfNegative val="0"/>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'Corridor Estimates'!$V$46:$V$53</c:f>
              <c:strCache>
                <c:ptCount val="8"/>
                <c:pt idx="0">
                  <c:v>End of 2009</c:v>
                </c:pt>
                <c:pt idx="1">
                  <c:v>End of 2010</c:v>
                </c:pt>
                <c:pt idx="2">
                  <c:v>End of 2011</c:v>
                </c:pt>
                <c:pt idx="3">
                  <c:v>End of 2012</c:v>
                </c:pt>
                <c:pt idx="4">
                  <c:v>End of 2013</c:v>
                </c:pt>
                <c:pt idx="5">
                  <c:v>End of 2014</c:v>
                </c:pt>
                <c:pt idx="6">
                  <c:v>End of 2015</c:v>
                </c:pt>
                <c:pt idx="7">
                  <c:v>End of 2016</c:v>
                </c:pt>
              </c:strCache>
            </c:strRef>
          </c:cat>
          <c:val>
            <c:numRef>
              <c:f>'Corridor Estimates'!$W$46:$W$53</c:f>
              <c:numCache>
                <c:formatCode>General</c:formatCode>
                <c:ptCount val="8"/>
                <c:pt idx="0">
                  <c:v>4.4000000000000004</c:v>
                </c:pt>
                <c:pt idx="1">
                  <c:v>6.1</c:v>
                </c:pt>
                <c:pt idx="2">
                  <c:v>6.7</c:v>
                </c:pt>
                <c:pt idx="3">
                  <c:v>8.1</c:v>
                </c:pt>
                <c:pt idx="4">
                  <c:v>8.3000000000000007</c:v>
                </c:pt>
                <c:pt idx="5">
                  <c:v>11.3</c:v>
                </c:pt>
                <c:pt idx="6">
                  <c:v>10.7</c:v>
                </c:pt>
                <c:pt idx="7">
                  <c:v>10.8</c:v>
                </c:pt>
              </c:numCache>
            </c:numRef>
          </c:val>
        </c:ser>
        <c:dLbls>
          <c:dLblPos val="inEnd"/>
          <c:showLegendKey val="0"/>
          <c:showVal val="1"/>
          <c:showCatName val="0"/>
          <c:showSerName val="0"/>
          <c:showPercent val="0"/>
          <c:showBubbleSize val="0"/>
        </c:dLbls>
        <c:gapWidth val="100"/>
        <c:overlap val="-24"/>
        <c:axId val="205590976"/>
        <c:axId val="205591536"/>
      </c:barChart>
      <c:catAx>
        <c:axId val="2055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591536"/>
        <c:crosses val="autoZero"/>
        <c:auto val="1"/>
        <c:lblAlgn val="ctr"/>
        <c:lblOffset val="100"/>
        <c:noMultiLvlLbl val="0"/>
      </c:catAx>
      <c:valAx>
        <c:axId val="20559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AU">
                    <a:solidFill>
                      <a:sysClr val="windowText" lastClr="000000"/>
                    </a:solidFill>
                  </a:rPr>
                  <a:t>Years of Supply of 'PSP approved land'</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590976"/>
        <c:crosses val="autoZero"/>
        <c:crossBetween val="between"/>
      </c:valAx>
      <c:spPr>
        <a:solidFill>
          <a:srgbClr val="F8F8F8"/>
        </a:solid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Sales</a:t>
            </a:r>
            <a:r>
              <a:rPr lang="en-AU" baseline="0"/>
              <a:t> of Properites Recorded - 2017</a:t>
            </a:r>
          </a:p>
          <a:p>
            <a:pPr algn="l">
              <a:defRPr/>
            </a:pPr>
            <a:r>
              <a:rPr lang="en-AU" baseline="0"/>
              <a:t>Metropolitan Melbourne</a:t>
            </a:r>
            <a:endParaRPr lang="en-AU" sz="1000" baseline="0"/>
          </a:p>
          <a:p>
            <a:pPr algn="l">
              <a:defRPr/>
            </a:pPr>
            <a:r>
              <a:rPr lang="en-AU" sz="1000" baseline="0"/>
              <a:t>Source: VPA analysis of Landata as of 18/5/17</a:t>
            </a:r>
            <a:endParaRPr lang="en-AU" sz="1000"/>
          </a:p>
        </c:rich>
      </c:tx>
      <c:layout>
        <c:manualLayout>
          <c:xMode val="edge"/>
          <c:yMode val="edge"/>
          <c:x val="2.86458986306787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416822718867382"/>
          <c:y val="0.14479719089167908"/>
          <c:w val="0.7411926038021478"/>
          <c:h val="0.84222884301624457"/>
        </c:manualLayout>
      </c:layout>
      <c:barChart>
        <c:barDir val="bar"/>
        <c:grouping val="stacked"/>
        <c:varyColors val="0"/>
        <c:ser>
          <c:idx val="0"/>
          <c:order val="0"/>
          <c:tx>
            <c:strRef>
              <c:f>'List of LGAs'!$D$1</c:f>
              <c:strCache>
                <c:ptCount val="1"/>
                <c:pt idx="0">
                  <c:v>Detached Houses</c:v>
                </c:pt>
              </c:strCache>
            </c:strRef>
          </c:tx>
          <c:spPr>
            <a:solidFill>
              <a:schemeClr val="accent1"/>
            </a:solidFill>
            <a:ln>
              <a:solidFill>
                <a:schemeClr val="tx1"/>
              </a:solidFill>
            </a:ln>
            <a:effectLst/>
          </c:spPr>
          <c:invertIfNegative val="0"/>
          <c:cat>
            <c:strRef>
              <c:f>'List of LGAs'!$C$2:$C$44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'List of LGAs'!$D$2:$D$44</c:f>
              <c:numCache>
                <c:formatCode>_-* #,##0_-;\-* #,##0_-;_-* "-"??_-;_-@_-</c:formatCode>
                <c:ptCount val="43"/>
                <c:pt idx="1">
                  <c:v>358</c:v>
                </c:pt>
                <c:pt idx="2">
                  <c:v>640</c:v>
                </c:pt>
                <c:pt idx="3">
                  <c:v>683</c:v>
                </c:pt>
                <c:pt idx="6">
                  <c:v>1969</c:v>
                </c:pt>
                <c:pt idx="7">
                  <c:v>1238</c:v>
                </c:pt>
                <c:pt idx="8">
                  <c:v>1428</c:v>
                </c:pt>
                <c:pt idx="9">
                  <c:v>1890</c:v>
                </c:pt>
                <c:pt idx="10">
                  <c:v>1787</c:v>
                </c:pt>
                <c:pt idx="11">
                  <c:v>2198</c:v>
                </c:pt>
                <c:pt idx="14">
                  <c:v>1237</c:v>
                </c:pt>
                <c:pt idx="15">
                  <c:v>1769</c:v>
                </c:pt>
                <c:pt idx="16">
                  <c:v>1303</c:v>
                </c:pt>
                <c:pt idx="17">
                  <c:v>969</c:v>
                </c:pt>
                <c:pt idx="20">
                  <c:v>1409</c:v>
                </c:pt>
                <c:pt idx="21">
                  <c:v>1388</c:v>
                </c:pt>
                <c:pt idx="22">
                  <c:v>3220</c:v>
                </c:pt>
                <c:pt idx="23">
                  <c:v>572</c:v>
                </c:pt>
                <c:pt idx="24">
                  <c:v>1697</c:v>
                </c:pt>
                <c:pt idx="25">
                  <c:v>640</c:v>
                </c:pt>
                <c:pt idx="26">
                  <c:v>2950</c:v>
                </c:pt>
                <c:pt idx="29">
                  <c:v>1837</c:v>
                </c:pt>
                <c:pt idx="30">
                  <c:v>5185</c:v>
                </c:pt>
                <c:pt idx="31">
                  <c:v>2466</c:v>
                </c:pt>
                <c:pt idx="32">
                  <c:v>1460</c:v>
                </c:pt>
                <c:pt idx="33">
                  <c:v>1642</c:v>
                </c:pt>
                <c:pt idx="34">
                  <c:v>4082</c:v>
                </c:pt>
                <c:pt idx="37">
                  <c:v>2336</c:v>
                </c:pt>
                <c:pt idx="38">
                  <c:v>1177</c:v>
                </c:pt>
                <c:pt idx="39">
                  <c:v>972</c:v>
                </c:pt>
                <c:pt idx="40">
                  <c:v>2371</c:v>
                </c:pt>
                <c:pt idx="41">
                  <c:v>1437</c:v>
                </c:pt>
                <c:pt idx="42">
                  <c:v>4277</c:v>
                </c:pt>
              </c:numCache>
            </c:numRef>
          </c:val>
        </c:ser>
        <c:ser>
          <c:idx val="1"/>
          <c:order val="1"/>
          <c:tx>
            <c:strRef>
              <c:f>'List of LGAs'!$E$1</c:f>
              <c:strCache>
                <c:ptCount val="1"/>
                <c:pt idx="0">
                  <c:v>Semi-Deatched</c:v>
                </c:pt>
              </c:strCache>
            </c:strRef>
          </c:tx>
          <c:spPr>
            <a:solidFill>
              <a:srgbClr val="FF0000"/>
            </a:solidFill>
            <a:ln>
              <a:solidFill>
                <a:schemeClr val="tx1"/>
              </a:solidFill>
            </a:ln>
            <a:effectLst/>
          </c:spPr>
          <c:invertIfNegative val="0"/>
          <c:cat>
            <c:strRef>
              <c:f>'List of LGAs'!$C$2:$C$44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'List of LGAs'!$E$2:$E$44</c:f>
              <c:numCache>
                <c:formatCode>_-* #,##0_-;\-* #,##0_-;_-* "-"??_-;_-@_-</c:formatCode>
                <c:ptCount val="43"/>
                <c:pt idx="1">
                  <c:v>64</c:v>
                </c:pt>
                <c:pt idx="2">
                  <c:v>84</c:v>
                </c:pt>
                <c:pt idx="3">
                  <c:v>119</c:v>
                </c:pt>
                <c:pt idx="6">
                  <c:v>52</c:v>
                </c:pt>
                <c:pt idx="7">
                  <c:v>24</c:v>
                </c:pt>
                <c:pt idx="8">
                  <c:v>28</c:v>
                </c:pt>
                <c:pt idx="9">
                  <c:v>49</c:v>
                </c:pt>
                <c:pt idx="10">
                  <c:v>40</c:v>
                </c:pt>
                <c:pt idx="11">
                  <c:v>19</c:v>
                </c:pt>
                <c:pt idx="14">
                  <c:v>65</c:v>
                </c:pt>
                <c:pt idx="15">
                  <c:v>126</c:v>
                </c:pt>
                <c:pt idx="16">
                  <c:v>140</c:v>
                </c:pt>
                <c:pt idx="17">
                  <c:v>120</c:v>
                </c:pt>
                <c:pt idx="20">
                  <c:v>57</c:v>
                </c:pt>
                <c:pt idx="21">
                  <c:v>276</c:v>
                </c:pt>
                <c:pt idx="22">
                  <c:v>117</c:v>
                </c:pt>
                <c:pt idx="23">
                  <c:v>5</c:v>
                </c:pt>
                <c:pt idx="24">
                  <c:v>290</c:v>
                </c:pt>
                <c:pt idx="25">
                  <c:v>9</c:v>
                </c:pt>
                <c:pt idx="26">
                  <c:v>103</c:v>
                </c:pt>
                <c:pt idx="29">
                  <c:v>29</c:v>
                </c:pt>
                <c:pt idx="30">
                  <c:v>37</c:v>
                </c:pt>
                <c:pt idx="31">
                  <c:v>90</c:v>
                </c:pt>
                <c:pt idx="32">
                  <c:v>135</c:v>
                </c:pt>
                <c:pt idx="33">
                  <c:v>82</c:v>
                </c:pt>
                <c:pt idx="34">
                  <c:v>69</c:v>
                </c:pt>
                <c:pt idx="37">
                  <c:v>46</c:v>
                </c:pt>
                <c:pt idx="38">
                  <c:v>72</c:v>
                </c:pt>
                <c:pt idx="39">
                  <c:v>49</c:v>
                </c:pt>
                <c:pt idx="40">
                  <c:v>30</c:v>
                </c:pt>
                <c:pt idx="41">
                  <c:v>72</c:v>
                </c:pt>
                <c:pt idx="42">
                  <c:v>45</c:v>
                </c:pt>
              </c:numCache>
            </c:numRef>
          </c:val>
        </c:ser>
        <c:ser>
          <c:idx val="2"/>
          <c:order val="2"/>
          <c:tx>
            <c:strRef>
              <c:f>'List of LGAs'!$F$1</c:f>
              <c:strCache>
                <c:ptCount val="1"/>
                <c:pt idx="0">
                  <c:v>Strata Titled</c:v>
                </c:pt>
              </c:strCache>
            </c:strRef>
          </c:tx>
          <c:spPr>
            <a:solidFill>
              <a:schemeClr val="accent6">
                <a:lumMod val="75000"/>
              </a:schemeClr>
            </a:solidFill>
            <a:ln>
              <a:solidFill>
                <a:schemeClr val="tx1"/>
              </a:solidFill>
            </a:ln>
            <a:effectLst/>
          </c:spPr>
          <c:invertIfNegative val="0"/>
          <c:cat>
            <c:strRef>
              <c:f>'List of LGAs'!$C$2:$C$44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'List of LGAs'!$F$2:$F$44</c:f>
              <c:numCache>
                <c:formatCode>_-* #,##0_-;\-* #,##0_-;_-* "-"??_-;_-@_-</c:formatCode>
                <c:ptCount val="43"/>
                <c:pt idx="1">
                  <c:v>3724</c:v>
                </c:pt>
                <c:pt idx="2">
                  <c:v>942</c:v>
                </c:pt>
                <c:pt idx="3">
                  <c:v>827</c:v>
                </c:pt>
                <c:pt idx="6">
                  <c:v>568</c:v>
                </c:pt>
                <c:pt idx="7">
                  <c:v>599</c:v>
                </c:pt>
                <c:pt idx="8">
                  <c:v>791</c:v>
                </c:pt>
                <c:pt idx="9">
                  <c:v>938</c:v>
                </c:pt>
                <c:pt idx="10">
                  <c:v>812</c:v>
                </c:pt>
                <c:pt idx="11">
                  <c:v>333</c:v>
                </c:pt>
                <c:pt idx="14">
                  <c:v>751</c:v>
                </c:pt>
                <c:pt idx="15">
                  <c:v>1222</c:v>
                </c:pt>
                <c:pt idx="16">
                  <c:v>1310</c:v>
                </c:pt>
                <c:pt idx="17">
                  <c:v>1440</c:v>
                </c:pt>
                <c:pt idx="20">
                  <c:v>641</c:v>
                </c:pt>
                <c:pt idx="21">
                  <c:v>787</c:v>
                </c:pt>
                <c:pt idx="22">
                  <c:v>444</c:v>
                </c:pt>
                <c:pt idx="23">
                  <c:v>78</c:v>
                </c:pt>
                <c:pt idx="24">
                  <c:v>876</c:v>
                </c:pt>
                <c:pt idx="25">
                  <c:v>119</c:v>
                </c:pt>
                <c:pt idx="26">
                  <c:v>415</c:v>
                </c:pt>
                <c:pt idx="29">
                  <c:v>180</c:v>
                </c:pt>
                <c:pt idx="30">
                  <c:v>526</c:v>
                </c:pt>
                <c:pt idx="31">
                  <c:v>835</c:v>
                </c:pt>
                <c:pt idx="32">
                  <c:v>440</c:v>
                </c:pt>
                <c:pt idx="33">
                  <c:v>1296</c:v>
                </c:pt>
                <c:pt idx="34">
                  <c:v>817</c:v>
                </c:pt>
                <c:pt idx="37">
                  <c:v>580</c:v>
                </c:pt>
                <c:pt idx="38">
                  <c:v>432</c:v>
                </c:pt>
                <c:pt idx="39">
                  <c:v>792</c:v>
                </c:pt>
                <c:pt idx="40">
                  <c:v>266</c:v>
                </c:pt>
                <c:pt idx="41">
                  <c:v>769</c:v>
                </c:pt>
                <c:pt idx="42">
                  <c:v>444</c:v>
                </c:pt>
              </c:numCache>
            </c:numRef>
          </c:val>
        </c:ser>
        <c:dLbls>
          <c:showLegendKey val="0"/>
          <c:showVal val="0"/>
          <c:showCatName val="0"/>
          <c:showSerName val="0"/>
          <c:showPercent val="0"/>
          <c:showBubbleSize val="0"/>
        </c:dLbls>
        <c:gapWidth val="35"/>
        <c:overlap val="100"/>
        <c:axId val="205594896"/>
        <c:axId val="205595456"/>
      </c:barChart>
      <c:catAx>
        <c:axId val="20559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95456"/>
        <c:crosses val="autoZero"/>
        <c:auto val="1"/>
        <c:lblAlgn val="ctr"/>
        <c:lblOffset val="100"/>
        <c:noMultiLvlLbl val="0"/>
      </c:catAx>
      <c:valAx>
        <c:axId val="2055954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94896"/>
        <c:crosses val="autoZero"/>
        <c:crossBetween val="between"/>
      </c:valAx>
      <c:spPr>
        <a:noFill/>
        <a:ln>
          <a:noFill/>
        </a:ln>
        <a:effectLst/>
      </c:spPr>
    </c:plotArea>
    <c:legend>
      <c:legendPos val="b"/>
      <c:layout>
        <c:manualLayout>
          <c:xMode val="edge"/>
          <c:yMode val="edge"/>
          <c:x val="0.68838898902697399"/>
          <c:y val="0"/>
          <c:w val="0.2933387091673782"/>
          <c:h val="7.665233737674682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Sales</a:t>
            </a:r>
            <a:r>
              <a:rPr lang="en-AU" baseline="0"/>
              <a:t> of Properites Recorded - 2017 </a:t>
            </a:r>
            <a:r>
              <a:rPr lang="en-AU" sz="1400" baseline="0"/>
              <a:t>Regional Victoria</a:t>
            </a:r>
          </a:p>
          <a:p>
            <a:pPr algn="l">
              <a:defRPr/>
            </a:pPr>
            <a:r>
              <a:rPr lang="en-AU" sz="1000" baseline="0"/>
              <a:t>Source: VPA analysis of Landata as of 18/5/17</a:t>
            </a:r>
            <a:endParaRPr lang="en-AU" sz="1000"/>
          </a:p>
        </c:rich>
      </c:tx>
      <c:layout>
        <c:manualLayout>
          <c:xMode val="edge"/>
          <c:yMode val="edge"/>
          <c:x val="2.86458986306787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416822718867382"/>
          <c:y val="9.5139253976053481E-2"/>
          <c:w val="0.7411926038021478"/>
          <c:h val="0.89279279136743317"/>
        </c:manualLayout>
      </c:layout>
      <c:barChart>
        <c:barDir val="bar"/>
        <c:grouping val="stacked"/>
        <c:varyColors val="0"/>
        <c:ser>
          <c:idx val="0"/>
          <c:order val="0"/>
          <c:tx>
            <c:strRef>
              <c:f>'List of LGAs'!$D$1</c:f>
              <c:strCache>
                <c:ptCount val="1"/>
                <c:pt idx="0">
                  <c:v>Detached Houses</c:v>
                </c:pt>
              </c:strCache>
            </c:strRef>
          </c:tx>
          <c:spPr>
            <a:solidFill>
              <a:schemeClr val="accent1"/>
            </a:solidFill>
            <a:ln>
              <a:solidFill>
                <a:schemeClr val="tx1"/>
              </a:solidFill>
            </a:ln>
            <a:effectLst/>
          </c:spPr>
          <c:invertIfNegative val="0"/>
          <c:cat>
            <c:strRef>
              <c:f>'List of LGAs'!$C$46:$C$97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'List of LGAs'!$D$46:$D$97</c:f>
              <c:numCache>
                <c:formatCode>_-* #,##0_-;\-* #,##0_-;_-* "-"??_-;_-@_-</c:formatCode>
                <c:ptCount val="52"/>
                <c:pt idx="1">
                  <c:v>2080</c:v>
                </c:pt>
                <c:pt idx="2">
                  <c:v>1736</c:v>
                </c:pt>
                <c:pt idx="3">
                  <c:v>4679</c:v>
                </c:pt>
                <c:pt idx="4">
                  <c:v>829</c:v>
                </c:pt>
                <c:pt idx="5">
                  <c:v>306</c:v>
                </c:pt>
                <c:pt idx="6">
                  <c:v>1219</c:v>
                </c:pt>
                <c:pt idx="7">
                  <c:v>982</c:v>
                </c:pt>
                <c:pt idx="8">
                  <c:v>425</c:v>
                </c:pt>
                <c:pt idx="9">
                  <c:v>533</c:v>
                </c:pt>
                <c:pt idx="10">
                  <c:v>620</c:v>
                </c:pt>
                <c:pt idx="13">
                  <c:v>1325</c:v>
                </c:pt>
                <c:pt idx="14">
                  <c:v>865</c:v>
                </c:pt>
                <c:pt idx="15">
                  <c:v>133</c:v>
                </c:pt>
                <c:pt idx="16">
                  <c:v>578</c:v>
                </c:pt>
                <c:pt idx="17">
                  <c:v>443</c:v>
                </c:pt>
                <c:pt idx="18">
                  <c:v>216</c:v>
                </c:pt>
                <c:pt idx="19">
                  <c:v>90</c:v>
                </c:pt>
                <c:pt idx="20">
                  <c:v>480</c:v>
                </c:pt>
                <c:pt idx="21">
                  <c:v>665</c:v>
                </c:pt>
                <c:pt idx="24">
                  <c:v>220</c:v>
                </c:pt>
                <c:pt idx="25">
                  <c:v>166</c:v>
                </c:pt>
                <c:pt idx="26">
                  <c:v>217</c:v>
                </c:pt>
                <c:pt idx="27">
                  <c:v>84</c:v>
                </c:pt>
                <c:pt idx="28">
                  <c:v>432</c:v>
                </c:pt>
                <c:pt idx="29">
                  <c:v>210</c:v>
                </c:pt>
                <c:pt idx="30">
                  <c:v>351</c:v>
                </c:pt>
                <c:pt idx="31">
                  <c:v>193</c:v>
                </c:pt>
                <c:pt idx="32">
                  <c:v>751</c:v>
                </c:pt>
                <c:pt idx="33">
                  <c:v>147</c:v>
                </c:pt>
                <c:pt idx="34">
                  <c:v>242</c:v>
                </c:pt>
                <c:pt idx="35">
                  <c:v>274</c:v>
                </c:pt>
                <c:pt idx="36">
                  <c:v>84</c:v>
                </c:pt>
                <c:pt idx="37">
                  <c:v>167</c:v>
                </c:pt>
                <c:pt idx="38">
                  <c:v>81</c:v>
                </c:pt>
                <c:pt idx="39">
                  <c:v>143</c:v>
                </c:pt>
                <c:pt idx="40">
                  <c:v>468</c:v>
                </c:pt>
                <c:pt idx="41">
                  <c:v>290</c:v>
                </c:pt>
                <c:pt idx="42">
                  <c:v>207</c:v>
                </c:pt>
                <c:pt idx="43">
                  <c:v>173</c:v>
                </c:pt>
                <c:pt idx="44">
                  <c:v>67</c:v>
                </c:pt>
                <c:pt idx="45">
                  <c:v>210</c:v>
                </c:pt>
                <c:pt idx="46">
                  <c:v>139</c:v>
                </c:pt>
                <c:pt idx="47">
                  <c:v>267</c:v>
                </c:pt>
                <c:pt idx="48">
                  <c:v>77</c:v>
                </c:pt>
                <c:pt idx="49">
                  <c:v>727</c:v>
                </c:pt>
                <c:pt idx="50">
                  <c:v>54</c:v>
                </c:pt>
                <c:pt idx="51">
                  <c:v>133</c:v>
                </c:pt>
              </c:numCache>
            </c:numRef>
          </c:val>
        </c:ser>
        <c:ser>
          <c:idx val="1"/>
          <c:order val="1"/>
          <c:tx>
            <c:strRef>
              <c:f>'List of LGAs'!$E$1</c:f>
              <c:strCache>
                <c:ptCount val="1"/>
                <c:pt idx="0">
                  <c:v>Semi-Deatched</c:v>
                </c:pt>
              </c:strCache>
            </c:strRef>
          </c:tx>
          <c:spPr>
            <a:solidFill>
              <a:srgbClr val="FF0000"/>
            </a:solidFill>
            <a:ln>
              <a:solidFill>
                <a:schemeClr val="tx1"/>
              </a:solidFill>
            </a:ln>
            <a:effectLst/>
          </c:spPr>
          <c:invertIfNegative val="0"/>
          <c:cat>
            <c:strRef>
              <c:f>'List of LGAs'!$C$46:$C$97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'List of LGAs'!$E$46:$E$97</c:f>
              <c:numCache>
                <c:formatCode>_-* #,##0_-;\-* #,##0_-;_-* "-"??_-;_-@_-</c:formatCode>
                <c:ptCount val="52"/>
                <c:pt idx="1">
                  <c:v>27</c:v>
                </c:pt>
                <c:pt idx="2">
                  <c:v>28</c:v>
                </c:pt>
                <c:pt idx="3">
                  <c:v>56</c:v>
                </c:pt>
                <c:pt idx="4">
                  <c:v>8</c:v>
                </c:pt>
                <c:pt idx="5">
                  <c:v>3</c:v>
                </c:pt>
                <c:pt idx="6">
                  <c:v>13</c:v>
                </c:pt>
                <c:pt idx="7">
                  <c:v>10</c:v>
                </c:pt>
                <c:pt idx="8">
                  <c:v>10</c:v>
                </c:pt>
                <c:pt idx="9">
                  <c:v>14</c:v>
                </c:pt>
                <c:pt idx="10">
                  <c:v>6</c:v>
                </c:pt>
                <c:pt idx="13">
                  <c:v>11</c:v>
                </c:pt>
                <c:pt idx="14">
                  <c:v>8</c:v>
                </c:pt>
                <c:pt idx="15">
                  <c:v>0</c:v>
                </c:pt>
                <c:pt idx="16">
                  <c:v>3</c:v>
                </c:pt>
                <c:pt idx="17">
                  <c:v>4</c:v>
                </c:pt>
                <c:pt idx="18">
                  <c:v>0</c:v>
                </c:pt>
                <c:pt idx="19">
                  <c:v>0</c:v>
                </c:pt>
                <c:pt idx="20">
                  <c:v>2</c:v>
                </c:pt>
                <c:pt idx="21">
                  <c:v>8</c:v>
                </c:pt>
                <c:pt idx="24">
                  <c:v>2</c:v>
                </c:pt>
                <c:pt idx="25">
                  <c:v>0</c:v>
                </c:pt>
                <c:pt idx="26">
                  <c:v>2</c:v>
                </c:pt>
                <c:pt idx="27">
                  <c:v>0</c:v>
                </c:pt>
                <c:pt idx="28">
                  <c:v>6</c:v>
                </c:pt>
                <c:pt idx="29">
                  <c:v>3</c:v>
                </c:pt>
                <c:pt idx="30">
                  <c:v>2</c:v>
                </c:pt>
                <c:pt idx="31">
                  <c:v>1</c:v>
                </c:pt>
                <c:pt idx="32">
                  <c:v>55</c:v>
                </c:pt>
                <c:pt idx="33">
                  <c:v>0</c:v>
                </c:pt>
                <c:pt idx="34">
                  <c:v>1</c:v>
                </c:pt>
                <c:pt idx="35">
                  <c:v>1</c:v>
                </c:pt>
                <c:pt idx="36">
                  <c:v>0</c:v>
                </c:pt>
                <c:pt idx="37">
                  <c:v>0</c:v>
                </c:pt>
                <c:pt idx="38">
                  <c:v>0</c:v>
                </c:pt>
                <c:pt idx="39">
                  <c:v>1</c:v>
                </c:pt>
                <c:pt idx="40">
                  <c:v>4</c:v>
                </c:pt>
                <c:pt idx="41">
                  <c:v>4</c:v>
                </c:pt>
                <c:pt idx="42">
                  <c:v>2</c:v>
                </c:pt>
                <c:pt idx="43">
                  <c:v>1</c:v>
                </c:pt>
                <c:pt idx="44">
                  <c:v>0</c:v>
                </c:pt>
                <c:pt idx="45">
                  <c:v>3</c:v>
                </c:pt>
                <c:pt idx="46">
                  <c:v>0</c:v>
                </c:pt>
                <c:pt idx="47">
                  <c:v>4</c:v>
                </c:pt>
                <c:pt idx="48">
                  <c:v>1</c:v>
                </c:pt>
                <c:pt idx="49">
                  <c:v>10</c:v>
                </c:pt>
                <c:pt idx="50">
                  <c:v>1</c:v>
                </c:pt>
                <c:pt idx="51">
                  <c:v>0</c:v>
                </c:pt>
              </c:numCache>
            </c:numRef>
          </c:val>
        </c:ser>
        <c:ser>
          <c:idx val="2"/>
          <c:order val="2"/>
          <c:tx>
            <c:strRef>
              <c:f>'List of LGAs'!$F$1</c:f>
              <c:strCache>
                <c:ptCount val="1"/>
                <c:pt idx="0">
                  <c:v>Strata Titled</c:v>
                </c:pt>
              </c:strCache>
            </c:strRef>
          </c:tx>
          <c:spPr>
            <a:solidFill>
              <a:schemeClr val="accent6">
                <a:lumMod val="75000"/>
              </a:schemeClr>
            </a:solidFill>
            <a:ln>
              <a:solidFill>
                <a:schemeClr val="tx1"/>
              </a:solidFill>
            </a:ln>
            <a:effectLst/>
          </c:spPr>
          <c:invertIfNegative val="0"/>
          <c:cat>
            <c:strRef>
              <c:f>'List of LGAs'!$C$46:$C$97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'List of LGAs'!$F$46:$F$97</c:f>
              <c:numCache>
                <c:formatCode>_-* #,##0_-;\-* #,##0_-;_-* "-"??_-;_-@_-</c:formatCode>
                <c:ptCount val="52"/>
                <c:pt idx="1">
                  <c:v>316</c:v>
                </c:pt>
                <c:pt idx="2">
                  <c:v>169</c:v>
                </c:pt>
                <c:pt idx="3">
                  <c:v>868</c:v>
                </c:pt>
                <c:pt idx="4">
                  <c:v>91</c:v>
                </c:pt>
                <c:pt idx="5">
                  <c:v>34</c:v>
                </c:pt>
                <c:pt idx="6">
                  <c:v>126</c:v>
                </c:pt>
                <c:pt idx="7">
                  <c:v>149</c:v>
                </c:pt>
                <c:pt idx="8">
                  <c:v>45</c:v>
                </c:pt>
                <c:pt idx="9">
                  <c:v>91</c:v>
                </c:pt>
                <c:pt idx="10">
                  <c:v>111</c:v>
                </c:pt>
                <c:pt idx="13">
                  <c:v>184</c:v>
                </c:pt>
                <c:pt idx="14">
                  <c:v>104</c:v>
                </c:pt>
                <c:pt idx="15">
                  <c:v>6</c:v>
                </c:pt>
                <c:pt idx="16">
                  <c:v>85</c:v>
                </c:pt>
                <c:pt idx="17">
                  <c:v>51</c:v>
                </c:pt>
                <c:pt idx="18">
                  <c:v>6</c:v>
                </c:pt>
                <c:pt idx="19">
                  <c:v>20</c:v>
                </c:pt>
                <c:pt idx="20">
                  <c:v>26</c:v>
                </c:pt>
                <c:pt idx="21">
                  <c:v>105</c:v>
                </c:pt>
                <c:pt idx="24">
                  <c:v>39</c:v>
                </c:pt>
                <c:pt idx="25">
                  <c:v>9</c:v>
                </c:pt>
                <c:pt idx="26">
                  <c:v>21</c:v>
                </c:pt>
                <c:pt idx="27">
                  <c:v>2</c:v>
                </c:pt>
                <c:pt idx="28">
                  <c:v>63</c:v>
                </c:pt>
                <c:pt idx="29">
                  <c:v>17</c:v>
                </c:pt>
                <c:pt idx="30">
                  <c:v>37</c:v>
                </c:pt>
                <c:pt idx="31">
                  <c:v>15</c:v>
                </c:pt>
                <c:pt idx="32">
                  <c:v>48</c:v>
                </c:pt>
                <c:pt idx="33">
                  <c:v>3</c:v>
                </c:pt>
                <c:pt idx="34">
                  <c:v>11</c:v>
                </c:pt>
                <c:pt idx="35">
                  <c:v>22</c:v>
                </c:pt>
                <c:pt idx="36">
                  <c:v>2</c:v>
                </c:pt>
                <c:pt idx="37">
                  <c:v>13</c:v>
                </c:pt>
                <c:pt idx="38">
                  <c:v>1</c:v>
                </c:pt>
                <c:pt idx="39">
                  <c:v>14</c:v>
                </c:pt>
                <c:pt idx="40">
                  <c:v>67</c:v>
                </c:pt>
                <c:pt idx="41">
                  <c:v>19</c:v>
                </c:pt>
                <c:pt idx="42">
                  <c:v>18</c:v>
                </c:pt>
                <c:pt idx="43">
                  <c:v>2</c:v>
                </c:pt>
                <c:pt idx="44">
                  <c:v>3</c:v>
                </c:pt>
                <c:pt idx="45">
                  <c:v>9</c:v>
                </c:pt>
                <c:pt idx="46">
                  <c:v>17</c:v>
                </c:pt>
                <c:pt idx="47">
                  <c:v>25</c:v>
                </c:pt>
                <c:pt idx="48">
                  <c:v>3</c:v>
                </c:pt>
                <c:pt idx="49">
                  <c:v>72</c:v>
                </c:pt>
                <c:pt idx="50">
                  <c:v>1</c:v>
                </c:pt>
                <c:pt idx="51">
                  <c:v>3</c:v>
                </c:pt>
              </c:numCache>
            </c:numRef>
          </c:val>
        </c:ser>
        <c:dLbls>
          <c:showLegendKey val="0"/>
          <c:showVal val="0"/>
          <c:showCatName val="0"/>
          <c:showSerName val="0"/>
          <c:showPercent val="0"/>
          <c:showBubbleSize val="0"/>
        </c:dLbls>
        <c:gapWidth val="35"/>
        <c:overlap val="100"/>
        <c:axId val="205769968"/>
        <c:axId val="205770528"/>
      </c:barChart>
      <c:catAx>
        <c:axId val="205769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0528"/>
        <c:crosses val="autoZero"/>
        <c:auto val="1"/>
        <c:lblAlgn val="ctr"/>
        <c:lblOffset val="100"/>
        <c:noMultiLvlLbl val="0"/>
      </c:catAx>
      <c:valAx>
        <c:axId val="205770528"/>
        <c:scaling>
          <c:orientation val="minMax"/>
        </c:scaling>
        <c:delete val="0"/>
        <c:axPos val="t"/>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69968"/>
        <c:crosses val="autoZero"/>
        <c:crossBetween val="between"/>
      </c:valAx>
      <c:spPr>
        <a:noFill/>
        <a:ln>
          <a:noFill/>
        </a:ln>
        <a:effectLst/>
      </c:spPr>
    </c:plotArea>
    <c:legend>
      <c:legendPos val="b"/>
      <c:layout>
        <c:manualLayout>
          <c:xMode val="edge"/>
          <c:yMode val="edge"/>
          <c:x val="0.68035686872908718"/>
          <c:y val="0"/>
          <c:w val="0.30137090828604263"/>
          <c:h val="6.5841583487065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Median Price</a:t>
            </a:r>
            <a:r>
              <a:rPr lang="en-US" baseline="0"/>
              <a:t> of a </a:t>
            </a:r>
            <a:r>
              <a:rPr lang="en-US"/>
              <a:t>Detached House - 2016</a:t>
            </a:r>
          </a:p>
          <a:p>
            <a:pPr algn="l">
              <a:defRPr/>
            </a:pPr>
            <a:r>
              <a:rPr lang="en-US"/>
              <a:t>Metropolitan</a:t>
            </a:r>
            <a:r>
              <a:rPr lang="en-US" baseline="0"/>
              <a:t> Melbourne</a:t>
            </a:r>
          </a:p>
          <a:p>
            <a:pPr algn="l">
              <a:defRPr/>
            </a:pPr>
            <a:r>
              <a:rPr lang="en-US" sz="1000" baseline="0"/>
              <a:t>Source: VPA analysis of Landata as of 18/5/2017</a:t>
            </a:r>
            <a:endParaRPr lang="en-US" sz="1000"/>
          </a:p>
        </c:rich>
      </c:tx>
      <c:layout>
        <c:manualLayout>
          <c:xMode val="edge"/>
          <c:yMode val="edge"/>
          <c:x val="5.76594592342631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6707911511061"/>
          <c:y val="9.9018603381972783E-2"/>
          <c:w val="0.72196942048910551"/>
          <c:h val="0.88509765861260914"/>
        </c:manualLayout>
      </c:layout>
      <c:barChart>
        <c:barDir val="bar"/>
        <c:grouping val="clustered"/>
        <c:varyColors val="0"/>
        <c:ser>
          <c:idx val="0"/>
          <c:order val="0"/>
          <c:tx>
            <c:strRef>
              <c:f>'List of LGAs'!$M$1</c:f>
              <c:strCache>
                <c:ptCount val="1"/>
                <c:pt idx="0">
                  <c:v>Detached Houses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 of LGAs'!$L$2:$L$44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'List of LGAs'!$M$2:$M$44</c:f>
              <c:numCache>
                <c:formatCode>_-"$"* #,##0_-;\-"$"* #,##0_-;_-"$"* "-"??_-;_-@_-</c:formatCode>
                <c:ptCount val="43"/>
                <c:pt idx="1">
                  <c:v>1003000</c:v>
                </c:pt>
                <c:pt idx="2">
                  <c:v>1480000</c:v>
                </c:pt>
                <c:pt idx="3">
                  <c:v>1220000</c:v>
                </c:pt>
                <c:pt idx="6">
                  <c:v>710000</c:v>
                </c:pt>
                <c:pt idx="7">
                  <c:v>1170000</c:v>
                </c:pt>
                <c:pt idx="8">
                  <c:v>745000</c:v>
                </c:pt>
                <c:pt idx="9">
                  <c:v>1100000</c:v>
                </c:pt>
                <c:pt idx="10">
                  <c:v>1070000</c:v>
                </c:pt>
                <c:pt idx="11">
                  <c:v>560000</c:v>
                </c:pt>
                <c:pt idx="14">
                  <c:v>1670000</c:v>
                </c:pt>
                <c:pt idx="15">
                  <c:v>1940000</c:v>
                </c:pt>
                <c:pt idx="16">
                  <c:v>1356000</c:v>
                </c:pt>
                <c:pt idx="17">
                  <c:v>1940000</c:v>
                </c:pt>
                <c:pt idx="20">
                  <c:v>785000</c:v>
                </c:pt>
                <c:pt idx="21">
                  <c:v>850000</c:v>
                </c:pt>
                <c:pt idx="22">
                  <c:v>425750</c:v>
                </c:pt>
                <c:pt idx="23">
                  <c:v>334000</c:v>
                </c:pt>
                <c:pt idx="24">
                  <c:v>745000</c:v>
                </c:pt>
                <c:pt idx="25">
                  <c:v>730000</c:v>
                </c:pt>
                <c:pt idx="26">
                  <c:v>485000</c:v>
                </c:pt>
                <c:pt idx="29">
                  <c:v>410000</c:v>
                </c:pt>
                <c:pt idx="30">
                  <c:v>481000</c:v>
                </c:pt>
                <c:pt idx="31">
                  <c:v>500000</c:v>
                </c:pt>
                <c:pt idx="32">
                  <c:v>600000</c:v>
                </c:pt>
                <c:pt idx="33">
                  <c:v>851000</c:v>
                </c:pt>
                <c:pt idx="34">
                  <c:v>620000</c:v>
                </c:pt>
                <c:pt idx="37">
                  <c:v>515000</c:v>
                </c:pt>
                <c:pt idx="38">
                  <c:v>725000</c:v>
                </c:pt>
                <c:pt idx="39">
                  <c:v>797000</c:v>
                </c:pt>
                <c:pt idx="40">
                  <c:v>395000</c:v>
                </c:pt>
                <c:pt idx="41">
                  <c:v>900000</c:v>
                </c:pt>
                <c:pt idx="42">
                  <c:v>442000</c:v>
                </c:pt>
              </c:numCache>
            </c:numRef>
          </c:val>
        </c:ser>
        <c:dLbls>
          <c:showLegendKey val="0"/>
          <c:showVal val="0"/>
          <c:showCatName val="0"/>
          <c:showSerName val="0"/>
          <c:showPercent val="0"/>
          <c:showBubbleSize val="0"/>
        </c:dLbls>
        <c:gapWidth val="40"/>
        <c:axId val="205772768"/>
        <c:axId val="205773328"/>
      </c:barChart>
      <c:catAx>
        <c:axId val="205772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3328"/>
        <c:crosses val="autoZero"/>
        <c:auto val="1"/>
        <c:lblAlgn val="ctr"/>
        <c:lblOffset val="100"/>
        <c:noMultiLvlLbl val="0"/>
      </c:catAx>
      <c:valAx>
        <c:axId val="2057733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276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Median Price</a:t>
            </a:r>
            <a:r>
              <a:rPr lang="en-US" baseline="0"/>
              <a:t> of a </a:t>
            </a:r>
            <a:r>
              <a:rPr lang="en-US"/>
              <a:t>Detached House - 2016 </a:t>
            </a:r>
          </a:p>
          <a:p>
            <a:pPr algn="l">
              <a:defRPr/>
            </a:pPr>
            <a:r>
              <a:rPr lang="en-US"/>
              <a:t>Regional Victoria</a:t>
            </a:r>
            <a:endParaRPr lang="en-US" baseline="0"/>
          </a:p>
          <a:p>
            <a:pPr algn="l">
              <a:defRPr/>
            </a:pPr>
            <a:r>
              <a:rPr lang="en-US" sz="1000" baseline="0"/>
              <a:t>Source: VPA analysis of Landata as of 18/5/2017</a:t>
            </a:r>
            <a:endParaRPr lang="en-US" sz="1000"/>
          </a:p>
        </c:rich>
      </c:tx>
      <c:layout>
        <c:manualLayout>
          <c:xMode val="edge"/>
          <c:yMode val="edge"/>
          <c:x val="5.76594592342631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48801399825022"/>
          <c:y val="9.9018603381972783E-2"/>
          <c:w val="0.69003772202893243"/>
          <c:h val="0.88509765861260914"/>
        </c:manualLayout>
      </c:layout>
      <c:barChart>
        <c:barDir val="bar"/>
        <c:grouping val="clustered"/>
        <c:varyColors val="0"/>
        <c:ser>
          <c:idx val="0"/>
          <c:order val="0"/>
          <c:tx>
            <c:strRef>
              <c:f>'List of LGAs'!$M$1</c:f>
              <c:strCache>
                <c:ptCount val="1"/>
                <c:pt idx="0">
                  <c:v>Detached Houses</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 of LGAs'!$L$46:$L$97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'List of LGAs'!$M$46:$M$97</c:f>
              <c:numCache>
                <c:formatCode>_-"$"* #,##0_-;\-"$"* #,##0_-;_-"$"* "-"??_-;_-@_-</c:formatCode>
                <c:ptCount val="52"/>
                <c:pt idx="1">
                  <c:v>319000</c:v>
                </c:pt>
                <c:pt idx="2">
                  <c:v>323250</c:v>
                </c:pt>
                <c:pt idx="3">
                  <c:v>423000</c:v>
                </c:pt>
                <c:pt idx="4">
                  <c:v>265000</c:v>
                </c:pt>
                <c:pt idx="5">
                  <c:v>242000</c:v>
                </c:pt>
                <c:pt idx="6">
                  <c:v>210000</c:v>
                </c:pt>
                <c:pt idx="7">
                  <c:v>248000</c:v>
                </c:pt>
                <c:pt idx="8">
                  <c:v>270000</c:v>
                </c:pt>
                <c:pt idx="9">
                  <c:v>320500</c:v>
                </c:pt>
                <c:pt idx="10">
                  <c:v>320000</c:v>
                </c:pt>
                <c:pt idx="13">
                  <c:v>350000</c:v>
                </c:pt>
                <c:pt idx="14">
                  <c:v>338000</c:v>
                </c:pt>
                <c:pt idx="15">
                  <c:v>360000</c:v>
                </c:pt>
                <c:pt idx="16">
                  <c:v>480000</c:v>
                </c:pt>
                <c:pt idx="17">
                  <c:v>355000</c:v>
                </c:pt>
                <c:pt idx="18">
                  <c:v>272500</c:v>
                </c:pt>
                <c:pt idx="19">
                  <c:v>727500</c:v>
                </c:pt>
                <c:pt idx="20">
                  <c:v>280000</c:v>
                </c:pt>
                <c:pt idx="21">
                  <c:v>672500</c:v>
                </c:pt>
                <c:pt idx="24">
                  <c:v>305000</c:v>
                </c:pt>
                <c:pt idx="25">
                  <c:v>190000</c:v>
                </c:pt>
                <c:pt idx="26">
                  <c:v>230000</c:v>
                </c:pt>
                <c:pt idx="27">
                  <c:v>81000</c:v>
                </c:pt>
                <c:pt idx="28">
                  <c:v>270000</c:v>
                </c:pt>
                <c:pt idx="29">
                  <c:v>196000</c:v>
                </c:pt>
                <c:pt idx="30">
                  <c:v>300000</c:v>
                </c:pt>
                <c:pt idx="31">
                  <c:v>179000</c:v>
                </c:pt>
                <c:pt idx="32">
                  <c:v>280000</c:v>
                </c:pt>
                <c:pt idx="33">
                  <c:v>160000</c:v>
                </c:pt>
                <c:pt idx="34">
                  <c:v>196500</c:v>
                </c:pt>
                <c:pt idx="35">
                  <c:v>375000</c:v>
                </c:pt>
                <c:pt idx="36">
                  <c:v>127975</c:v>
                </c:pt>
                <c:pt idx="37">
                  <c:v>290000</c:v>
                </c:pt>
                <c:pt idx="38">
                  <c:v>155000</c:v>
                </c:pt>
                <c:pt idx="39">
                  <c:v>320000</c:v>
                </c:pt>
                <c:pt idx="40">
                  <c:v>252500</c:v>
                </c:pt>
                <c:pt idx="41">
                  <c:v>397500</c:v>
                </c:pt>
                <c:pt idx="42">
                  <c:v>340000</c:v>
                </c:pt>
                <c:pt idx="43">
                  <c:v>175000</c:v>
                </c:pt>
                <c:pt idx="44">
                  <c:v>207200</c:v>
                </c:pt>
                <c:pt idx="45">
                  <c:v>189000</c:v>
                </c:pt>
                <c:pt idx="46">
                  <c:v>275000</c:v>
                </c:pt>
                <c:pt idx="47">
                  <c:v>240000</c:v>
                </c:pt>
                <c:pt idx="48">
                  <c:v>194000</c:v>
                </c:pt>
                <c:pt idx="49">
                  <c:v>241000</c:v>
                </c:pt>
                <c:pt idx="50">
                  <c:v>109000</c:v>
                </c:pt>
                <c:pt idx="51">
                  <c:v>91250</c:v>
                </c:pt>
              </c:numCache>
            </c:numRef>
          </c:val>
        </c:ser>
        <c:dLbls>
          <c:showLegendKey val="0"/>
          <c:showVal val="0"/>
          <c:showCatName val="0"/>
          <c:showSerName val="0"/>
          <c:showPercent val="0"/>
          <c:showBubbleSize val="0"/>
        </c:dLbls>
        <c:gapWidth val="40"/>
        <c:axId val="205776128"/>
        <c:axId val="205776688"/>
      </c:barChart>
      <c:catAx>
        <c:axId val="205776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6688"/>
        <c:crosses val="autoZero"/>
        <c:auto val="1"/>
        <c:lblAlgn val="ctr"/>
        <c:lblOffset val="100"/>
        <c:noMultiLvlLbl val="0"/>
      </c:catAx>
      <c:valAx>
        <c:axId val="20577668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612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Components</a:t>
            </a:r>
            <a:r>
              <a:rPr lang="en-AU" baseline="0"/>
              <a:t> of Population Change - Year to September 30 2016</a:t>
            </a:r>
          </a:p>
          <a:p>
            <a:pPr>
              <a:defRPr/>
            </a:pPr>
            <a:r>
              <a:rPr lang="en-AU" sz="1050" baseline="0"/>
              <a:t>Source: ABS demographic data series</a:t>
            </a:r>
            <a:endParaRPr lang="en-AU" sz="1050"/>
          </a:p>
        </c:rich>
      </c:tx>
      <c:layout>
        <c:manualLayout>
          <c:xMode val="edge"/>
          <c:yMode val="edge"/>
          <c:x val="0.16585807458789165"/>
          <c:y val="9.817149944562416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77163492861265E-2"/>
          <c:y val="0.17108952073114966"/>
          <c:w val="0.8778746192750434"/>
          <c:h val="0.74387987897694174"/>
        </c:manualLayout>
      </c:layout>
      <c:barChart>
        <c:barDir val="col"/>
        <c:grouping val="stacked"/>
        <c:varyColors val="0"/>
        <c:ser>
          <c:idx val="0"/>
          <c:order val="0"/>
          <c:tx>
            <c:strRef>
              <c:f>Sheet1!$A$4</c:f>
              <c:strCache>
                <c:ptCount val="1"/>
                <c:pt idx="0">
                  <c:v>Natural Increase</c:v>
                </c:pt>
              </c:strCache>
            </c:strRef>
          </c:tx>
          <c:spPr>
            <a:solidFill>
              <a:srgbClr val="FF0000"/>
            </a:solidFill>
            <a:ln>
              <a:solidFill>
                <a:schemeClr val="tx1"/>
              </a:solidFill>
            </a:ln>
            <a:effectLst/>
          </c:spPr>
          <c:invertIfNegative val="0"/>
          <c:cat>
            <c:strRef>
              <c:f>Sheet1!$B$3:$I$3</c:f>
              <c:strCache>
                <c:ptCount val="8"/>
                <c:pt idx="0">
                  <c:v>NSW</c:v>
                </c:pt>
                <c:pt idx="1">
                  <c:v>VIC</c:v>
                </c:pt>
                <c:pt idx="2">
                  <c:v>QLD</c:v>
                </c:pt>
                <c:pt idx="3">
                  <c:v>SA</c:v>
                </c:pt>
                <c:pt idx="4">
                  <c:v>WA</c:v>
                </c:pt>
                <c:pt idx="5">
                  <c:v>TAS</c:v>
                </c:pt>
                <c:pt idx="6">
                  <c:v>NT</c:v>
                </c:pt>
                <c:pt idx="7">
                  <c:v>ACT</c:v>
                </c:pt>
              </c:strCache>
            </c:strRef>
          </c:cat>
          <c:val>
            <c:numRef>
              <c:f>Sheet1!$B$4:$I$4</c:f>
              <c:numCache>
                <c:formatCode>_-* #,##0_-;\-* #,##0_-;_-* "-"??_-;_-@_-</c:formatCode>
                <c:ptCount val="8"/>
                <c:pt idx="0">
                  <c:v>44809</c:v>
                </c:pt>
                <c:pt idx="1">
                  <c:v>41700</c:v>
                </c:pt>
                <c:pt idx="2">
                  <c:v>33264</c:v>
                </c:pt>
                <c:pt idx="3">
                  <c:v>6643</c:v>
                </c:pt>
                <c:pt idx="4">
                  <c:v>21125</c:v>
                </c:pt>
                <c:pt idx="5">
                  <c:v>1336</c:v>
                </c:pt>
                <c:pt idx="6">
                  <c:v>2860</c:v>
                </c:pt>
                <c:pt idx="7">
                  <c:v>3710</c:v>
                </c:pt>
              </c:numCache>
            </c:numRef>
          </c:val>
        </c:ser>
        <c:ser>
          <c:idx val="1"/>
          <c:order val="1"/>
          <c:tx>
            <c:strRef>
              <c:f>Sheet1!$A$5</c:f>
              <c:strCache>
                <c:ptCount val="1"/>
                <c:pt idx="0">
                  <c:v>Net Overseas Migration</c:v>
                </c:pt>
              </c:strCache>
            </c:strRef>
          </c:tx>
          <c:spPr>
            <a:solidFill>
              <a:schemeClr val="accent4"/>
            </a:solidFill>
            <a:ln>
              <a:solidFill>
                <a:schemeClr val="tx1"/>
              </a:solidFill>
            </a:ln>
            <a:effectLst/>
          </c:spPr>
          <c:invertIfNegative val="0"/>
          <c:cat>
            <c:strRef>
              <c:f>Sheet1!$B$3:$I$3</c:f>
              <c:strCache>
                <c:ptCount val="8"/>
                <c:pt idx="0">
                  <c:v>NSW</c:v>
                </c:pt>
                <c:pt idx="1">
                  <c:v>VIC</c:v>
                </c:pt>
                <c:pt idx="2">
                  <c:v>QLD</c:v>
                </c:pt>
                <c:pt idx="3">
                  <c:v>SA</c:v>
                </c:pt>
                <c:pt idx="4">
                  <c:v>WA</c:v>
                </c:pt>
                <c:pt idx="5">
                  <c:v>TAS</c:v>
                </c:pt>
                <c:pt idx="6">
                  <c:v>NT</c:v>
                </c:pt>
                <c:pt idx="7">
                  <c:v>ACT</c:v>
                </c:pt>
              </c:strCache>
            </c:strRef>
          </c:cat>
          <c:val>
            <c:numRef>
              <c:f>Sheet1!$B$5:$I$5</c:f>
              <c:numCache>
                <c:formatCode>_-* #,##0_-;\-* #,##0_-;_-* "-"??_-;_-@_-</c:formatCode>
                <c:ptCount val="8"/>
                <c:pt idx="0">
                  <c:v>76529</c:v>
                </c:pt>
                <c:pt idx="1">
                  <c:v>68613</c:v>
                </c:pt>
                <c:pt idx="2">
                  <c:v>21469</c:v>
                </c:pt>
                <c:pt idx="3">
                  <c:v>9279</c:v>
                </c:pt>
                <c:pt idx="4">
                  <c:v>13315</c:v>
                </c:pt>
                <c:pt idx="5">
                  <c:v>1265</c:v>
                </c:pt>
                <c:pt idx="6">
                  <c:v>756</c:v>
                </c:pt>
                <c:pt idx="7">
                  <c:v>1992</c:v>
                </c:pt>
              </c:numCache>
            </c:numRef>
          </c:val>
        </c:ser>
        <c:ser>
          <c:idx val="2"/>
          <c:order val="2"/>
          <c:tx>
            <c:strRef>
              <c:f>Sheet1!$A$6</c:f>
              <c:strCache>
                <c:ptCount val="1"/>
                <c:pt idx="0">
                  <c:v>Net Interstate Migration</c:v>
                </c:pt>
              </c:strCache>
            </c:strRef>
          </c:tx>
          <c:spPr>
            <a:solidFill>
              <a:schemeClr val="accent5"/>
            </a:solidFill>
            <a:ln>
              <a:solidFill>
                <a:schemeClr val="tx1"/>
              </a:solidFill>
            </a:ln>
            <a:effectLst/>
          </c:spPr>
          <c:invertIfNegative val="0"/>
          <c:cat>
            <c:strRef>
              <c:f>Sheet1!$B$3:$I$3</c:f>
              <c:strCache>
                <c:ptCount val="8"/>
                <c:pt idx="0">
                  <c:v>NSW</c:v>
                </c:pt>
                <c:pt idx="1">
                  <c:v>VIC</c:v>
                </c:pt>
                <c:pt idx="2">
                  <c:v>QLD</c:v>
                </c:pt>
                <c:pt idx="3">
                  <c:v>SA</c:v>
                </c:pt>
                <c:pt idx="4">
                  <c:v>WA</c:v>
                </c:pt>
                <c:pt idx="5">
                  <c:v>TAS</c:v>
                </c:pt>
                <c:pt idx="6">
                  <c:v>NT</c:v>
                </c:pt>
                <c:pt idx="7">
                  <c:v>ACT</c:v>
                </c:pt>
              </c:strCache>
            </c:strRef>
          </c:cat>
          <c:val>
            <c:numRef>
              <c:f>Sheet1!$B$6:$I$6</c:f>
              <c:numCache>
                <c:formatCode>_-* #,##0_-;\-* #,##0_-;_-* "-"??_-;_-@_-</c:formatCode>
                <c:ptCount val="8"/>
                <c:pt idx="0">
                  <c:v>-11733</c:v>
                </c:pt>
                <c:pt idx="1">
                  <c:v>17185</c:v>
                </c:pt>
                <c:pt idx="2">
                  <c:v>12966</c:v>
                </c:pt>
                <c:pt idx="3">
                  <c:v>-6484</c:v>
                </c:pt>
                <c:pt idx="4">
                  <c:v>-9198</c:v>
                </c:pt>
                <c:pt idx="5">
                  <c:v>-8</c:v>
                </c:pt>
                <c:pt idx="6">
                  <c:v>-2804</c:v>
                </c:pt>
                <c:pt idx="7">
                  <c:v>76</c:v>
                </c:pt>
              </c:numCache>
            </c:numRef>
          </c:val>
        </c:ser>
        <c:dLbls>
          <c:showLegendKey val="0"/>
          <c:showVal val="0"/>
          <c:showCatName val="0"/>
          <c:showSerName val="0"/>
          <c:showPercent val="0"/>
          <c:showBubbleSize val="0"/>
        </c:dLbls>
        <c:gapWidth val="30"/>
        <c:overlap val="100"/>
        <c:axId val="137938224"/>
        <c:axId val="137938784"/>
      </c:barChart>
      <c:catAx>
        <c:axId val="137938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8784"/>
        <c:crosses val="autoZero"/>
        <c:auto val="1"/>
        <c:lblAlgn val="ctr"/>
        <c:lblOffset val="100"/>
        <c:noMultiLvlLbl val="0"/>
      </c:catAx>
      <c:valAx>
        <c:axId val="1379387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8224"/>
        <c:crosses val="autoZero"/>
        <c:crossBetween val="between"/>
      </c:valAx>
      <c:spPr>
        <a:noFill/>
        <a:ln>
          <a:noFill/>
        </a:ln>
        <a:effectLst/>
      </c:spPr>
    </c:plotArea>
    <c:legend>
      <c:legendPos val="b"/>
      <c:layout>
        <c:manualLayout>
          <c:xMode val="edge"/>
          <c:yMode val="edge"/>
          <c:x val="0.15511159214449244"/>
          <c:y val="0.10584481235788247"/>
          <c:w val="0.80498456841830945"/>
          <c:h val="4.685185138537683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Median Price</a:t>
            </a:r>
            <a:r>
              <a:rPr lang="en-US" baseline="0"/>
              <a:t> of a Semi-</a:t>
            </a:r>
            <a:r>
              <a:rPr lang="en-US"/>
              <a:t>Detached House - 2016 </a:t>
            </a:r>
          </a:p>
          <a:p>
            <a:pPr algn="l">
              <a:defRPr/>
            </a:pPr>
            <a:r>
              <a:rPr lang="en-US"/>
              <a:t>Metropolitan</a:t>
            </a:r>
            <a:r>
              <a:rPr lang="en-US" baseline="0"/>
              <a:t> Melbourne</a:t>
            </a:r>
          </a:p>
          <a:p>
            <a:pPr algn="l">
              <a:defRPr/>
            </a:pPr>
            <a:r>
              <a:rPr lang="en-US" sz="1000" baseline="0"/>
              <a:t>Source: VPA analysis of Landata as of 18/5/2017</a:t>
            </a:r>
            <a:endParaRPr lang="en-US" sz="1000"/>
          </a:p>
        </c:rich>
      </c:tx>
      <c:layout>
        <c:manualLayout>
          <c:xMode val="edge"/>
          <c:yMode val="edge"/>
          <c:x val="5.76594592342631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6707911511061"/>
          <c:y val="9.9018603381972783E-2"/>
          <c:w val="0.72196942048910551"/>
          <c:h val="0.88509765861260914"/>
        </c:manualLayout>
      </c:layout>
      <c:barChart>
        <c:barDir val="bar"/>
        <c:grouping val="clustered"/>
        <c:varyColors val="0"/>
        <c:ser>
          <c:idx val="0"/>
          <c:order val="0"/>
          <c:tx>
            <c:strRef>
              <c:f>'List of LGAs'!$N$1</c:f>
              <c:strCache>
                <c:ptCount val="1"/>
                <c:pt idx="0">
                  <c:v>Semi-Deatched</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 of LGAs'!$L$2:$L$44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'List of LGAs'!$N$2:$N$44</c:f>
              <c:numCache>
                <c:formatCode>_-"$"* #,##0_-;\-"$"* #,##0_-;_-"$"* "-"??_-;_-@_-</c:formatCode>
                <c:ptCount val="43"/>
                <c:pt idx="1">
                  <c:v>880500</c:v>
                </c:pt>
                <c:pt idx="2">
                  <c:v>1375000</c:v>
                </c:pt>
                <c:pt idx="3">
                  <c:v>972500</c:v>
                </c:pt>
                <c:pt idx="6">
                  <c:v>552500</c:v>
                </c:pt>
                <c:pt idx="7">
                  <c:v>903500</c:v>
                </c:pt>
                <c:pt idx="8">
                  <c:v>596000</c:v>
                </c:pt>
                <c:pt idx="9">
                  <c:v>703000</c:v>
                </c:pt>
                <c:pt idx="10">
                  <c:v>832500</c:v>
                </c:pt>
                <c:pt idx="11">
                  <c:v>445000</c:v>
                </c:pt>
                <c:pt idx="14">
                  <c:v>1200000</c:v>
                </c:pt>
                <c:pt idx="15">
                  <c:v>1385000</c:v>
                </c:pt>
                <c:pt idx="16">
                  <c:v>1080000</c:v>
                </c:pt>
                <c:pt idx="17">
                  <c:v>1291573.5</c:v>
                </c:pt>
                <c:pt idx="20">
                  <c:v>645000</c:v>
                </c:pt>
                <c:pt idx="21">
                  <c:v>515000</c:v>
                </c:pt>
                <c:pt idx="22">
                  <c:v>330500</c:v>
                </c:pt>
                <c:pt idx="23">
                  <c:v>180000</c:v>
                </c:pt>
                <c:pt idx="24">
                  <c:v>555000</c:v>
                </c:pt>
                <c:pt idx="25">
                  <c:v>550000</c:v>
                </c:pt>
                <c:pt idx="26">
                  <c:v>375000</c:v>
                </c:pt>
                <c:pt idx="29">
                  <c:v>370000</c:v>
                </c:pt>
                <c:pt idx="30">
                  <c:v>377000</c:v>
                </c:pt>
                <c:pt idx="31">
                  <c:v>370000</c:v>
                </c:pt>
                <c:pt idx="32">
                  <c:v>432000</c:v>
                </c:pt>
                <c:pt idx="33">
                  <c:v>609999.5</c:v>
                </c:pt>
                <c:pt idx="34">
                  <c:v>592000</c:v>
                </c:pt>
                <c:pt idx="37">
                  <c:v>410250</c:v>
                </c:pt>
                <c:pt idx="38">
                  <c:v>730000</c:v>
                </c:pt>
                <c:pt idx="39">
                  <c:v>610000</c:v>
                </c:pt>
                <c:pt idx="40">
                  <c:v>392000</c:v>
                </c:pt>
                <c:pt idx="41">
                  <c:v>722500</c:v>
                </c:pt>
                <c:pt idx="42">
                  <c:v>370000</c:v>
                </c:pt>
              </c:numCache>
            </c:numRef>
          </c:val>
        </c:ser>
        <c:dLbls>
          <c:showLegendKey val="0"/>
          <c:showVal val="0"/>
          <c:showCatName val="0"/>
          <c:showSerName val="0"/>
          <c:showPercent val="0"/>
          <c:showBubbleSize val="0"/>
        </c:dLbls>
        <c:gapWidth val="40"/>
        <c:axId val="205778368"/>
        <c:axId val="205778928"/>
      </c:barChart>
      <c:catAx>
        <c:axId val="205778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8928"/>
        <c:crosses val="autoZero"/>
        <c:auto val="1"/>
        <c:lblAlgn val="ctr"/>
        <c:lblOffset val="100"/>
        <c:noMultiLvlLbl val="0"/>
      </c:catAx>
      <c:valAx>
        <c:axId val="2057789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7836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Median Price</a:t>
            </a:r>
            <a:r>
              <a:rPr lang="en-US" baseline="0"/>
              <a:t> of a Semi-</a:t>
            </a:r>
            <a:r>
              <a:rPr lang="en-US"/>
              <a:t>Detached House - 2016 </a:t>
            </a:r>
          </a:p>
          <a:p>
            <a:pPr algn="l">
              <a:defRPr/>
            </a:pPr>
            <a:r>
              <a:rPr lang="en-US"/>
              <a:t>Regional Victoria</a:t>
            </a:r>
            <a:endParaRPr lang="en-US" baseline="0"/>
          </a:p>
          <a:p>
            <a:pPr algn="l">
              <a:defRPr/>
            </a:pPr>
            <a:r>
              <a:rPr lang="en-US" sz="1000" baseline="0"/>
              <a:t>Source: VPA analysis of Landata as of 18/5/2017</a:t>
            </a:r>
            <a:endParaRPr lang="en-US" sz="1000"/>
          </a:p>
        </c:rich>
      </c:tx>
      <c:layout>
        <c:manualLayout>
          <c:xMode val="edge"/>
          <c:yMode val="edge"/>
          <c:x val="5.76594592342631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618936521823661"/>
          <c:y val="9.9018603381972783E-2"/>
          <c:w val="0.70512750720974693"/>
          <c:h val="0.88509765861260914"/>
        </c:manualLayout>
      </c:layout>
      <c:barChart>
        <c:barDir val="bar"/>
        <c:grouping val="clustered"/>
        <c:varyColors val="0"/>
        <c:ser>
          <c:idx val="0"/>
          <c:order val="0"/>
          <c:tx>
            <c:strRef>
              <c:f>'List of LGAs'!$N$1</c:f>
              <c:strCache>
                <c:ptCount val="1"/>
                <c:pt idx="0">
                  <c:v>Semi-Deatched</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 of LGAs'!$L$46:$L$97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'List of LGAs'!$N$46:$N$97</c:f>
              <c:numCache>
                <c:formatCode>_-"$"* #,##0_-;\-"$"* #,##0_-;_-"$"* "-"??_-;_-@_-</c:formatCode>
                <c:ptCount val="52"/>
                <c:pt idx="1">
                  <c:v>282500</c:v>
                </c:pt>
                <c:pt idx="2">
                  <c:v>302500</c:v>
                </c:pt>
                <c:pt idx="3">
                  <c:v>366000</c:v>
                </c:pt>
                <c:pt idx="4">
                  <c:v>207000</c:v>
                </c:pt>
                <c:pt idx="5">
                  <c:v>139950</c:v>
                </c:pt>
                <c:pt idx="6">
                  <c:v>147000</c:v>
                </c:pt>
                <c:pt idx="7">
                  <c:v>232500</c:v>
                </c:pt>
                <c:pt idx="8">
                  <c:v>176812.5</c:v>
                </c:pt>
                <c:pt idx="9">
                  <c:v>317000</c:v>
                </c:pt>
                <c:pt idx="10">
                  <c:v>166250</c:v>
                </c:pt>
                <c:pt idx="13">
                  <c:v>290000</c:v>
                </c:pt>
                <c:pt idx="14">
                  <c:v>265750</c:v>
                </c:pt>
                <c:pt idx="16">
                  <c:v>325000</c:v>
                </c:pt>
                <c:pt idx="17">
                  <c:v>259000</c:v>
                </c:pt>
                <c:pt idx="20">
                  <c:v>181000</c:v>
                </c:pt>
                <c:pt idx="21">
                  <c:v>497500</c:v>
                </c:pt>
                <c:pt idx="24">
                  <c:v>252500</c:v>
                </c:pt>
                <c:pt idx="26">
                  <c:v>162500</c:v>
                </c:pt>
                <c:pt idx="28">
                  <c:v>232500</c:v>
                </c:pt>
                <c:pt idx="29">
                  <c:v>187500</c:v>
                </c:pt>
                <c:pt idx="30">
                  <c:v>355000</c:v>
                </c:pt>
                <c:pt idx="31">
                  <c:v>427500</c:v>
                </c:pt>
                <c:pt idx="32">
                  <c:v>217500</c:v>
                </c:pt>
                <c:pt idx="34">
                  <c:v>133500</c:v>
                </c:pt>
                <c:pt idx="35">
                  <c:v>315000</c:v>
                </c:pt>
                <c:pt idx="39">
                  <c:v>350000</c:v>
                </c:pt>
                <c:pt idx="40">
                  <c:v>286000</c:v>
                </c:pt>
                <c:pt idx="41">
                  <c:v>395000</c:v>
                </c:pt>
                <c:pt idx="42">
                  <c:v>880000</c:v>
                </c:pt>
                <c:pt idx="43">
                  <c:v>106000</c:v>
                </c:pt>
                <c:pt idx="45">
                  <c:v>195000</c:v>
                </c:pt>
                <c:pt idx="47">
                  <c:v>232500</c:v>
                </c:pt>
                <c:pt idx="48">
                  <c:v>245000</c:v>
                </c:pt>
                <c:pt idx="49">
                  <c:v>209000</c:v>
                </c:pt>
                <c:pt idx="50">
                  <c:v>137000</c:v>
                </c:pt>
              </c:numCache>
            </c:numRef>
          </c:val>
        </c:ser>
        <c:dLbls>
          <c:showLegendKey val="0"/>
          <c:showVal val="0"/>
          <c:showCatName val="0"/>
          <c:showSerName val="0"/>
          <c:showPercent val="0"/>
          <c:showBubbleSize val="0"/>
        </c:dLbls>
        <c:gapWidth val="40"/>
        <c:axId val="205781168"/>
        <c:axId val="205781728"/>
      </c:barChart>
      <c:catAx>
        <c:axId val="205781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81728"/>
        <c:crosses val="autoZero"/>
        <c:auto val="1"/>
        <c:lblAlgn val="ctr"/>
        <c:lblOffset val="100"/>
        <c:noMultiLvlLbl val="0"/>
      </c:catAx>
      <c:valAx>
        <c:axId val="2057817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81168"/>
        <c:crosses val="autoZero"/>
        <c:crossBetween val="between"/>
        <c:majorUnit val="20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Median Price</a:t>
            </a:r>
            <a:r>
              <a:rPr lang="en-US" baseline="0"/>
              <a:t> of a Strata Titles Dwellings</a:t>
            </a:r>
            <a:r>
              <a:rPr lang="en-US"/>
              <a:t> - 2016</a:t>
            </a:r>
          </a:p>
          <a:p>
            <a:pPr algn="l">
              <a:defRPr/>
            </a:pPr>
            <a:r>
              <a:rPr lang="en-US"/>
              <a:t>Metropolitan</a:t>
            </a:r>
            <a:r>
              <a:rPr lang="en-US" baseline="0"/>
              <a:t> Melbourne</a:t>
            </a:r>
          </a:p>
          <a:p>
            <a:pPr algn="l">
              <a:defRPr/>
            </a:pPr>
            <a:r>
              <a:rPr lang="en-US" sz="1000" baseline="0"/>
              <a:t>Source: VPA analysis of Landata as of 18/5/2017</a:t>
            </a:r>
            <a:endParaRPr lang="en-US" sz="1000"/>
          </a:p>
        </c:rich>
      </c:tx>
      <c:layout>
        <c:manualLayout>
          <c:xMode val="edge"/>
          <c:yMode val="edge"/>
          <c:x val="5.76594592342631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153524384970848"/>
          <c:y val="9.90186510652281E-2"/>
          <c:w val="0.72196942048910551"/>
          <c:h val="0.88509765861260914"/>
        </c:manualLayout>
      </c:layout>
      <c:barChart>
        <c:barDir val="bar"/>
        <c:grouping val="clustered"/>
        <c:varyColors val="0"/>
        <c:ser>
          <c:idx val="0"/>
          <c:order val="0"/>
          <c:tx>
            <c:strRef>
              <c:f>'List of LGAs'!$O$1</c:f>
              <c:strCache>
                <c:ptCount val="1"/>
                <c:pt idx="0">
                  <c:v>Strata titled Properties</c:v>
                </c:pt>
              </c:strCache>
            </c:strRef>
          </c:tx>
          <c:spPr>
            <a:solidFill>
              <a:schemeClr val="accent6">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 of LGAs'!$L$2:$L$44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'List of LGAs'!$O$2:$O$44</c:f>
              <c:numCache>
                <c:formatCode>_-"$"* #,##0_-;\-"$"* #,##0_-;_-"$"* "-"??_-;_-@_-</c:formatCode>
                <c:ptCount val="43"/>
                <c:pt idx="1">
                  <c:v>522750</c:v>
                </c:pt>
                <c:pt idx="2">
                  <c:v>565000</c:v>
                </c:pt>
                <c:pt idx="3">
                  <c:v>550000</c:v>
                </c:pt>
                <c:pt idx="6">
                  <c:v>485000</c:v>
                </c:pt>
                <c:pt idx="7">
                  <c:v>640000</c:v>
                </c:pt>
                <c:pt idx="8">
                  <c:v>510000</c:v>
                </c:pt>
                <c:pt idx="9">
                  <c:v>663750</c:v>
                </c:pt>
                <c:pt idx="10">
                  <c:v>643500</c:v>
                </c:pt>
                <c:pt idx="11">
                  <c:v>460000</c:v>
                </c:pt>
                <c:pt idx="14">
                  <c:v>800000</c:v>
                </c:pt>
                <c:pt idx="15">
                  <c:v>660000</c:v>
                </c:pt>
                <c:pt idx="16">
                  <c:v>575500</c:v>
                </c:pt>
                <c:pt idx="17">
                  <c:v>565000</c:v>
                </c:pt>
                <c:pt idx="20">
                  <c:v>555000</c:v>
                </c:pt>
                <c:pt idx="21">
                  <c:v>445000</c:v>
                </c:pt>
                <c:pt idx="22">
                  <c:v>339000</c:v>
                </c:pt>
                <c:pt idx="23">
                  <c:v>276000</c:v>
                </c:pt>
                <c:pt idx="24">
                  <c:v>451000</c:v>
                </c:pt>
                <c:pt idx="25">
                  <c:v>530000</c:v>
                </c:pt>
                <c:pt idx="26">
                  <c:v>346000</c:v>
                </c:pt>
                <c:pt idx="29">
                  <c:v>305000</c:v>
                </c:pt>
                <c:pt idx="30">
                  <c:v>337500</c:v>
                </c:pt>
                <c:pt idx="31">
                  <c:v>345000</c:v>
                </c:pt>
                <c:pt idx="32">
                  <c:v>360000</c:v>
                </c:pt>
                <c:pt idx="33">
                  <c:v>531500</c:v>
                </c:pt>
                <c:pt idx="34">
                  <c:v>446000</c:v>
                </c:pt>
                <c:pt idx="37">
                  <c:v>350000</c:v>
                </c:pt>
                <c:pt idx="38">
                  <c:v>499250</c:v>
                </c:pt>
                <c:pt idx="39">
                  <c:v>430000</c:v>
                </c:pt>
                <c:pt idx="40">
                  <c:v>282000</c:v>
                </c:pt>
                <c:pt idx="41">
                  <c:v>475000</c:v>
                </c:pt>
                <c:pt idx="42">
                  <c:v>311000</c:v>
                </c:pt>
              </c:numCache>
            </c:numRef>
          </c:val>
        </c:ser>
        <c:dLbls>
          <c:showLegendKey val="0"/>
          <c:showVal val="0"/>
          <c:showCatName val="0"/>
          <c:showSerName val="0"/>
          <c:showPercent val="0"/>
          <c:showBubbleSize val="0"/>
        </c:dLbls>
        <c:gapWidth val="40"/>
        <c:axId val="205783968"/>
        <c:axId val="205784528"/>
      </c:barChart>
      <c:catAx>
        <c:axId val="205783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84528"/>
        <c:crosses val="autoZero"/>
        <c:auto val="1"/>
        <c:lblAlgn val="ctr"/>
        <c:lblOffset val="100"/>
        <c:noMultiLvlLbl val="0"/>
      </c:catAx>
      <c:valAx>
        <c:axId val="2057845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8396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Median Price</a:t>
            </a:r>
            <a:r>
              <a:rPr lang="en-US" baseline="0"/>
              <a:t> of a Strata Titled Dwelling </a:t>
            </a:r>
            <a:r>
              <a:rPr lang="en-US"/>
              <a:t>- 2016 </a:t>
            </a:r>
          </a:p>
          <a:p>
            <a:pPr algn="l">
              <a:defRPr/>
            </a:pPr>
            <a:r>
              <a:rPr lang="en-US"/>
              <a:t>Regional</a:t>
            </a:r>
            <a:r>
              <a:rPr lang="en-US" baseline="0"/>
              <a:t> Victoria</a:t>
            </a:r>
          </a:p>
          <a:p>
            <a:pPr algn="l">
              <a:defRPr/>
            </a:pPr>
            <a:r>
              <a:rPr lang="en-US" sz="1000" baseline="0"/>
              <a:t>Source: VPA analysis of Landata as of 18/5/2017</a:t>
            </a:r>
            <a:endParaRPr lang="en-US" sz="1000"/>
          </a:p>
        </c:rich>
      </c:tx>
      <c:layout>
        <c:manualLayout>
          <c:xMode val="edge"/>
          <c:yMode val="edge"/>
          <c:x val="5.76594592342631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274924098437539"/>
          <c:y val="9.9018603381972783E-2"/>
          <c:w val="0.69689103909033312"/>
          <c:h val="0.88509765861260914"/>
        </c:manualLayout>
      </c:layout>
      <c:barChart>
        <c:barDir val="bar"/>
        <c:grouping val="clustered"/>
        <c:varyColors val="0"/>
        <c:ser>
          <c:idx val="0"/>
          <c:order val="0"/>
          <c:tx>
            <c:strRef>
              <c:f>'List of LGAs'!$O$3</c:f>
              <c:strCache>
                <c:ptCount val="1"/>
                <c:pt idx="0">
                  <c:v> $522,750 </c:v>
                </c:pt>
              </c:strCache>
            </c:strRef>
          </c:tx>
          <c:spPr>
            <a:solidFill>
              <a:schemeClr val="accent6">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 of LGAs'!$L$46:$L$97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'List of LGAs'!$O$46:$O$97</c:f>
              <c:numCache>
                <c:formatCode>_-"$"* #,##0_-;\-"$"* #,##0_-;_-"$"* "-"??_-;_-@_-</c:formatCode>
                <c:ptCount val="52"/>
                <c:pt idx="1">
                  <c:v>232000</c:v>
                </c:pt>
                <c:pt idx="2">
                  <c:v>256000</c:v>
                </c:pt>
                <c:pt idx="3">
                  <c:v>315000</c:v>
                </c:pt>
                <c:pt idx="4">
                  <c:v>198000</c:v>
                </c:pt>
                <c:pt idx="5">
                  <c:v>237500</c:v>
                </c:pt>
                <c:pt idx="6">
                  <c:v>167334</c:v>
                </c:pt>
                <c:pt idx="7">
                  <c:v>172500</c:v>
                </c:pt>
                <c:pt idx="8">
                  <c:v>210000</c:v>
                </c:pt>
                <c:pt idx="9">
                  <c:v>250500</c:v>
                </c:pt>
                <c:pt idx="10">
                  <c:v>205000</c:v>
                </c:pt>
                <c:pt idx="13">
                  <c:v>285000</c:v>
                </c:pt>
                <c:pt idx="14">
                  <c:v>255000</c:v>
                </c:pt>
                <c:pt idx="15">
                  <c:v>295250</c:v>
                </c:pt>
                <c:pt idx="16">
                  <c:v>388000</c:v>
                </c:pt>
                <c:pt idx="17">
                  <c:v>287000</c:v>
                </c:pt>
                <c:pt idx="18">
                  <c:v>257500</c:v>
                </c:pt>
                <c:pt idx="19">
                  <c:v>535000</c:v>
                </c:pt>
                <c:pt idx="20">
                  <c:v>262000</c:v>
                </c:pt>
                <c:pt idx="21">
                  <c:v>520000</c:v>
                </c:pt>
                <c:pt idx="24">
                  <c:v>277000</c:v>
                </c:pt>
                <c:pt idx="25">
                  <c:v>221000</c:v>
                </c:pt>
                <c:pt idx="26">
                  <c:v>185000</c:v>
                </c:pt>
                <c:pt idx="27">
                  <c:v>185000</c:v>
                </c:pt>
                <c:pt idx="28">
                  <c:v>235000</c:v>
                </c:pt>
                <c:pt idx="29">
                  <c:v>218000</c:v>
                </c:pt>
                <c:pt idx="30">
                  <c:v>278500</c:v>
                </c:pt>
                <c:pt idx="31">
                  <c:v>162000</c:v>
                </c:pt>
                <c:pt idx="32">
                  <c:v>250500</c:v>
                </c:pt>
                <c:pt idx="33">
                  <c:v>155000</c:v>
                </c:pt>
                <c:pt idx="34">
                  <c:v>150000</c:v>
                </c:pt>
                <c:pt idx="35">
                  <c:v>284500</c:v>
                </c:pt>
                <c:pt idx="36">
                  <c:v>122000</c:v>
                </c:pt>
                <c:pt idx="37">
                  <c:v>220000</c:v>
                </c:pt>
                <c:pt idx="38">
                  <c:v>150000</c:v>
                </c:pt>
                <c:pt idx="39">
                  <c:v>297500</c:v>
                </c:pt>
                <c:pt idx="40">
                  <c:v>197500</c:v>
                </c:pt>
                <c:pt idx="41">
                  <c:v>325000</c:v>
                </c:pt>
                <c:pt idx="42">
                  <c:v>355000</c:v>
                </c:pt>
                <c:pt idx="43">
                  <c:v>163500</c:v>
                </c:pt>
                <c:pt idx="44">
                  <c:v>190000</c:v>
                </c:pt>
                <c:pt idx="45">
                  <c:v>195000</c:v>
                </c:pt>
                <c:pt idx="46">
                  <c:v>247500</c:v>
                </c:pt>
                <c:pt idx="47">
                  <c:v>230000</c:v>
                </c:pt>
                <c:pt idx="48">
                  <c:v>230000</c:v>
                </c:pt>
                <c:pt idx="49">
                  <c:v>220500</c:v>
                </c:pt>
                <c:pt idx="50">
                  <c:v>143000</c:v>
                </c:pt>
                <c:pt idx="51">
                  <c:v>151000</c:v>
                </c:pt>
              </c:numCache>
            </c:numRef>
          </c:val>
        </c:ser>
        <c:dLbls>
          <c:showLegendKey val="0"/>
          <c:showVal val="0"/>
          <c:showCatName val="0"/>
          <c:showSerName val="0"/>
          <c:showPercent val="0"/>
          <c:showBubbleSize val="0"/>
        </c:dLbls>
        <c:gapWidth val="40"/>
        <c:axId val="200885520"/>
        <c:axId val="200886080"/>
      </c:barChart>
      <c:catAx>
        <c:axId val="200885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86080"/>
        <c:crosses val="autoZero"/>
        <c:auto val="1"/>
        <c:lblAlgn val="ctr"/>
        <c:lblOffset val="100"/>
        <c:noMultiLvlLbl val="0"/>
      </c:catAx>
      <c:valAx>
        <c:axId val="200886080"/>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8552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Median Weekly</a:t>
            </a:r>
            <a:r>
              <a:rPr lang="en-AU" baseline="0"/>
              <a:t> Rents - December Quarter 2016</a:t>
            </a:r>
          </a:p>
          <a:p>
            <a:pPr algn="l">
              <a:defRPr/>
            </a:pPr>
            <a:r>
              <a:rPr lang="en-AU" sz="1050" baseline="0"/>
              <a:t>Source: DHHS Rental Report</a:t>
            </a:r>
            <a:endParaRPr lang="en-AU" sz="1050"/>
          </a:p>
        </c:rich>
      </c:tx>
      <c:layout>
        <c:manualLayout>
          <c:xMode val="edge"/>
          <c:yMode val="edge"/>
          <c:x val="1.8988916404282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937335958005248"/>
          <c:y val="0.22818642461358996"/>
          <c:w val="0.67473775153105864"/>
          <c:h val="0.7260954359871683"/>
        </c:manualLayout>
      </c:layout>
      <c:barChart>
        <c:barDir val="bar"/>
        <c:grouping val="clustered"/>
        <c:varyColors val="0"/>
        <c:ser>
          <c:idx val="0"/>
          <c:order val="0"/>
          <c:tx>
            <c:strRef>
              <c:f>'Metro v Non Metro Graph'!$A$13</c:f>
              <c:strCache>
                <c:ptCount val="1"/>
                <c:pt idx="0">
                  <c:v>Metro</c:v>
                </c:pt>
              </c:strCache>
            </c:strRef>
          </c:tx>
          <c:spPr>
            <a:solidFill>
              <a:schemeClr val="tx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'Metro v Non Metro Graph'!$B$2:$G$2</c:f>
              <c:strCache>
                <c:ptCount val="6"/>
                <c:pt idx="0">
                  <c:v>One Bedroom Flat</c:v>
                </c:pt>
                <c:pt idx="1">
                  <c:v>Two bedroom Flat</c:v>
                </c:pt>
                <c:pt idx="2">
                  <c:v>Three Bedroom Flat</c:v>
                </c:pt>
                <c:pt idx="3">
                  <c:v>Two Bedroom House</c:v>
                </c:pt>
                <c:pt idx="4">
                  <c:v>Three bedroom House</c:v>
                </c:pt>
                <c:pt idx="5">
                  <c:v>Four bedroom House</c:v>
                </c:pt>
              </c:strCache>
            </c:strRef>
          </c:cat>
          <c:val>
            <c:numRef>
              <c:f>'Metro v Non Metro Graph'!$B$13:$G$13</c:f>
              <c:numCache>
                <c:formatCode>"$"#,##0</c:formatCode>
                <c:ptCount val="6"/>
                <c:pt idx="0">
                  <c:v>340</c:v>
                </c:pt>
                <c:pt idx="1">
                  <c:v>400</c:v>
                </c:pt>
                <c:pt idx="2">
                  <c:v>440</c:v>
                </c:pt>
                <c:pt idx="3">
                  <c:v>410</c:v>
                </c:pt>
                <c:pt idx="4">
                  <c:v>375</c:v>
                </c:pt>
                <c:pt idx="5">
                  <c:v>425</c:v>
                </c:pt>
              </c:numCache>
            </c:numRef>
          </c:val>
        </c:ser>
        <c:ser>
          <c:idx val="1"/>
          <c:order val="1"/>
          <c:tx>
            <c:strRef>
              <c:f>'Metro v Non Metro Graph'!$A$14</c:f>
              <c:strCache>
                <c:ptCount val="1"/>
                <c:pt idx="0">
                  <c:v>Regional</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'Metro v Non Metro Graph'!$B$2:$G$2</c:f>
              <c:strCache>
                <c:ptCount val="6"/>
                <c:pt idx="0">
                  <c:v>One Bedroom Flat</c:v>
                </c:pt>
                <c:pt idx="1">
                  <c:v>Two bedroom Flat</c:v>
                </c:pt>
                <c:pt idx="2">
                  <c:v>Three Bedroom Flat</c:v>
                </c:pt>
                <c:pt idx="3">
                  <c:v>Two Bedroom House</c:v>
                </c:pt>
                <c:pt idx="4">
                  <c:v>Three bedroom House</c:v>
                </c:pt>
                <c:pt idx="5">
                  <c:v>Four bedroom House</c:v>
                </c:pt>
              </c:strCache>
            </c:strRef>
          </c:cat>
          <c:val>
            <c:numRef>
              <c:f>'Metro v Non Metro Graph'!$B$14:$G$14</c:f>
              <c:numCache>
                <c:formatCode>"$"#,##0</c:formatCode>
                <c:ptCount val="6"/>
                <c:pt idx="0">
                  <c:v>180</c:v>
                </c:pt>
                <c:pt idx="1">
                  <c:v>240</c:v>
                </c:pt>
                <c:pt idx="2">
                  <c:v>310</c:v>
                </c:pt>
                <c:pt idx="3">
                  <c:v>250</c:v>
                </c:pt>
                <c:pt idx="4">
                  <c:v>295</c:v>
                </c:pt>
                <c:pt idx="5">
                  <c:v>370</c:v>
                </c:pt>
              </c:numCache>
            </c:numRef>
          </c:val>
        </c:ser>
        <c:dLbls>
          <c:showLegendKey val="0"/>
          <c:showVal val="0"/>
          <c:showCatName val="0"/>
          <c:showSerName val="0"/>
          <c:showPercent val="0"/>
          <c:showBubbleSize val="0"/>
        </c:dLbls>
        <c:gapWidth val="45"/>
        <c:axId val="200888880"/>
        <c:axId val="200889440"/>
      </c:barChart>
      <c:catAx>
        <c:axId val="200888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89440"/>
        <c:crosses val="autoZero"/>
        <c:auto val="1"/>
        <c:lblAlgn val="ctr"/>
        <c:lblOffset val="100"/>
        <c:noMultiLvlLbl val="0"/>
      </c:catAx>
      <c:valAx>
        <c:axId val="200889440"/>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88880"/>
        <c:crosses val="autoZero"/>
        <c:crossBetween val="between"/>
      </c:valAx>
      <c:spPr>
        <a:noFill/>
        <a:ln>
          <a:noFill/>
        </a:ln>
        <a:effectLst/>
      </c:spPr>
    </c:plotArea>
    <c:legend>
      <c:legendPos val="b"/>
      <c:layout>
        <c:manualLayout>
          <c:xMode val="edge"/>
          <c:yMode val="edge"/>
          <c:x val="0.71839435695538056"/>
          <c:y val="5.7815689705449278E-4"/>
          <c:w val="0.25768808089196005"/>
          <c:h val="8.933180227471565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Median</a:t>
            </a:r>
            <a:r>
              <a:rPr lang="en-AU" baseline="0"/>
              <a:t> Weekly Rents for two-bedroom flats</a:t>
            </a:r>
          </a:p>
          <a:p>
            <a:pPr algn="l">
              <a:defRPr/>
            </a:pPr>
            <a:r>
              <a:rPr lang="en-AU" baseline="0"/>
              <a:t>&amp; three-bedroom houses (metro &amp; non-metro)</a:t>
            </a:r>
          </a:p>
          <a:p>
            <a:pPr algn="l">
              <a:defRPr/>
            </a:pPr>
            <a:r>
              <a:rPr lang="en-AU" sz="1000" baseline="0"/>
              <a:t>Source: DHHS Rental Report</a:t>
            </a:r>
            <a:endParaRPr lang="en-AU" sz="1000"/>
          </a:p>
        </c:rich>
      </c:tx>
      <c:layout>
        <c:manualLayout>
          <c:xMode val="edge"/>
          <c:yMode val="edge"/>
          <c:x val="1.591708310198063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185489339394951E-2"/>
          <c:y val="0.18590170146006688"/>
          <c:w val="0.9035218113005169"/>
          <c:h val="0.69884199389918111"/>
        </c:manualLayout>
      </c:layout>
      <c:lineChart>
        <c:grouping val="standard"/>
        <c:varyColors val="0"/>
        <c:ser>
          <c:idx val="0"/>
          <c:order val="0"/>
          <c:tx>
            <c:strRef>
              <c:f>'Time Series'!$B$5</c:f>
              <c:strCache>
                <c:ptCount val="1"/>
                <c:pt idx="0">
                  <c:v>2 bedroom Flat (Metro)</c:v>
                </c:pt>
              </c:strCache>
            </c:strRef>
          </c:tx>
          <c:spPr>
            <a:ln w="28575" cap="rnd">
              <a:solidFill>
                <a:schemeClr val="accent1"/>
              </a:solidFill>
              <a:round/>
            </a:ln>
            <a:effectLst/>
          </c:spPr>
          <c:marker>
            <c:symbol val="none"/>
          </c:marker>
          <c:cat>
            <c:strRef>
              <c:f>'Time Series'!$A$10:$A$76</c:f>
              <c:strCache>
                <c:ptCount val="67"/>
                <c:pt idx="0">
                  <c:v>Jun 2000</c:v>
                </c:pt>
                <c:pt idx="1">
                  <c:v>Sep 2000</c:v>
                </c:pt>
                <c:pt idx="2">
                  <c:v>Dec 2000</c:v>
                </c:pt>
                <c:pt idx="3">
                  <c:v>Mar 2001</c:v>
                </c:pt>
                <c:pt idx="4">
                  <c:v>Jun 2001</c:v>
                </c:pt>
                <c:pt idx="5">
                  <c:v>Sep 2001</c:v>
                </c:pt>
                <c:pt idx="6">
                  <c:v>Dec 2001</c:v>
                </c:pt>
                <c:pt idx="7">
                  <c:v>Mar 2002</c:v>
                </c:pt>
                <c:pt idx="8">
                  <c:v>Jun 2002</c:v>
                </c:pt>
                <c:pt idx="9">
                  <c:v>Sep 2002</c:v>
                </c:pt>
                <c:pt idx="10">
                  <c:v>Dec 2003</c:v>
                </c:pt>
                <c:pt idx="11">
                  <c:v>Mar 2003</c:v>
                </c:pt>
                <c:pt idx="12">
                  <c:v>Jun 2003</c:v>
                </c:pt>
                <c:pt idx="13">
                  <c:v>Sep 2003</c:v>
                </c:pt>
                <c:pt idx="14">
                  <c:v>Dec 2003</c:v>
                </c:pt>
                <c:pt idx="15">
                  <c:v>Mar 2004</c:v>
                </c:pt>
                <c:pt idx="16">
                  <c:v>Jun 2004</c:v>
                </c:pt>
                <c:pt idx="17">
                  <c:v>Sep 2004</c:v>
                </c:pt>
                <c:pt idx="18">
                  <c:v>Dec 2004</c:v>
                </c:pt>
                <c:pt idx="19">
                  <c:v>Mar 2005</c:v>
                </c:pt>
                <c:pt idx="20">
                  <c:v>Jun 2005</c:v>
                </c:pt>
                <c:pt idx="21">
                  <c:v>Sep 2005</c:v>
                </c:pt>
                <c:pt idx="22">
                  <c:v>Dec 2005</c:v>
                </c:pt>
                <c:pt idx="23">
                  <c:v>Mar 2006</c:v>
                </c:pt>
                <c:pt idx="24">
                  <c:v>Jun 2006</c:v>
                </c:pt>
                <c:pt idx="25">
                  <c:v>Sep 2006</c:v>
                </c:pt>
                <c:pt idx="26">
                  <c:v>Dec 2006</c:v>
                </c:pt>
                <c:pt idx="27">
                  <c:v>Mar 2007</c:v>
                </c:pt>
                <c:pt idx="28">
                  <c:v>Jun 2007</c:v>
                </c:pt>
                <c:pt idx="29">
                  <c:v>Sep 2007</c:v>
                </c:pt>
                <c:pt idx="30">
                  <c:v>Dec 2007</c:v>
                </c:pt>
                <c:pt idx="31">
                  <c:v>Mar 2008</c:v>
                </c:pt>
                <c:pt idx="32">
                  <c:v>Jun 2008</c:v>
                </c:pt>
                <c:pt idx="33">
                  <c:v>Sep 2008</c:v>
                </c:pt>
                <c:pt idx="34">
                  <c:v>Dec 2008</c:v>
                </c:pt>
                <c:pt idx="35">
                  <c:v>Mar 2009</c:v>
                </c:pt>
                <c:pt idx="36">
                  <c:v>Jun 2009</c:v>
                </c:pt>
                <c:pt idx="37">
                  <c:v>Sep 2009</c:v>
                </c:pt>
                <c:pt idx="38">
                  <c:v>Dec 2009</c:v>
                </c:pt>
                <c:pt idx="39">
                  <c:v>Mar 2010</c:v>
                </c:pt>
                <c:pt idx="40">
                  <c:v>Jun 2010</c:v>
                </c:pt>
                <c:pt idx="41">
                  <c:v>Sep 2010</c:v>
                </c:pt>
                <c:pt idx="42">
                  <c:v>Dec 2010</c:v>
                </c:pt>
                <c:pt idx="43">
                  <c:v>Mar 2011</c:v>
                </c:pt>
                <c:pt idx="44">
                  <c:v>Jun 2011</c:v>
                </c:pt>
                <c:pt idx="45">
                  <c:v>Sep 2011</c:v>
                </c:pt>
                <c:pt idx="46">
                  <c:v>Dec 2011</c:v>
                </c:pt>
                <c:pt idx="47">
                  <c:v>Mar 2012</c:v>
                </c:pt>
                <c:pt idx="48">
                  <c:v>Jun 2012</c:v>
                </c:pt>
                <c:pt idx="49">
                  <c:v>Sep 2012</c:v>
                </c:pt>
                <c:pt idx="50">
                  <c:v>Dec 2012</c:v>
                </c:pt>
                <c:pt idx="51">
                  <c:v>Mar 2013</c:v>
                </c:pt>
                <c:pt idx="52">
                  <c:v>Jun 2013</c:v>
                </c:pt>
                <c:pt idx="53">
                  <c:v>Sep 2013</c:v>
                </c:pt>
                <c:pt idx="54">
                  <c:v>Dec 2013</c:v>
                </c:pt>
                <c:pt idx="55">
                  <c:v>Mar 2014</c:v>
                </c:pt>
                <c:pt idx="56">
                  <c:v>Jun 2014</c:v>
                </c:pt>
                <c:pt idx="57">
                  <c:v>Sep 2014</c:v>
                </c:pt>
                <c:pt idx="58">
                  <c:v>Dec 2014</c:v>
                </c:pt>
                <c:pt idx="59">
                  <c:v>Mar 2015</c:v>
                </c:pt>
                <c:pt idx="60">
                  <c:v>Jun 2015</c:v>
                </c:pt>
                <c:pt idx="61">
                  <c:v>Sep 2015</c:v>
                </c:pt>
                <c:pt idx="62">
                  <c:v>Dec 2015</c:v>
                </c:pt>
                <c:pt idx="63">
                  <c:v>Mar 2016</c:v>
                </c:pt>
                <c:pt idx="64">
                  <c:v>Jun 2016</c:v>
                </c:pt>
                <c:pt idx="65">
                  <c:v>Sep 2016</c:v>
                </c:pt>
                <c:pt idx="66">
                  <c:v>Dec 2016</c:v>
                </c:pt>
              </c:strCache>
            </c:strRef>
          </c:cat>
          <c:val>
            <c:numRef>
              <c:f>'Time Series'!$B$10:$B$76</c:f>
              <c:numCache>
                <c:formatCode>"$"#,##0_);\("$"#,##0\)</c:formatCode>
                <c:ptCount val="67"/>
                <c:pt idx="0">
                  <c:v>170</c:v>
                </c:pt>
                <c:pt idx="1">
                  <c:v>175</c:v>
                </c:pt>
                <c:pt idx="2">
                  <c:v>175</c:v>
                </c:pt>
                <c:pt idx="3">
                  <c:v>185</c:v>
                </c:pt>
                <c:pt idx="4">
                  <c:v>185</c:v>
                </c:pt>
                <c:pt idx="5">
                  <c:v>185</c:v>
                </c:pt>
                <c:pt idx="6">
                  <c:v>185</c:v>
                </c:pt>
                <c:pt idx="7">
                  <c:v>195</c:v>
                </c:pt>
                <c:pt idx="8">
                  <c:v>190</c:v>
                </c:pt>
                <c:pt idx="9">
                  <c:v>195</c:v>
                </c:pt>
                <c:pt idx="10">
                  <c:v>195</c:v>
                </c:pt>
                <c:pt idx="11">
                  <c:v>200</c:v>
                </c:pt>
                <c:pt idx="12">
                  <c:v>200</c:v>
                </c:pt>
                <c:pt idx="13">
                  <c:v>200</c:v>
                </c:pt>
                <c:pt idx="14">
                  <c:v>200</c:v>
                </c:pt>
                <c:pt idx="15">
                  <c:v>215</c:v>
                </c:pt>
                <c:pt idx="16">
                  <c:v>205</c:v>
                </c:pt>
                <c:pt idx="17">
                  <c:v>210</c:v>
                </c:pt>
                <c:pt idx="18">
                  <c:v>210</c:v>
                </c:pt>
                <c:pt idx="19">
                  <c:v>220</c:v>
                </c:pt>
                <c:pt idx="20">
                  <c:v>220</c:v>
                </c:pt>
                <c:pt idx="21">
                  <c:v>220</c:v>
                </c:pt>
                <c:pt idx="22">
                  <c:v>220</c:v>
                </c:pt>
                <c:pt idx="23">
                  <c:v>230</c:v>
                </c:pt>
                <c:pt idx="24">
                  <c:v>230</c:v>
                </c:pt>
                <c:pt idx="25">
                  <c:v>240</c:v>
                </c:pt>
                <c:pt idx="26">
                  <c:v>240</c:v>
                </c:pt>
                <c:pt idx="27">
                  <c:v>260</c:v>
                </c:pt>
                <c:pt idx="28">
                  <c:v>260</c:v>
                </c:pt>
                <c:pt idx="29">
                  <c:v>270</c:v>
                </c:pt>
                <c:pt idx="30">
                  <c:v>280</c:v>
                </c:pt>
                <c:pt idx="31">
                  <c:v>295</c:v>
                </c:pt>
                <c:pt idx="32">
                  <c:v>300</c:v>
                </c:pt>
                <c:pt idx="33">
                  <c:v>310</c:v>
                </c:pt>
                <c:pt idx="34">
                  <c:v>310</c:v>
                </c:pt>
                <c:pt idx="35">
                  <c:v>321</c:v>
                </c:pt>
                <c:pt idx="36">
                  <c:v>320</c:v>
                </c:pt>
                <c:pt idx="37">
                  <c:v>320</c:v>
                </c:pt>
                <c:pt idx="38">
                  <c:v>320</c:v>
                </c:pt>
                <c:pt idx="39">
                  <c:v>340</c:v>
                </c:pt>
                <c:pt idx="40">
                  <c:v>340</c:v>
                </c:pt>
                <c:pt idx="41">
                  <c:v>340</c:v>
                </c:pt>
                <c:pt idx="42">
                  <c:v>340</c:v>
                </c:pt>
                <c:pt idx="43">
                  <c:v>351</c:v>
                </c:pt>
                <c:pt idx="44">
                  <c:v>350</c:v>
                </c:pt>
                <c:pt idx="45">
                  <c:v>350</c:v>
                </c:pt>
                <c:pt idx="46">
                  <c:v>350</c:v>
                </c:pt>
                <c:pt idx="47">
                  <c:v>360</c:v>
                </c:pt>
                <c:pt idx="48">
                  <c:v>360</c:v>
                </c:pt>
                <c:pt idx="49">
                  <c:v>355</c:v>
                </c:pt>
                <c:pt idx="50">
                  <c:v>350</c:v>
                </c:pt>
                <c:pt idx="51">
                  <c:v>370</c:v>
                </c:pt>
                <c:pt idx="52">
                  <c:v>360</c:v>
                </c:pt>
                <c:pt idx="53">
                  <c:v>360</c:v>
                </c:pt>
                <c:pt idx="54">
                  <c:v>365</c:v>
                </c:pt>
                <c:pt idx="55">
                  <c:v>380</c:v>
                </c:pt>
                <c:pt idx="56">
                  <c:v>360</c:v>
                </c:pt>
                <c:pt idx="57">
                  <c:v>375</c:v>
                </c:pt>
                <c:pt idx="58">
                  <c:v>370</c:v>
                </c:pt>
                <c:pt idx="59">
                  <c:v>390</c:v>
                </c:pt>
                <c:pt idx="60">
                  <c:v>380</c:v>
                </c:pt>
                <c:pt idx="61">
                  <c:v>390</c:v>
                </c:pt>
                <c:pt idx="62">
                  <c:v>380</c:v>
                </c:pt>
                <c:pt idx="63">
                  <c:v>400</c:v>
                </c:pt>
                <c:pt idx="64" formatCode="&quot;$&quot;#,##0">
                  <c:v>390</c:v>
                </c:pt>
                <c:pt idx="65" formatCode="&quot;$&quot;#,##0">
                  <c:v>400</c:v>
                </c:pt>
                <c:pt idx="66" formatCode="_-&quot;$&quot;* #,##0_-;\-&quot;$&quot;* #,##0_-;_-&quot;$&quot;* &quot;-&quot;??_-;_-@_-">
                  <c:v>400</c:v>
                </c:pt>
              </c:numCache>
            </c:numRef>
          </c:val>
          <c:smooth val="0"/>
        </c:ser>
        <c:ser>
          <c:idx val="1"/>
          <c:order val="1"/>
          <c:tx>
            <c:strRef>
              <c:f>'Time Series'!$C$5</c:f>
              <c:strCache>
                <c:ptCount val="1"/>
                <c:pt idx="0">
                  <c:v>2 bedroom Flat (Non-Metro)</c:v>
                </c:pt>
              </c:strCache>
            </c:strRef>
          </c:tx>
          <c:spPr>
            <a:ln w="28575" cap="rnd">
              <a:solidFill>
                <a:schemeClr val="tx2">
                  <a:lumMod val="75000"/>
                </a:schemeClr>
              </a:solidFill>
              <a:prstDash val="sysDash"/>
              <a:round/>
            </a:ln>
            <a:effectLst/>
          </c:spPr>
          <c:marker>
            <c:symbol val="none"/>
          </c:marker>
          <c:cat>
            <c:strRef>
              <c:f>'Time Series'!$A$10:$A$76</c:f>
              <c:strCache>
                <c:ptCount val="67"/>
                <c:pt idx="0">
                  <c:v>Jun 2000</c:v>
                </c:pt>
                <c:pt idx="1">
                  <c:v>Sep 2000</c:v>
                </c:pt>
                <c:pt idx="2">
                  <c:v>Dec 2000</c:v>
                </c:pt>
                <c:pt idx="3">
                  <c:v>Mar 2001</c:v>
                </c:pt>
                <c:pt idx="4">
                  <c:v>Jun 2001</c:v>
                </c:pt>
                <c:pt idx="5">
                  <c:v>Sep 2001</c:v>
                </c:pt>
                <c:pt idx="6">
                  <c:v>Dec 2001</c:v>
                </c:pt>
                <c:pt idx="7">
                  <c:v>Mar 2002</c:v>
                </c:pt>
                <c:pt idx="8">
                  <c:v>Jun 2002</c:v>
                </c:pt>
                <c:pt idx="9">
                  <c:v>Sep 2002</c:v>
                </c:pt>
                <c:pt idx="10">
                  <c:v>Dec 2003</c:v>
                </c:pt>
                <c:pt idx="11">
                  <c:v>Mar 2003</c:v>
                </c:pt>
                <c:pt idx="12">
                  <c:v>Jun 2003</c:v>
                </c:pt>
                <c:pt idx="13">
                  <c:v>Sep 2003</c:v>
                </c:pt>
                <c:pt idx="14">
                  <c:v>Dec 2003</c:v>
                </c:pt>
                <c:pt idx="15">
                  <c:v>Mar 2004</c:v>
                </c:pt>
                <c:pt idx="16">
                  <c:v>Jun 2004</c:v>
                </c:pt>
                <c:pt idx="17">
                  <c:v>Sep 2004</c:v>
                </c:pt>
                <c:pt idx="18">
                  <c:v>Dec 2004</c:v>
                </c:pt>
                <c:pt idx="19">
                  <c:v>Mar 2005</c:v>
                </c:pt>
                <c:pt idx="20">
                  <c:v>Jun 2005</c:v>
                </c:pt>
                <c:pt idx="21">
                  <c:v>Sep 2005</c:v>
                </c:pt>
                <c:pt idx="22">
                  <c:v>Dec 2005</c:v>
                </c:pt>
                <c:pt idx="23">
                  <c:v>Mar 2006</c:v>
                </c:pt>
                <c:pt idx="24">
                  <c:v>Jun 2006</c:v>
                </c:pt>
                <c:pt idx="25">
                  <c:v>Sep 2006</c:v>
                </c:pt>
                <c:pt idx="26">
                  <c:v>Dec 2006</c:v>
                </c:pt>
                <c:pt idx="27">
                  <c:v>Mar 2007</c:v>
                </c:pt>
                <c:pt idx="28">
                  <c:v>Jun 2007</c:v>
                </c:pt>
                <c:pt idx="29">
                  <c:v>Sep 2007</c:v>
                </c:pt>
                <c:pt idx="30">
                  <c:v>Dec 2007</c:v>
                </c:pt>
                <c:pt idx="31">
                  <c:v>Mar 2008</c:v>
                </c:pt>
                <c:pt idx="32">
                  <c:v>Jun 2008</c:v>
                </c:pt>
                <c:pt idx="33">
                  <c:v>Sep 2008</c:v>
                </c:pt>
                <c:pt idx="34">
                  <c:v>Dec 2008</c:v>
                </c:pt>
                <c:pt idx="35">
                  <c:v>Mar 2009</c:v>
                </c:pt>
                <c:pt idx="36">
                  <c:v>Jun 2009</c:v>
                </c:pt>
                <c:pt idx="37">
                  <c:v>Sep 2009</c:v>
                </c:pt>
                <c:pt idx="38">
                  <c:v>Dec 2009</c:v>
                </c:pt>
                <c:pt idx="39">
                  <c:v>Mar 2010</c:v>
                </c:pt>
                <c:pt idx="40">
                  <c:v>Jun 2010</c:v>
                </c:pt>
                <c:pt idx="41">
                  <c:v>Sep 2010</c:v>
                </c:pt>
                <c:pt idx="42">
                  <c:v>Dec 2010</c:v>
                </c:pt>
                <c:pt idx="43">
                  <c:v>Mar 2011</c:v>
                </c:pt>
                <c:pt idx="44">
                  <c:v>Jun 2011</c:v>
                </c:pt>
                <c:pt idx="45">
                  <c:v>Sep 2011</c:v>
                </c:pt>
                <c:pt idx="46">
                  <c:v>Dec 2011</c:v>
                </c:pt>
                <c:pt idx="47">
                  <c:v>Mar 2012</c:v>
                </c:pt>
                <c:pt idx="48">
                  <c:v>Jun 2012</c:v>
                </c:pt>
                <c:pt idx="49">
                  <c:v>Sep 2012</c:v>
                </c:pt>
                <c:pt idx="50">
                  <c:v>Dec 2012</c:v>
                </c:pt>
                <c:pt idx="51">
                  <c:v>Mar 2013</c:v>
                </c:pt>
                <c:pt idx="52">
                  <c:v>Jun 2013</c:v>
                </c:pt>
                <c:pt idx="53">
                  <c:v>Sep 2013</c:v>
                </c:pt>
                <c:pt idx="54">
                  <c:v>Dec 2013</c:v>
                </c:pt>
                <c:pt idx="55">
                  <c:v>Mar 2014</c:v>
                </c:pt>
                <c:pt idx="56">
                  <c:v>Jun 2014</c:v>
                </c:pt>
                <c:pt idx="57">
                  <c:v>Sep 2014</c:v>
                </c:pt>
                <c:pt idx="58">
                  <c:v>Dec 2014</c:v>
                </c:pt>
                <c:pt idx="59">
                  <c:v>Mar 2015</c:v>
                </c:pt>
                <c:pt idx="60">
                  <c:v>Jun 2015</c:v>
                </c:pt>
                <c:pt idx="61">
                  <c:v>Sep 2015</c:v>
                </c:pt>
                <c:pt idx="62">
                  <c:v>Dec 2015</c:v>
                </c:pt>
                <c:pt idx="63">
                  <c:v>Mar 2016</c:v>
                </c:pt>
                <c:pt idx="64">
                  <c:v>Jun 2016</c:v>
                </c:pt>
                <c:pt idx="65">
                  <c:v>Sep 2016</c:v>
                </c:pt>
                <c:pt idx="66">
                  <c:v>Dec 2016</c:v>
                </c:pt>
              </c:strCache>
            </c:strRef>
          </c:cat>
          <c:val>
            <c:numRef>
              <c:f>'Time Series'!$C$10:$C$76</c:f>
              <c:numCache>
                <c:formatCode>"$"#,##0_);\("$"#,##0\)</c:formatCode>
                <c:ptCount val="67"/>
                <c:pt idx="0">
                  <c:v>120</c:v>
                </c:pt>
                <c:pt idx="1">
                  <c:v>125</c:v>
                </c:pt>
                <c:pt idx="2">
                  <c:v>125</c:v>
                </c:pt>
                <c:pt idx="3">
                  <c:v>125</c:v>
                </c:pt>
                <c:pt idx="4">
                  <c:v>125</c:v>
                </c:pt>
                <c:pt idx="5">
                  <c:v>125</c:v>
                </c:pt>
                <c:pt idx="6">
                  <c:v>130</c:v>
                </c:pt>
                <c:pt idx="7">
                  <c:v>130</c:v>
                </c:pt>
                <c:pt idx="8">
                  <c:v>130</c:v>
                </c:pt>
                <c:pt idx="9">
                  <c:v>135</c:v>
                </c:pt>
                <c:pt idx="10">
                  <c:v>135</c:v>
                </c:pt>
                <c:pt idx="11">
                  <c:v>140</c:v>
                </c:pt>
                <c:pt idx="12">
                  <c:v>140</c:v>
                </c:pt>
                <c:pt idx="13">
                  <c:v>140</c:v>
                </c:pt>
                <c:pt idx="14">
                  <c:v>140</c:v>
                </c:pt>
                <c:pt idx="15">
                  <c:v>145</c:v>
                </c:pt>
                <c:pt idx="16">
                  <c:v>145</c:v>
                </c:pt>
                <c:pt idx="17">
                  <c:v>145</c:v>
                </c:pt>
                <c:pt idx="18">
                  <c:v>150</c:v>
                </c:pt>
                <c:pt idx="19">
                  <c:v>150</c:v>
                </c:pt>
                <c:pt idx="20">
                  <c:v>150</c:v>
                </c:pt>
                <c:pt idx="21">
                  <c:v>150</c:v>
                </c:pt>
                <c:pt idx="22">
                  <c:v>155</c:v>
                </c:pt>
                <c:pt idx="23">
                  <c:v>155</c:v>
                </c:pt>
                <c:pt idx="24">
                  <c:v>155</c:v>
                </c:pt>
                <c:pt idx="25">
                  <c:v>160</c:v>
                </c:pt>
                <c:pt idx="26">
                  <c:v>160</c:v>
                </c:pt>
                <c:pt idx="27">
                  <c:v>160</c:v>
                </c:pt>
                <c:pt idx="28">
                  <c:v>160</c:v>
                </c:pt>
                <c:pt idx="29">
                  <c:v>165</c:v>
                </c:pt>
                <c:pt idx="30">
                  <c:v>166</c:v>
                </c:pt>
                <c:pt idx="31">
                  <c:v>170</c:v>
                </c:pt>
                <c:pt idx="32">
                  <c:v>170</c:v>
                </c:pt>
                <c:pt idx="33">
                  <c:v>175</c:v>
                </c:pt>
                <c:pt idx="34">
                  <c:v>175</c:v>
                </c:pt>
                <c:pt idx="35">
                  <c:v>180</c:v>
                </c:pt>
                <c:pt idx="36">
                  <c:v>180</c:v>
                </c:pt>
                <c:pt idx="37">
                  <c:v>180</c:v>
                </c:pt>
                <c:pt idx="38">
                  <c:v>185</c:v>
                </c:pt>
                <c:pt idx="39">
                  <c:v>190</c:v>
                </c:pt>
                <c:pt idx="40">
                  <c:v>195</c:v>
                </c:pt>
                <c:pt idx="41">
                  <c:v>195</c:v>
                </c:pt>
                <c:pt idx="42">
                  <c:v>200</c:v>
                </c:pt>
                <c:pt idx="43">
                  <c:v>200</c:v>
                </c:pt>
                <c:pt idx="44">
                  <c:v>210</c:v>
                </c:pt>
                <c:pt idx="45">
                  <c:v>210</c:v>
                </c:pt>
                <c:pt idx="46">
                  <c:v>210</c:v>
                </c:pt>
                <c:pt idx="47">
                  <c:v>220</c:v>
                </c:pt>
                <c:pt idx="48">
                  <c:v>210</c:v>
                </c:pt>
                <c:pt idx="49">
                  <c:v>210</c:v>
                </c:pt>
                <c:pt idx="50">
                  <c:v>210</c:v>
                </c:pt>
                <c:pt idx="51">
                  <c:v>220</c:v>
                </c:pt>
                <c:pt idx="52">
                  <c:v>220</c:v>
                </c:pt>
                <c:pt idx="53">
                  <c:v>220</c:v>
                </c:pt>
                <c:pt idx="54">
                  <c:v>220</c:v>
                </c:pt>
                <c:pt idx="55">
                  <c:v>225</c:v>
                </c:pt>
                <c:pt idx="56">
                  <c:v>230</c:v>
                </c:pt>
                <c:pt idx="57">
                  <c:v>225</c:v>
                </c:pt>
                <c:pt idx="58">
                  <c:v>230</c:v>
                </c:pt>
                <c:pt idx="59">
                  <c:v>230</c:v>
                </c:pt>
                <c:pt idx="60">
                  <c:v>230</c:v>
                </c:pt>
                <c:pt idx="61">
                  <c:v>230</c:v>
                </c:pt>
                <c:pt idx="62">
                  <c:v>230</c:v>
                </c:pt>
                <c:pt idx="63">
                  <c:v>240</c:v>
                </c:pt>
                <c:pt idx="64" formatCode="&quot;$&quot;#,##0">
                  <c:v>235</c:v>
                </c:pt>
                <c:pt idx="65" formatCode="&quot;$&quot;#,##0">
                  <c:v>235</c:v>
                </c:pt>
                <c:pt idx="66" formatCode="&quot;$&quot;#,##0">
                  <c:v>240</c:v>
                </c:pt>
              </c:numCache>
            </c:numRef>
          </c:val>
          <c:smooth val="0"/>
        </c:ser>
        <c:ser>
          <c:idx val="2"/>
          <c:order val="2"/>
          <c:tx>
            <c:strRef>
              <c:f>'Time Series'!$D$5</c:f>
              <c:strCache>
                <c:ptCount val="1"/>
                <c:pt idx="0">
                  <c:v>3 bedroom House (Metro)</c:v>
                </c:pt>
              </c:strCache>
            </c:strRef>
          </c:tx>
          <c:spPr>
            <a:ln w="28575" cap="rnd">
              <a:solidFill>
                <a:schemeClr val="accent3"/>
              </a:solidFill>
              <a:round/>
            </a:ln>
            <a:effectLst/>
          </c:spPr>
          <c:marker>
            <c:symbol val="none"/>
          </c:marker>
          <c:cat>
            <c:strRef>
              <c:f>'Time Series'!$A$10:$A$76</c:f>
              <c:strCache>
                <c:ptCount val="67"/>
                <c:pt idx="0">
                  <c:v>Jun 2000</c:v>
                </c:pt>
                <c:pt idx="1">
                  <c:v>Sep 2000</c:v>
                </c:pt>
                <c:pt idx="2">
                  <c:v>Dec 2000</c:v>
                </c:pt>
                <c:pt idx="3">
                  <c:v>Mar 2001</c:v>
                </c:pt>
                <c:pt idx="4">
                  <c:v>Jun 2001</c:v>
                </c:pt>
                <c:pt idx="5">
                  <c:v>Sep 2001</c:v>
                </c:pt>
                <c:pt idx="6">
                  <c:v>Dec 2001</c:v>
                </c:pt>
                <c:pt idx="7">
                  <c:v>Mar 2002</c:v>
                </c:pt>
                <c:pt idx="8">
                  <c:v>Jun 2002</c:v>
                </c:pt>
                <c:pt idx="9">
                  <c:v>Sep 2002</c:v>
                </c:pt>
                <c:pt idx="10">
                  <c:v>Dec 2003</c:v>
                </c:pt>
                <c:pt idx="11">
                  <c:v>Mar 2003</c:v>
                </c:pt>
                <c:pt idx="12">
                  <c:v>Jun 2003</c:v>
                </c:pt>
                <c:pt idx="13">
                  <c:v>Sep 2003</c:v>
                </c:pt>
                <c:pt idx="14">
                  <c:v>Dec 2003</c:v>
                </c:pt>
                <c:pt idx="15">
                  <c:v>Mar 2004</c:v>
                </c:pt>
                <c:pt idx="16">
                  <c:v>Jun 2004</c:v>
                </c:pt>
                <c:pt idx="17">
                  <c:v>Sep 2004</c:v>
                </c:pt>
                <c:pt idx="18">
                  <c:v>Dec 2004</c:v>
                </c:pt>
                <c:pt idx="19">
                  <c:v>Mar 2005</c:v>
                </c:pt>
                <c:pt idx="20">
                  <c:v>Jun 2005</c:v>
                </c:pt>
                <c:pt idx="21">
                  <c:v>Sep 2005</c:v>
                </c:pt>
                <c:pt idx="22">
                  <c:v>Dec 2005</c:v>
                </c:pt>
                <c:pt idx="23">
                  <c:v>Mar 2006</c:v>
                </c:pt>
                <c:pt idx="24">
                  <c:v>Jun 2006</c:v>
                </c:pt>
                <c:pt idx="25">
                  <c:v>Sep 2006</c:v>
                </c:pt>
                <c:pt idx="26">
                  <c:v>Dec 2006</c:v>
                </c:pt>
                <c:pt idx="27">
                  <c:v>Mar 2007</c:v>
                </c:pt>
                <c:pt idx="28">
                  <c:v>Jun 2007</c:v>
                </c:pt>
                <c:pt idx="29">
                  <c:v>Sep 2007</c:v>
                </c:pt>
                <c:pt idx="30">
                  <c:v>Dec 2007</c:v>
                </c:pt>
                <c:pt idx="31">
                  <c:v>Mar 2008</c:v>
                </c:pt>
                <c:pt idx="32">
                  <c:v>Jun 2008</c:v>
                </c:pt>
                <c:pt idx="33">
                  <c:v>Sep 2008</c:v>
                </c:pt>
                <c:pt idx="34">
                  <c:v>Dec 2008</c:v>
                </c:pt>
                <c:pt idx="35">
                  <c:v>Mar 2009</c:v>
                </c:pt>
                <c:pt idx="36">
                  <c:v>Jun 2009</c:v>
                </c:pt>
                <c:pt idx="37">
                  <c:v>Sep 2009</c:v>
                </c:pt>
                <c:pt idx="38">
                  <c:v>Dec 2009</c:v>
                </c:pt>
                <c:pt idx="39">
                  <c:v>Mar 2010</c:v>
                </c:pt>
                <c:pt idx="40">
                  <c:v>Jun 2010</c:v>
                </c:pt>
                <c:pt idx="41">
                  <c:v>Sep 2010</c:v>
                </c:pt>
                <c:pt idx="42">
                  <c:v>Dec 2010</c:v>
                </c:pt>
                <c:pt idx="43">
                  <c:v>Mar 2011</c:v>
                </c:pt>
                <c:pt idx="44">
                  <c:v>Jun 2011</c:v>
                </c:pt>
                <c:pt idx="45">
                  <c:v>Sep 2011</c:v>
                </c:pt>
                <c:pt idx="46">
                  <c:v>Dec 2011</c:v>
                </c:pt>
                <c:pt idx="47">
                  <c:v>Mar 2012</c:v>
                </c:pt>
                <c:pt idx="48">
                  <c:v>Jun 2012</c:v>
                </c:pt>
                <c:pt idx="49">
                  <c:v>Sep 2012</c:v>
                </c:pt>
                <c:pt idx="50">
                  <c:v>Dec 2012</c:v>
                </c:pt>
                <c:pt idx="51">
                  <c:v>Mar 2013</c:v>
                </c:pt>
                <c:pt idx="52">
                  <c:v>Jun 2013</c:v>
                </c:pt>
                <c:pt idx="53">
                  <c:v>Sep 2013</c:v>
                </c:pt>
                <c:pt idx="54">
                  <c:v>Dec 2013</c:v>
                </c:pt>
                <c:pt idx="55">
                  <c:v>Mar 2014</c:v>
                </c:pt>
                <c:pt idx="56">
                  <c:v>Jun 2014</c:v>
                </c:pt>
                <c:pt idx="57">
                  <c:v>Sep 2014</c:v>
                </c:pt>
                <c:pt idx="58">
                  <c:v>Dec 2014</c:v>
                </c:pt>
                <c:pt idx="59">
                  <c:v>Mar 2015</c:v>
                </c:pt>
                <c:pt idx="60">
                  <c:v>Jun 2015</c:v>
                </c:pt>
                <c:pt idx="61">
                  <c:v>Sep 2015</c:v>
                </c:pt>
                <c:pt idx="62">
                  <c:v>Dec 2015</c:v>
                </c:pt>
                <c:pt idx="63">
                  <c:v>Mar 2016</c:v>
                </c:pt>
                <c:pt idx="64">
                  <c:v>Jun 2016</c:v>
                </c:pt>
                <c:pt idx="65">
                  <c:v>Sep 2016</c:v>
                </c:pt>
                <c:pt idx="66">
                  <c:v>Dec 2016</c:v>
                </c:pt>
              </c:strCache>
            </c:strRef>
          </c:cat>
          <c:val>
            <c:numRef>
              <c:f>'Time Series'!$D$10:$D$76</c:f>
              <c:numCache>
                <c:formatCode>"$"#,##0_);\("$"#,##0\)</c:formatCode>
                <c:ptCount val="67"/>
                <c:pt idx="0">
                  <c:v>185</c:v>
                </c:pt>
                <c:pt idx="1">
                  <c:v>190</c:v>
                </c:pt>
                <c:pt idx="2">
                  <c:v>190</c:v>
                </c:pt>
                <c:pt idx="3">
                  <c:v>200</c:v>
                </c:pt>
                <c:pt idx="4">
                  <c:v>195</c:v>
                </c:pt>
                <c:pt idx="5">
                  <c:v>200</c:v>
                </c:pt>
                <c:pt idx="6">
                  <c:v>200</c:v>
                </c:pt>
                <c:pt idx="7">
                  <c:v>210</c:v>
                </c:pt>
                <c:pt idx="8">
                  <c:v>200</c:v>
                </c:pt>
                <c:pt idx="9">
                  <c:v>200</c:v>
                </c:pt>
                <c:pt idx="10">
                  <c:v>210</c:v>
                </c:pt>
                <c:pt idx="11">
                  <c:v>210</c:v>
                </c:pt>
                <c:pt idx="12">
                  <c:v>210</c:v>
                </c:pt>
                <c:pt idx="13">
                  <c:v>210</c:v>
                </c:pt>
                <c:pt idx="14">
                  <c:v>210</c:v>
                </c:pt>
                <c:pt idx="15">
                  <c:v>220</c:v>
                </c:pt>
                <c:pt idx="16">
                  <c:v>215</c:v>
                </c:pt>
                <c:pt idx="17">
                  <c:v>220</c:v>
                </c:pt>
                <c:pt idx="18">
                  <c:v>220</c:v>
                </c:pt>
                <c:pt idx="19">
                  <c:v>220</c:v>
                </c:pt>
                <c:pt idx="20">
                  <c:v>220</c:v>
                </c:pt>
                <c:pt idx="21">
                  <c:v>220</c:v>
                </c:pt>
                <c:pt idx="22">
                  <c:v>230</c:v>
                </c:pt>
                <c:pt idx="23">
                  <c:v>230</c:v>
                </c:pt>
                <c:pt idx="24">
                  <c:v>230</c:v>
                </c:pt>
                <c:pt idx="25">
                  <c:v>235</c:v>
                </c:pt>
                <c:pt idx="26">
                  <c:v>240</c:v>
                </c:pt>
                <c:pt idx="27">
                  <c:v>250</c:v>
                </c:pt>
                <c:pt idx="28">
                  <c:v>250</c:v>
                </c:pt>
                <c:pt idx="29">
                  <c:v>260</c:v>
                </c:pt>
                <c:pt idx="30">
                  <c:v>270</c:v>
                </c:pt>
                <c:pt idx="31">
                  <c:v>280</c:v>
                </c:pt>
                <c:pt idx="32">
                  <c:v>290</c:v>
                </c:pt>
                <c:pt idx="33">
                  <c:v>300</c:v>
                </c:pt>
                <c:pt idx="34">
                  <c:v>300</c:v>
                </c:pt>
                <c:pt idx="35">
                  <c:v>310</c:v>
                </c:pt>
                <c:pt idx="36">
                  <c:v>300</c:v>
                </c:pt>
                <c:pt idx="37">
                  <c:v>310</c:v>
                </c:pt>
                <c:pt idx="38">
                  <c:v>320</c:v>
                </c:pt>
                <c:pt idx="39">
                  <c:v>330</c:v>
                </c:pt>
                <c:pt idx="40">
                  <c:v>325</c:v>
                </c:pt>
                <c:pt idx="41">
                  <c:v>330</c:v>
                </c:pt>
                <c:pt idx="42">
                  <c:v>330</c:v>
                </c:pt>
                <c:pt idx="43">
                  <c:v>340</c:v>
                </c:pt>
                <c:pt idx="44">
                  <c:v>340</c:v>
                </c:pt>
                <c:pt idx="45">
                  <c:v>340</c:v>
                </c:pt>
                <c:pt idx="46">
                  <c:v>340</c:v>
                </c:pt>
                <c:pt idx="47">
                  <c:v>340</c:v>
                </c:pt>
                <c:pt idx="48">
                  <c:v>335</c:v>
                </c:pt>
                <c:pt idx="49">
                  <c:v>340</c:v>
                </c:pt>
                <c:pt idx="50">
                  <c:v>340</c:v>
                </c:pt>
                <c:pt idx="51">
                  <c:v>349</c:v>
                </c:pt>
                <c:pt idx="52">
                  <c:v>340</c:v>
                </c:pt>
                <c:pt idx="53">
                  <c:v>345</c:v>
                </c:pt>
                <c:pt idx="54">
                  <c:v>350</c:v>
                </c:pt>
                <c:pt idx="55">
                  <c:v>353</c:v>
                </c:pt>
                <c:pt idx="56">
                  <c:v>350</c:v>
                </c:pt>
                <c:pt idx="57">
                  <c:v>350</c:v>
                </c:pt>
                <c:pt idx="58">
                  <c:v>355</c:v>
                </c:pt>
                <c:pt idx="59">
                  <c:v>360</c:v>
                </c:pt>
                <c:pt idx="60">
                  <c:v>360</c:v>
                </c:pt>
                <c:pt idx="61">
                  <c:v>360</c:v>
                </c:pt>
                <c:pt idx="62">
                  <c:v>370</c:v>
                </c:pt>
                <c:pt idx="63">
                  <c:v>380</c:v>
                </c:pt>
                <c:pt idx="64" formatCode="&quot;$&quot;#,##0">
                  <c:v>370</c:v>
                </c:pt>
                <c:pt idx="65" formatCode="&quot;$&quot;#,##0">
                  <c:v>375</c:v>
                </c:pt>
                <c:pt idx="66" formatCode="_-&quot;$&quot;* #,##0_-;\-&quot;$&quot;* #,##0_-;_-&quot;$&quot;* &quot;-&quot;??_-;_-@_-">
                  <c:v>380</c:v>
                </c:pt>
              </c:numCache>
            </c:numRef>
          </c:val>
          <c:smooth val="0"/>
        </c:ser>
        <c:ser>
          <c:idx val="3"/>
          <c:order val="3"/>
          <c:tx>
            <c:strRef>
              <c:f>'Time Series'!$E$5</c:f>
              <c:strCache>
                <c:ptCount val="1"/>
                <c:pt idx="0">
                  <c:v>3 bedroom House (Non-Metro)</c:v>
                </c:pt>
              </c:strCache>
            </c:strRef>
          </c:tx>
          <c:spPr>
            <a:ln w="28575" cap="rnd">
              <a:solidFill>
                <a:schemeClr val="accent4">
                  <a:lumMod val="75000"/>
                </a:schemeClr>
              </a:solidFill>
              <a:prstDash val="sysDash"/>
              <a:round/>
            </a:ln>
            <a:effectLst/>
          </c:spPr>
          <c:marker>
            <c:symbol val="none"/>
          </c:marker>
          <c:cat>
            <c:strRef>
              <c:f>'Time Series'!$A$10:$A$76</c:f>
              <c:strCache>
                <c:ptCount val="67"/>
                <c:pt idx="0">
                  <c:v>Jun 2000</c:v>
                </c:pt>
                <c:pt idx="1">
                  <c:v>Sep 2000</c:v>
                </c:pt>
                <c:pt idx="2">
                  <c:v>Dec 2000</c:v>
                </c:pt>
                <c:pt idx="3">
                  <c:v>Mar 2001</c:v>
                </c:pt>
                <c:pt idx="4">
                  <c:v>Jun 2001</c:v>
                </c:pt>
                <c:pt idx="5">
                  <c:v>Sep 2001</c:v>
                </c:pt>
                <c:pt idx="6">
                  <c:v>Dec 2001</c:v>
                </c:pt>
                <c:pt idx="7">
                  <c:v>Mar 2002</c:v>
                </c:pt>
                <c:pt idx="8">
                  <c:v>Jun 2002</c:v>
                </c:pt>
                <c:pt idx="9">
                  <c:v>Sep 2002</c:v>
                </c:pt>
                <c:pt idx="10">
                  <c:v>Dec 2003</c:v>
                </c:pt>
                <c:pt idx="11">
                  <c:v>Mar 2003</c:v>
                </c:pt>
                <c:pt idx="12">
                  <c:v>Jun 2003</c:v>
                </c:pt>
                <c:pt idx="13">
                  <c:v>Sep 2003</c:v>
                </c:pt>
                <c:pt idx="14">
                  <c:v>Dec 2003</c:v>
                </c:pt>
                <c:pt idx="15">
                  <c:v>Mar 2004</c:v>
                </c:pt>
                <c:pt idx="16">
                  <c:v>Jun 2004</c:v>
                </c:pt>
                <c:pt idx="17">
                  <c:v>Sep 2004</c:v>
                </c:pt>
                <c:pt idx="18">
                  <c:v>Dec 2004</c:v>
                </c:pt>
                <c:pt idx="19">
                  <c:v>Mar 2005</c:v>
                </c:pt>
                <c:pt idx="20">
                  <c:v>Jun 2005</c:v>
                </c:pt>
                <c:pt idx="21">
                  <c:v>Sep 2005</c:v>
                </c:pt>
                <c:pt idx="22">
                  <c:v>Dec 2005</c:v>
                </c:pt>
                <c:pt idx="23">
                  <c:v>Mar 2006</c:v>
                </c:pt>
                <c:pt idx="24">
                  <c:v>Jun 2006</c:v>
                </c:pt>
                <c:pt idx="25">
                  <c:v>Sep 2006</c:v>
                </c:pt>
                <c:pt idx="26">
                  <c:v>Dec 2006</c:v>
                </c:pt>
                <c:pt idx="27">
                  <c:v>Mar 2007</c:v>
                </c:pt>
                <c:pt idx="28">
                  <c:v>Jun 2007</c:v>
                </c:pt>
                <c:pt idx="29">
                  <c:v>Sep 2007</c:v>
                </c:pt>
                <c:pt idx="30">
                  <c:v>Dec 2007</c:v>
                </c:pt>
                <c:pt idx="31">
                  <c:v>Mar 2008</c:v>
                </c:pt>
                <c:pt idx="32">
                  <c:v>Jun 2008</c:v>
                </c:pt>
                <c:pt idx="33">
                  <c:v>Sep 2008</c:v>
                </c:pt>
                <c:pt idx="34">
                  <c:v>Dec 2008</c:v>
                </c:pt>
                <c:pt idx="35">
                  <c:v>Mar 2009</c:v>
                </c:pt>
                <c:pt idx="36">
                  <c:v>Jun 2009</c:v>
                </c:pt>
                <c:pt idx="37">
                  <c:v>Sep 2009</c:v>
                </c:pt>
                <c:pt idx="38">
                  <c:v>Dec 2009</c:v>
                </c:pt>
                <c:pt idx="39">
                  <c:v>Mar 2010</c:v>
                </c:pt>
                <c:pt idx="40">
                  <c:v>Jun 2010</c:v>
                </c:pt>
                <c:pt idx="41">
                  <c:v>Sep 2010</c:v>
                </c:pt>
                <c:pt idx="42">
                  <c:v>Dec 2010</c:v>
                </c:pt>
                <c:pt idx="43">
                  <c:v>Mar 2011</c:v>
                </c:pt>
                <c:pt idx="44">
                  <c:v>Jun 2011</c:v>
                </c:pt>
                <c:pt idx="45">
                  <c:v>Sep 2011</c:v>
                </c:pt>
                <c:pt idx="46">
                  <c:v>Dec 2011</c:v>
                </c:pt>
                <c:pt idx="47">
                  <c:v>Mar 2012</c:v>
                </c:pt>
                <c:pt idx="48">
                  <c:v>Jun 2012</c:v>
                </c:pt>
                <c:pt idx="49">
                  <c:v>Sep 2012</c:v>
                </c:pt>
                <c:pt idx="50">
                  <c:v>Dec 2012</c:v>
                </c:pt>
                <c:pt idx="51">
                  <c:v>Mar 2013</c:v>
                </c:pt>
                <c:pt idx="52">
                  <c:v>Jun 2013</c:v>
                </c:pt>
                <c:pt idx="53">
                  <c:v>Sep 2013</c:v>
                </c:pt>
                <c:pt idx="54">
                  <c:v>Dec 2013</c:v>
                </c:pt>
                <c:pt idx="55">
                  <c:v>Mar 2014</c:v>
                </c:pt>
                <c:pt idx="56">
                  <c:v>Jun 2014</c:v>
                </c:pt>
                <c:pt idx="57">
                  <c:v>Sep 2014</c:v>
                </c:pt>
                <c:pt idx="58">
                  <c:v>Dec 2014</c:v>
                </c:pt>
                <c:pt idx="59">
                  <c:v>Mar 2015</c:v>
                </c:pt>
                <c:pt idx="60">
                  <c:v>Jun 2015</c:v>
                </c:pt>
                <c:pt idx="61">
                  <c:v>Sep 2015</c:v>
                </c:pt>
                <c:pt idx="62">
                  <c:v>Dec 2015</c:v>
                </c:pt>
                <c:pt idx="63">
                  <c:v>Mar 2016</c:v>
                </c:pt>
                <c:pt idx="64">
                  <c:v>Jun 2016</c:v>
                </c:pt>
                <c:pt idx="65">
                  <c:v>Sep 2016</c:v>
                </c:pt>
                <c:pt idx="66">
                  <c:v>Dec 2016</c:v>
                </c:pt>
              </c:strCache>
            </c:strRef>
          </c:cat>
          <c:val>
            <c:numRef>
              <c:f>'Time Series'!$E$10:$E$76</c:f>
              <c:numCache>
                <c:formatCode>"$"#,##0_);\("$"#,##0\)</c:formatCode>
                <c:ptCount val="67"/>
                <c:pt idx="0">
                  <c:v>145</c:v>
                </c:pt>
                <c:pt idx="1">
                  <c:v>145</c:v>
                </c:pt>
                <c:pt idx="2">
                  <c:v>150</c:v>
                </c:pt>
                <c:pt idx="3">
                  <c:v>150</c:v>
                </c:pt>
                <c:pt idx="4">
                  <c:v>150</c:v>
                </c:pt>
                <c:pt idx="5">
                  <c:v>150</c:v>
                </c:pt>
                <c:pt idx="6">
                  <c:v>155</c:v>
                </c:pt>
                <c:pt idx="7">
                  <c:v>160</c:v>
                </c:pt>
                <c:pt idx="8">
                  <c:v>160</c:v>
                </c:pt>
                <c:pt idx="9">
                  <c:v>160</c:v>
                </c:pt>
                <c:pt idx="10">
                  <c:v>165</c:v>
                </c:pt>
                <c:pt idx="11">
                  <c:v>170</c:v>
                </c:pt>
                <c:pt idx="12">
                  <c:v>170</c:v>
                </c:pt>
                <c:pt idx="13">
                  <c:v>170</c:v>
                </c:pt>
                <c:pt idx="14">
                  <c:v>180</c:v>
                </c:pt>
                <c:pt idx="15">
                  <c:v>180</c:v>
                </c:pt>
                <c:pt idx="16">
                  <c:v>180</c:v>
                </c:pt>
                <c:pt idx="17">
                  <c:v>180</c:v>
                </c:pt>
                <c:pt idx="18">
                  <c:v>185</c:v>
                </c:pt>
                <c:pt idx="19">
                  <c:v>190</c:v>
                </c:pt>
                <c:pt idx="20">
                  <c:v>185</c:v>
                </c:pt>
                <c:pt idx="21">
                  <c:v>185</c:v>
                </c:pt>
                <c:pt idx="22">
                  <c:v>190</c:v>
                </c:pt>
                <c:pt idx="23">
                  <c:v>190</c:v>
                </c:pt>
                <c:pt idx="24">
                  <c:v>190</c:v>
                </c:pt>
                <c:pt idx="25">
                  <c:v>195</c:v>
                </c:pt>
                <c:pt idx="26">
                  <c:v>200</c:v>
                </c:pt>
                <c:pt idx="27">
                  <c:v>200</c:v>
                </c:pt>
                <c:pt idx="28">
                  <c:v>200</c:v>
                </c:pt>
                <c:pt idx="29">
                  <c:v>205</c:v>
                </c:pt>
                <c:pt idx="30">
                  <c:v>210</c:v>
                </c:pt>
                <c:pt idx="31">
                  <c:v>220</c:v>
                </c:pt>
                <c:pt idx="32">
                  <c:v>220</c:v>
                </c:pt>
                <c:pt idx="33">
                  <c:v>220</c:v>
                </c:pt>
                <c:pt idx="34">
                  <c:v>225</c:v>
                </c:pt>
                <c:pt idx="35">
                  <c:v>230</c:v>
                </c:pt>
                <c:pt idx="36">
                  <c:v>230</c:v>
                </c:pt>
                <c:pt idx="37">
                  <c:v>230</c:v>
                </c:pt>
                <c:pt idx="38">
                  <c:v>240</c:v>
                </c:pt>
                <c:pt idx="39">
                  <c:v>240</c:v>
                </c:pt>
                <c:pt idx="40">
                  <c:v>245</c:v>
                </c:pt>
                <c:pt idx="41">
                  <c:v>250</c:v>
                </c:pt>
                <c:pt idx="42">
                  <c:v>250</c:v>
                </c:pt>
                <c:pt idx="43">
                  <c:v>260</c:v>
                </c:pt>
                <c:pt idx="44">
                  <c:v>260</c:v>
                </c:pt>
                <c:pt idx="45">
                  <c:v>260</c:v>
                </c:pt>
                <c:pt idx="46">
                  <c:v>270</c:v>
                </c:pt>
                <c:pt idx="47">
                  <c:v>270</c:v>
                </c:pt>
                <c:pt idx="48">
                  <c:v>270</c:v>
                </c:pt>
                <c:pt idx="49">
                  <c:v>270</c:v>
                </c:pt>
                <c:pt idx="50">
                  <c:v>270</c:v>
                </c:pt>
                <c:pt idx="51">
                  <c:v>270</c:v>
                </c:pt>
                <c:pt idx="52">
                  <c:v>270</c:v>
                </c:pt>
                <c:pt idx="53">
                  <c:v>270</c:v>
                </c:pt>
                <c:pt idx="54">
                  <c:v>280</c:v>
                </c:pt>
                <c:pt idx="55">
                  <c:v>280</c:v>
                </c:pt>
                <c:pt idx="56">
                  <c:v>280</c:v>
                </c:pt>
                <c:pt idx="57">
                  <c:v>280</c:v>
                </c:pt>
                <c:pt idx="58">
                  <c:v>280</c:v>
                </c:pt>
                <c:pt idx="59">
                  <c:v>285</c:v>
                </c:pt>
                <c:pt idx="60">
                  <c:v>280</c:v>
                </c:pt>
                <c:pt idx="61">
                  <c:v>280</c:v>
                </c:pt>
                <c:pt idx="62">
                  <c:v>285</c:v>
                </c:pt>
                <c:pt idx="63">
                  <c:v>290</c:v>
                </c:pt>
                <c:pt idx="64" formatCode="&quot;$&quot;#,##0">
                  <c:v>290</c:v>
                </c:pt>
                <c:pt idx="65" formatCode="&quot;$&quot;#,##0">
                  <c:v>290</c:v>
                </c:pt>
                <c:pt idx="66" formatCode="&quot;$&quot;#,##0">
                  <c:v>295</c:v>
                </c:pt>
              </c:numCache>
            </c:numRef>
          </c:val>
          <c:smooth val="0"/>
        </c:ser>
        <c:dLbls>
          <c:showLegendKey val="0"/>
          <c:showVal val="0"/>
          <c:showCatName val="0"/>
          <c:showSerName val="0"/>
          <c:showPercent val="0"/>
          <c:showBubbleSize val="0"/>
        </c:dLbls>
        <c:smooth val="0"/>
        <c:axId val="206858992"/>
        <c:axId val="206859552"/>
      </c:lineChart>
      <c:catAx>
        <c:axId val="206858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59552"/>
        <c:crosses val="autoZero"/>
        <c:auto val="1"/>
        <c:lblAlgn val="ctr"/>
        <c:lblOffset val="100"/>
        <c:noMultiLvlLbl val="0"/>
      </c:catAx>
      <c:valAx>
        <c:axId val="2068595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58992"/>
        <c:crosses val="autoZero"/>
        <c:crossBetween val="between"/>
      </c:valAx>
      <c:spPr>
        <a:noFill/>
        <a:ln>
          <a:noFill/>
        </a:ln>
        <a:effectLst/>
      </c:spPr>
    </c:plotArea>
    <c:legend>
      <c:legendPos val="b"/>
      <c:layout>
        <c:manualLayout>
          <c:xMode val="edge"/>
          <c:yMode val="edge"/>
          <c:x val="0.58527356484659299"/>
          <c:y val="9.8668931590363863E-3"/>
          <c:w val="0.33950167667131559"/>
          <c:h val="0.157475631847722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0" i="0" baseline="0">
                <a:effectLst/>
              </a:rPr>
              <a:t>Median Weekly Rents by LGA -  December 2016</a:t>
            </a:r>
            <a:endParaRPr lang="en-AU" sz="1400">
              <a:effectLst/>
            </a:endParaRPr>
          </a:p>
          <a:p>
            <a:pPr algn="l">
              <a:defRPr/>
            </a:pPr>
            <a:r>
              <a:rPr lang="en-AU" sz="1400" b="0" i="0" baseline="0">
                <a:effectLst/>
              </a:rPr>
              <a:t>Metropolitan Melbourne</a:t>
            </a:r>
          </a:p>
          <a:p>
            <a:pPr algn="l">
              <a:defRPr/>
            </a:pPr>
            <a:r>
              <a:rPr lang="en-AU" sz="1050" b="0" i="0" baseline="0">
                <a:effectLst/>
              </a:rPr>
              <a:t>Source: DHHS Quarterly Rental Report</a:t>
            </a:r>
            <a:endParaRPr lang="en-AU" sz="1050">
              <a:effectLst/>
            </a:endParaRPr>
          </a:p>
        </c:rich>
      </c:tx>
      <c:layout>
        <c:manualLayout>
          <c:xMode val="edge"/>
          <c:yMode val="edge"/>
          <c:x val="9.93755990366556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31355264146321"/>
          <c:y val="0.10919264297689778"/>
          <c:w val="0.71076433230548686"/>
          <c:h val="0.87679226698812562"/>
        </c:manualLayout>
      </c:layout>
      <c:barChart>
        <c:barDir val="bar"/>
        <c:grouping val="clustered"/>
        <c:varyColors val="0"/>
        <c:ser>
          <c:idx val="0"/>
          <c:order val="0"/>
          <c:tx>
            <c:strRef>
              <c:f>'Table 12 Rent Graphs'!$C$1</c:f>
              <c:strCache>
                <c:ptCount val="1"/>
                <c:pt idx="0">
                  <c:v>1 bedroom flat</c:v>
                </c:pt>
              </c:strCache>
            </c:strRef>
          </c:tx>
          <c:spPr>
            <a:solidFill>
              <a:schemeClr val="accent1"/>
            </a:solidFill>
            <a:ln>
              <a:noFill/>
            </a:ln>
            <a:effectLst/>
          </c:spPr>
          <c:invertIfNegative val="0"/>
          <c:cat>
            <c:strRef>
              <c:f>'Table 12 Rent Graphs'!$B$2:$B$44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12 Rent Graphs'!$C$2:$C$44</c:f>
              <c:numCache>
                <c:formatCode>"$"#,##0_);[Red]\("$"#,##0\)</c:formatCode>
                <c:ptCount val="43"/>
                <c:pt idx="1">
                  <c:v>370</c:v>
                </c:pt>
                <c:pt idx="2">
                  <c:v>350</c:v>
                </c:pt>
                <c:pt idx="3">
                  <c:v>360</c:v>
                </c:pt>
                <c:pt idx="6">
                  <c:v>290</c:v>
                </c:pt>
                <c:pt idx="7">
                  <c:v>360</c:v>
                </c:pt>
                <c:pt idx="8">
                  <c:v>288</c:v>
                </c:pt>
                <c:pt idx="9">
                  <c:v>310</c:v>
                </c:pt>
                <c:pt idx="10">
                  <c:v>270</c:v>
                </c:pt>
                <c:pt idx="11">
                  <c:v>220</c:v>
                </c:pt>
                <c:pt idx="14">
                  <c:v>330</c:v>
                </c:pt>
                <c:pt idx="15">
                  <c:v>340</c:v>
                </c:pt>
                <c:pt idx="16">
                  <c:v>275</c:v>
                </c:pt>
                <c:pt idx="17">
                  <c:v>350</c:v>
                </c:pt>
                <c:pt idx="20">
                  <c:v>300</c:v>
                </c:pt>
                <c:pt idx="21">
                  <c:v>280</c:v>
                </c:pt>
                <c:pt idx="22">
                  <c:v>218</c:v>
                </c:pt>
                <c:pt idx="24">
                  <c:v>290</c:v>
                </c:pt>
                <c:pt idx="25">
                  <c:v>215</c:v>
                </c:pt>
                <c:pt idx="26">
                  <c:v>275</c:v>
                </c:pt>
                <c:pt idx="30">
                  <c:v>243</c:v>
                </c:pt>
                <c:pt idx="31">
                  <c:v>223</c:v>
                </c:pt>
                <c:pt idx="32">
                  <c:v>230</c:v>
                </c:pt>
                <c:pt idx="33">
                  <c:v>280</c:v>
                </c:pt>
                <c:pt idx="34">
                  <c:v>245</c:v>
                </c:pt>
                <c:pt idx="37">
                  <c:v>210</c:v>
                </c:pt>
                <c:pt idx="38">
                  <c:v>260</c:v>
                </c:pt>
                <c:pt idx="39">
                  <c:v>250</c:v>
                </c:pt>
                <c:pt idx="40">
                  <c:v>313</c:v>
                </c:pt>
                <c:pt idx="41">
                  <c:v>285</c:v>
                </c:pt>
                <c:pt idx="42">
                  <c:v>260</c:v>
                </c:pt>
              </c:numCache>
            </c:numRef>
          </c:val>
        </c:ser>
        <c:ser>
          <c:idx val="1"/>
          <c:order val="1"/>
          <c:tx>
            <c:strRef>
              <c:f>'Table 12 Rent Graphs'!$D$1</c:f>
              <c:strCache>
                <c:ptCount val="1"/>
                <c:pt idx="0">
                  <c:v>2 bedroom flat</c:v>
                </c:pt>
              </c:strCache>
            </c:strRef>
          </c:tx>
          <c:spPr>
            <a:solidFill>
              <a:schemeClr val="accent2"/>
            </a:solidFill>
            <a:ln>
              <a:noFill/>
            </a:ln>
            <a:effectLst/>
          </c:spPr>
          <c:invertIfNegative val="0"/>
          <c:cat>
            <c:strRef>
              <c:f>'Table 12 Rent Graphs'!$B$2:$B$44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12 Rent Graphs'!$D$2:$D$44</c:f>
              <c:numCache>
                <c:formatCode>"$"#,##0_);[Red]\("$"#,##0\)</c:formatCode>
                <c:ptCount val="43"/>
                <c:pt idx="1">
                  <c:v>515</c:v>
                </c:pt>
                <c:pt idx="2">
                  <c:v>470</c:v>
                </c:pt>
                <c:pt idx="3">
                  <c:v>490</c:v>
                </c:pt>
                <c:pt idx="6">
                  <c:v>330</c:v>
                </c:pt>
                <c:pt idx="7">
                  <c:v>400</c:v>
                </c:pt>
                <c:pt idx="8">
                  <c:v>330</c:v>
                </c:pt>
                <c:pt idx="9">
                  <c:v>370</c:v>
                </c:pt>
                <c:pt idx="10">
                  <c:v>375</c:v>
                </c:pt>
                <c:pt idx="11">
                  <c:v>310</c:v>
                </c:pt>
                <c:pt idx="14">
                  <c:v>438</c:v>
                </c:pt>
                <c:pt idx="15">
                  <c:v>410</c:v>
                </c:pt>
                <c:pt idx="16">
                  <c:v>390</c:v>
                </c:pt>
                <c:pt idx="17">
                  <c:v>460</c:v>
                </c:pt>
                <c:pt idx="20">
                  <c:v>330</c:v>
                </c:pt>
                <c:pt idx="21">
                  <c:v>350</c:v>
                </c:pt>
                <c:pt idx="22">
                  <c:v>300</c:v>
                </c:pt>
                <c:pt idx="23">
                  <c:v>260</c:v>
                </c:pt>
                <c:pt idx="24">
                  <c:v>360</c:v>
                </c:pt>
                <c:pt idx="25">
                  <c:v>325</c:v>
                </c:pt>
                <c:pt idx="26">
                  <c:v>300</c:v>
                </c:pt>
                <c:pt idx="29">
                  <c:v>270</c:v>
                </c:pt>
                <c:pt idx="30">
                  <c:v>300</c:v>
                </c:pt>
                <c:pt idx="31">
                  <c:v>290</c:v>
                </c:pt>
                <c:pt idx="32">
                  <c:v>300</c:v>
                </c:pt>
                <c:pt idx="33">
                  <c:v>360</c:v>
                </c:pt>
                <c:pt idx="34">
                  <c:v>285</c:v>
                </c:pt>
                <c:pt idx="37">
                  <c:v>290</c:v>
                </c:pt>
                <c:pt idx="38">
                  <c:v>320</c:v>
                </c:pt>
                <c:pt idx="39">
                  <c:v>340</c:v>
                </c:pt>
                <c:pt idx="40">
                  <c:v>265</c:v>
                </c:pt>
                <c:pt idx="41">
                  <c:v>360</c:v>
                </c:pt>
                <c:pt idx="42">
                  <c:v>280</c:v>
                </c:pt>
              </c:numCache>
            </c:numRef>
          </c:val>
        </c:ser>
        <c:ser>
          <c:idx val="2"/>
          <c:order val="2"/>
          <c:tx>
            <c:strRef>
              <c:f>'Table 12 Rent Graphs'!$E$1</c:f>
              <c:strCache>
                <c:ptCount val="1"/>
                <c:pt idx="0">
                  <c:v>3 bedroom flat</c:v>
                </c:pt>
              </c:strCache>
            </c:strRef>
          </c:tx>
          <c:spPr>
            <a:solidFill>
              <a:schemeClr val="accent3"/>
            </a:solidFill>
            <a:ln>
              <a:noFill/>
            </a:ln>
            <a:effectLst/>
          </c:spPr>
          <c:invertIfNegative val="0"/>
          <c:cat>
            <c:strRef>
              <c:f>'Table 12 Rent Graphs'!$B$2:$B$44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12 Rent Graphs'!$E$2:$E$44</c:f>
              <c:numCache>
                <c:formatCode>"$"#,##0_);[Red]\("$"#,##0\)</c:formatCode>
                <c:ptCount val="43"/>
                <c:pt idx="1">
                  <c:v>730</c:v>
                </c:pt>
                <c:pt idx="2">
                  <c:v>680</c:v>
                </c:pt>
                <c:pt idx="3">
                  <c:v>750</c:v>
                </c:pt>
                <c:pt idx="6">
                  <c:v>380</c:v>
                </c:pt>
                <c:pt idx="7">
                  <c:v>468</c:v>
                </c:pt>
                <c:pt idx="8">
                  <c:v>400</c:v>
                </c:pt>
                <c:pt idx="9">
                  <c:v>460</c:v>
                </c:pt>
                <c:pt idx="10">
                  <c:v>473</c:v>
                </c:pt>
                <c:pt idx="11">
                  <c:v>380</c:v>
                </c:pt>
                <c:pt idx="14">
                  <c:v>628</c:v>
                </c:pt>
                <c:pt idx="15">
                  <c:v>550</c:v>
                </c:pt>
                <c:pt idx="16">
                  <c:v>520</c:v>
                </c:pt>
                <c:pt idx="17">
                  <c:v>600</c:v>
                </c:pt>
                <c:pt idx="20">
                  <c:v>410</c:v>
                </c:pt>
                <c:pt idx="21">
                  <c:v>400</c:v>
                </c:pt>
                <c:pt idx="22">
                  <c:v>330</c:v>
                </c:pt>
                <c:pt idx="23">
                  <c:v>295</c:v>
                </c:pt>
                <c:pt idx="24">
                  <c:v>420</c:v>
                </c:pt>
                <c:pt idx="25">
                  <c:v>415</c:v>
                </c:pt>
                <c:pt idx="26">
                  <c:v>325</c:v>
                </c:pt>
                <c:pt idx="29">
                  <c:v>310</c:v>
                </c:pt>
                <c:pt idx="30">
                  <c:v>345</c:v>
                </c:pt>
                <c:pt idx="31">
                  <c:v>350</c:v>
                </c:pt>
                <c:pt idx="32">
                  <c:v>350</c:v>
                </c:pt>
                <c:pt idx="33">
                  <c:v>420</c:v>
                </c:pt>
                <c:pt idx="34">
                  <c:v>370</c:v>
                </c:pt>
                <c:pt idx="37">
                  <c:v>330</c:v>
                </c:pt>
                <c:pt idx="38">
                  <c:v>440</c:v>
                </c:pt>
                <c:pt idx="39">
                  <c:v>430</c:v>
                </c:pt>
                <c:pt idx="40">
                  <c:v>320</c:v>
                </c:pt>
                <c:pt idx="41">
                  <c:v>450</c:v>
                </c:pt>
                <c:pt idx="42">
                  <c:v>310</c:v>
                </c:pt>
              </c:numCache>
            </c:numRef>
          </c:val>
        </c:ser>
        <c:dLbls>
          <c:showLegendKey val="0"/>
          <c:showVal val="0"/>
          <c:showCatName val="0"/>
          <c:showSerName val="0"/>
          <c:showPercent val="0"/>
          <c:showBubbleSize val="0"/>
        </c:dLbls>
        <c:gapWidth val="40"/>
        <c:axId val="206862912"/>
        <c:axId val="206863472"/>
      </c:barChart>
      <c:catAx>
        <c:axId val="20686291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3472"/>
        <c:crosses val="autoZero"/>
        <c:auto val="1"/>
        <c:lblAlgn val="ctr"/>
        <c:lblOffset val="100"/>
        <c:noMultiLvlLbl val="0"/>
      </c:catAx>
      <c:valAx>
        <c:axId val="206863472"/>
        <c:scaling>
          <c:orientation val="minMax"/>
        </c:scaling>
        <c:delete val="0"/>
        <c:axPos val="t"/>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2912"/>
        <c:crosses val="autoZero"/>
        <c:crossBetween val="between"/>
      </c:valAx>
      <c:spPr>
        <a:noFill/>
        <a:ln>
          <a:noFill/>
        </a:ln>
        <a:effectLst/>
      </c:spPr>
    </c:plotArea>
    <c:legend>
      <c:legendPos val="b"/>
      <c:layout>
        <c:manualLayout>
          <c:xMode val="edge"/>
          <c:yMode val="edge"/>
          <c:x val="0.69910710613186056"/>
          <c:y val="1.7005619031202259E-3"/>
          <c:w val="0.20569126083453435"/>
          <c:h val="6.955478393658988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0" i="0" baseline="0">
                <a:effectLst/>
              </a:rPr>
              <a:t>Median Weekly Rents by LGA - December 2016</a:t>
            </a:r>
            <a:endParaRPr lang="en-AU" sz="1400">
              <a:effectLst/>
            </a:endParaRPr>
          </a:p>
          <a:p>
            <a:pPr algn="l">
              <a:defRPr/>
            </a:pPr>
            <a:r>
              <a:rPr lang="en-AU" sz="1400" b="0" i="0" baseline="0">
                <a:effectLst/>
              </a:rPr>
              <a:t>Regional Victoria</a:t>
            </a:r>
          </a:p>
          <a:p>
            <a:pPr algn="l">
              <a:defRPr/>
            </a:pPr>
            <a:r>
              <a:rPr lang="en-AU" sz="1050" b="0" i="0" baseline="0">
                <a:effectLst/>
              </a:rPr>
              <a:t>Source: DHHS Quarterly Rental Report</a:t>
            </a:r>
            <a:endParaRPr lang="en-AU" sz="1050">
              <a:effectLst/>
            </a:endParaRPr>
          </a:p>
        </c:rich>
      </c:tx>
      <c:layout>
        <c:manualLayout>
          <c:xMode val="edge"/>
          <c:yMode val="edge"/>
          <c:x val="9.9375599036654032E-4"/>
          <c:y val="3.3220101614274597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31355264146321"/>
          <c:y val="0.10919264297689778"/>
          <c:w val="0.71076433230548686"/>
          <c:h val="0.87679226698812562"/>
        </c:manualLayout>
      </c:layout>
      <c:barChart>
        <c:barDir val="bar"/>
        <c:grouping val="clustered"/>
        <c:varyColors val="0"/>
        <c:ser>
          <c:idx val="0"/>
          <c:order val="0"/>
          <c:tx>
            <c:strRef>
              <c:f>'Table 12 Rent Graphs'!$C$1</c:f>
              <c:strCache>
                <c:ptCount val="1"/>
                <c:pt idx="0">
                  <c:v>1 bedroom flat</c:v>
                </c:pt>
              </c:strCache>
            </c:strRef>
          </c:tx>
          <c:spPr>
            <a:solidFill>
              <a:schemeClr val="accent1"/>
            </a:solidFill>
            <a:ln>
              <a:noFill/>
            </a:ln>
            <a:effectLst/>
          </c:spPr>
          <c:invertIfNegative val="0"/>
          <c:cat>
            <c:strRef>
              <c:f>'Table 12 Rent Graphs'!$B$46:$B$97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12 Rent Graphs'!$C$46:$C$97</c:f>
              <c:numCache>
                <c:formatCode>"$"#,##0_);[Red]\("$"#,##0\)</c:formatCode>
                <c:ptCount val="52"/>
                <c:pt idx="1">
                  <c:v>170</c:v>
                </c:pt>
                <c:pt idx="2">
                  <c:v>160</c:v>
                </c:pt>
                <c:pt idx="3">
                  <c:v>210</c:v>
                </c:pt>
                <c:pt idx="4">
                  <c:v>168</c:v>
                </c:pt>
                <c:pt idx="5">
                  <c:v>160</c:v>
                </c:pt>
                <c:pt idx="6">
                  <c:v>145</c:v>
                </c:pt>
                <c:pt idx="7">
                  <c:v>160</c:v>
                </c:pt>
                <c:pt idx="8">
                  <c:v>165</c:v>
                </c:pt>
                <c:pt idx="9">
                  <c:v>203</c:v>
                </c:pt>
                <c:pt idx="10">
                  <c:v>175</c:v>
                </c:pt>
                <c:pt idx="13">
                  <c:v>215</c:v>
                </c:pt>
                <c:pt idx="14">
                  <c:v>165</c:v>
                </c:pt>
                <c:pt idx="16">
                  <c:v>170</c:v>
                </c:pt>
                <c:pt idx="20">
                  <c:v>160</c:v>
                </c:pt>
                <c:pt idx="21">
                  <c:v>220</c:v>
                </c:pt>
                <c:pt idx="26">
                  <c:v>145</c:v>
                </c:pt>
                <c:pt idx="28">
                  <c:v>150</c:v>
                </c:pt>
                <c:pt idx="30">
                  <c:v>180</c:v>
                </c:pt>
                <c:pt idx="32">
                  <c:v>157</c:v>
                </c:pt>
                <c:pt idx="34">
                  <c:v>155</c:v>
                </c:pt>
                <c:pt idx="37">
                  <c:v>145</c:v>
                </c:pt>
                <c:pt idx="40">
                  <c:v>135</c:v>
                </c:pt>
                <c:pt idx="41">
                  <c:v>200</c:v>
                </c:pt>
                <c:pt idx="43">
                  <c:v>123</c:v>
                </c:pt>
                <c:pt idx="45">
                  <c:v>137</c:v>
                </c:pt>
                <c:pt idx="47">
                  <c:v>135</c:v>
                </c:pt>
                <c:pt idx="49">
                  <c:v>170</c:v>
                </c:pt>
              </c:numCache>
            </c:numRef>
          </c:val>
        </c:ser>
        <c:ser>
          <c:idx val="1"/>
          <c:order val="1"/>
          <c:tx>
            <c:strRef>
              <c:f>'Table 12 Rent Graphs'!$D$1</c:f>
              <c:strCache>
                <c:ptCount val="1"/>
                <c:pt idx="0">
                  <c:v>2 bedroom flat</c:v>
                </c:pt>
              </c:strCache>
            </c:strRef>
          </c:tx>
          <c:spPr>
            <a:solidFill>
              <a:schemeClr val="accent2"/>
            </a:solidFill>
            <a:ln>
              <a:noFill/>
            </a:ln>
            <a:effectLst/>
          </c:spPr>
          <c:invertIfNegative val="0"/>
          <c:cat>
            <c:strRef>
              <c:f>'Table 12 Rent Graphs'!$B$46:$B$97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12 Rent Graphs'!$D$46:$D$97</c:f>
              <c:numCache>
                <c:formatCode>"$"#,##0_);[Red]\("$"#,##0\)</c:formatCode>
                <c:ptCount val="52"/>
                <c:pt idx="1">
                  <c:v>235</c:v>
                </c:pt>
                <c:pt idx="2">
                  <c:v>240</c:v>
                </c:pt>
                <c:pt idx="3">
                  <c:v>280</c:v>
                </c:pt>
                <c:pt idx="4">
                  <c:v>218</c:v>
                </c:pt>
                <c:pt idx="5">
                  <c:v>220</c:v>
                </c:pt>
                <c:pt idx="6">
                  <c:v>190</c:v>
                </c:pt>
                <c:pt idx="7">
                  <c:v>195</c:v>
                </c:pt>
                <c:pt idx="8">
                  <c:v>195</c:v>
                </c:pt>
                <c:pt idx="9">
                  <c:v>230</c:v>
                </c:pt>
                <c:pt idx="10">
                  <c:v>220</c:v>
                </c:pt>
                <c:pt idx="13">
                  <c:v>230</c:v>
                </c:pt>
                <c:pt idx="14">
                  <c:v>250</c:v>
                </c:pt>
                <c:pt idx="16">
                  <c:v>295</c:v>
                </c:pt>
                <c:pt idx="17">
                  <c:v>255</c:v>
                </c:pt>
                <c:pt idx="20">
                  <c:v>240</c:v>
                </c:pt>
                <c:pt idx="21">
                  <c:v>328</c:v>
                </c:pt>
                <c:pt idx="24">
                  <c:v>200</c:v>
                </c:pt>
                <c:pt idx="25">
                  <c:v>230</c:v>
                </c:pt>
                <c:pt idx="26">
                  <c:v>195</c:v>
                </c:pt>
                <c:pt idx="28">
                  <c:v>230</c:v>
                </c:pt>
                <c:pt idx="29">
                  <c:v>213</c:v>
                </c:pt>
                <c:pt idx="30">
                  <c:v>225</c:v>
                </c:pt>
                <c:pt idx="31">
                  <c:v>220</c:v>
                </c:pt>
                <c:pt idx="32">
                  <c:v>225</c:v>
                </c:pt>
                <c:pt idx="34">
                  <c:v>170</c:v>
                </c:pt>
                <c:pt idx="35">
                  <c:v>260</c:v>
                </c:pt>
                <c:pt idx="37">
                  <c:v>190</c:v>
                </c:pt>
                <c:pt idx="39">
                  <c:v>210</c:v>
                </c:pt>
                <c:pt idx="40">
                  <c:v>203</c:v>
                </c:pt>
                <c:pt idx="42">
                  <c:v>260</c:v>
                </c:pt>
                <c:pt idx="43">
                  <c:v>163</c:v>
                </c:pt>
                <c:pt idx="45">
                  <c:v>198</c:v>
                </c:pt>
                <c:pt idx="47">
                  <c:v>210</c:v>
                </c:pt>
                <c:pt idx="49">
                  <c:v>230</c:v>
                </c:pt>
              </c:numCache>
            </c:numRef>
          </c:val>
        </c:ser>
        <c:ser>
          <c:idx val="2"/>
          <c:order val="2"/>
          <c:tx>
            <c:strRef>
              <c:f>'Table 12 Rent Graphs'!$E$1</c:f>
              <c:strCache>
                <c:ptCount val="1"/>
                <c:pt idx="0">
                  <c:v>3 bedroom flat</c:v>
                </c:pt>
              </c:strCache>
            </c:strRef>
          </c:tx>
          <c:spPr>
            <a:solidFill>
              <a:schemeClr val="accent3"/>
            </a:solidFill>
            <a:ln>
              <a:noFill/>
            </a:ln>
            <a:effectLst/>
          </c:spPr>
          <c:invertIfNegative val="0"/>
          <c:cat>
            <c:strRef>
              <c:f>'Table 12 Rent Graphs'!$B$46:$B$97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12 Rent Graphs'!$E$46:$E$97</c:f>
              <c:numCache>
                <c:formatCode>"$"#,##0_);[Red]\("$"#,##0\)</c:formatCode>
                <c:ptCount val="52"/>
                <c:pt idx="1">
                  <c:v>280</c:v>
                </c:pt>
                <c:pt idx="2">
                  <c:v>270</c:v>
                </c:pt>
                <c:pt idx="3">
                  <c:v>340</c:v>
                </c:pt>
                <c:pt idx="4">
                  <c:v>300</c:v>
                </c:pt>
                <c:pt idx="5">
                  <c:v>315</c:v>
                </c:pt>
                <c:pt idx="6">
                  <c:v>260</c:v>
                </c:pt>
                <c:pt idx="7">
                  <c:v>250</c:v>
                </c:pt>
                <c:pt idx="9">
                  <c:v>320</c:v>
                </c:pt>
                <c:pt idx="10">
                  <c:v>275</c:v>
                </c:pt>
                <c:pt idx="13">
                  <c:v>295</c:v>
                </c:pt>
                <c:pt idx="14">
                  <c:v>288</c:v>
                </c:pt>
                <c:pt idx="16">
                  <c:v>333</c:v>
                </c:pt>
                <c:pt idx="17">
                  <c:v>320</c:v>
                </c:pt>
                <c:pt idx="21">
                  <c:v>410</c:v>
                </c:pt>
                <c:pt idx="28">
                  <c:v>310</c:v>
                </c:pt>
                <c:pt idx="32">
                  <c:v>295</c:v>
                </c:pt>
                <c:pt idx="34">
                  <c:v>250</c:v>
                </c:pt>
                <c:pt idx="40">
                  <c:v>230</c:v>
                </c:pt>
                <c:pt idx="42">
                  <c:v>280</c:v>
                </c:pt>
                <c:pt idx="49">
                  <c:v>310</c:v>
                </c:pt>
              </c:numCache>
            </c:numRef>
          </c:val>
        </c:ser>
        <c:dLbls>
          <c:showLegendKey val="0"/>
          <c:showVal val="0"/>
          <c:showCatName val="0"/>
          <c:showSerName val="0"/>
          <c:showPercent val="0"/>
          <c:showBubbleSize val="0"/>
        </c:dLbls>
        <c:gapWidth val="40"/>
        <c:axId val="206866832"/>
        <c:axId val="206867392"/>
      </c:barChart>
      <c:catAx>
        <c:axId val="20686683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7392"/>
        <c:crosses val="autoZero"/>
        <c:auto val="1"/>
        <c:lblAlgn val="ctr"/>
        <c:lblOffset val="100"/>
        <c:noMultiLvlLbl val="0"/>
      </c:catAx>
      <c:valAx>
        <c:axId val="206867392"/>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6832"/>
        <c:crosses val="autoZero"/>
        <c:crossBetween val="between"/>
      </c:valAx>
      <c:spPr>
        <a:noFill/>
        <a:ln>
          <a:noFill/>
        </a:ln>
        <a:effectLst/>
      </c:spPr>
    </c:plotArea>
    <c:legend>
      <c:legendPos val="b"/>
      <c:layout>
        <c:manualLayout>
          <c:xMode val="edge"/>
          <c:yMode val="edge"/>
          <c:x val="0.6735079221333623"/>
          <c:y val="8.5501395120797172E-3"/>
          <c:w val="0.25449052494260843"/>
          <c:h val="6.139762575222247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0" i="0" baseline="0">
                <a:effectLst/>
              </a:rPr>
              <a:t>Median Weekly Rents by LGA - December 2016</a:t>
            </a:r>
            <a:endParaRPr lang="en-AU" sz="1400">
              <a:effectLst/>
            </a:endParaRPr>
          </a:p>
          <a:p>
            <a:pPr algn="l">
              <a:defRPr/>
            </a:pPr>
            <a:r>
              <a:rPr lang="en-AU" sz="1400" b="0" i="0" baseline="0">
                <a:effectLst/>
              </a:rPr>
              <a:t>Metropolitan Melbourne</a:t>
            </a:r>
          </a:p>
          <a:p>
            <a:pPr algn="l">
              <a:defRPr/>
            </a:pPr>
            <a:r>
              <a:rPr lang="en-AU" sz="1050" b="0" i="0" baseline="0">
                <a:effectLst/>
              </a:rPr>
              <a:t>Source: DHHS Quarterly Rental Report</a:t>
            </a:r>
            <a:endParaRPr lang="en-AU" sz="1050">
              <a:effectLst/>
            </a:endParaRPr>
          </a:p>
        </c:rich>
      </c:tx>
      <c:layout>
        <c:manualLayout>
          <c:xMode val="edge"/>
          <c:yMode val="edge"/>
          <c:x val="9.93755990366556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31355264146321"/>
          <c:y val="0.10919264297689778"/>
          <c:w val="0.71076433230548686"/>
          <c:h val="0.87679226698812562"/>
        </c:manualLayout>
      </c:layout>
      <c:barChart>
        <c:barDir val="bar"/>
        <c:grouping val="clustered"/>
        <c:varyColors val="0"/>
        <c:ser>
          <c:idx val="0"/>
          <c:order val="0"/>
          <c:tx>
            <c:strRef>
              <c:f>'Table 12 Rent Graphs'!$F$1</c:f>
              <c:strCache>
                <c:ptCount val="1"/>
                <c:pt idx="0">
                  <c:v>2 bedroom house</c:v>
                </c:pt>
              </c:strCache>
            </c:strRef>
          </c:tx>
          <c:spPr>
            <a:solidFill>
              <a:schemeClr val="accent1">
                <a:lumMod val="75000"/>
              </a:schemeClr>
            </a:solidFill>
            <a:ln>
              <a:noFill/>
            </a:ln>
            <a:effectLst/>
          </c:spPr>
          <c:invertIfNegative val="0"/>
          <c:cat>
            <c:strRef>
              <c:f>'Table 12 Rent Graphs'!$B$2:$B$44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12 Rent Graphs'!$F$2:$F$44</c:f>
              <c:numCache>
                <c:formatCode>"$"#,##0_);[Red]\("$"#,##0\)</c:formatCode>
                <c:ptCount val="43"/>
                <c:pt idx="1">
                  <c:v>495</c:v>
                </c:pt>
                <c:pt idx="2">
                  <c:v>575</c:v>
                </c:pt>
                <c:pt idx="3">
                  <c:v>550</c:v>
                </c:pt>
                <c:pt idx="6">
                  <c:v>330</c:v>
                </c:pt>
                <c:pt idx="7">
                  <c:v>375</c:v>
                </c:pt>
                <c:pt idx="8">
                  <c:v>350</c:v>
                </c:pt>
                <c:pt idx="9">
                  <c:v>370</c:v>
                </c:pt>
                <c:pt idx="10">
                  <c:v>380</c:v>
                </c:pt>
                <c:pt idx="11">
                  <c:v>320</c:v>
                </c:pt>
                <c:pt idx="14">
                  <c:v>450</c:v>
                </c:pt>
                <c:pt idx="15">
                  <c:v>470</c:v>
                </c:pt>
                <c:pt idx="16">
                  <c:v>450</c:v>
                </c:pt>
                <c:pt idx="17">
                  <c:v>550</c:v>
                </c:pt>
                <c:pt idx="20">
                  <c:v>330</c:v>
                </c:pt>
                <c:pt idx="21">
                  <c:v>400</c:v>
                </c:pt>
                <c:pt idx="22">
                  <c:v>310</c:v>
                </c:pt>
                <c:pt idx="23">
                  <c:v>250</c:v>
                </c:pt>
                <c:pt idx="24">
                  <c:v>410</c:v>
                </c:pt>
                <c:pt idx="25">
                  <c:v>340</c:v>
                </c:pt>
                <c:pt idx="26">
                  <c:v>310</c:v>
                </c:pt>
                <c:pt idx="29">
                  <c:v>290</c:v>
                </c:pt>
                <c:pt idx="30">
                  <c:v>300</c:v>
                </c:pt>
                <c:pt idx="31">
                  <c:v>300</c:v>
                </c:pt>
                <c:pt idx="32">
                  <c:v>320</c:v>
                </c:pt>
                <c:pt idx="33">
                  <c:v>385</c:v>
                </c:pt>
                <c:pt idx="34">
                  <c:v>300</c:v>
                </c:pt>
                <c:pt idx="37">
                  <c:v>300</c:v>
                </c:pt>
                <c:pt idx="38">
                  <c:v>390</c:v>
                </c:pt>
                <c:pt idx="39">
                  <c:v>400</c:v>
                </c:pt>
                <c:pt idx="40">
                  <c:v>320</c:v>
                </c:pt>
                <c:pt idx="41">
                  <c:v>430</c:v>
                </c:pt>
                <c:pt idx="42">
                  <c:v>290</c:v>
                </c:pt>
              </c:numCache>
            </c:numRef>
          </c:val>
        </c:ser>
        <c:ser>
          <c:idx val="1"/>
          <c:order val="1"/>
          <c:tx>
            <c:strRef>
              <c:f>'Table 12 Rent Graphs'!$G$1</c:f>
              <c:strCache>
                <c:ptCount val="1"/>
                <c:pt idx="0">
                  <c:v>3 bedroom house</c:v>
                </c:pt>
              </c:strCache>
            </c:strRef>
          </c:tx>
          <c:spPr>
            <a:solidFill>
              <a:srgbClr val="C00000"/>
            </a:solidFill>
            <a:ln>
              <a:noFill/>
            </a:ln>
            <a:effectLst/>
          </c:spPr>
          <c:invertIfNegative val="0"/>
          <c:cat>
            <c:strRef>
              <c:f>'Table 12 Rent Graphs'!$B$2:$B$44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12 Rent Graphs'!$G$2:$G$44</c:f>
              <c:numCache>
                <c:formatCode>"$"#,##0_);[Red]\("$"#,##0\)</c:formatCode>
                <c:ptCount val="43"/>
                <c:pt idx="1">
                  <c:v>650</c:v>
                </c:pt>
                <c:pt idx="2">
                  <c:v>750</c:v>
                </c:pt>
                <c:pt idx="3">
                  <c:v>660</c:v>
                </c:pt>
                <c:pt idx="6">
                  <c:v>390</c:v>
                </c:pt>
                <c:pt idx="7">
                  <c:v>440</c:v>
                </c:pt>
                <c:pt idx="8">
                  <c:v>390</c:v>
                </c:pt>
                <c:pt idx="9">
                  <c:v>429</c:v>
                </c:pt>
                <c:pt idx="10">
                  <c:v>420</c:v>
                </c:pt>
                <c:pt idx="11">
                  <c:v>370</c:v>
                </c:pt>
                <c:pt idx="14">
                  <c:v>678</c:v>
                </c:pt>
                <c:pt idx="15">
                  <c:v>600</c:v>
                </c:pt>
                <c:pt idx="16">
                  <c:v>550</c:v>
                </c:pt>
                <c:pt idx="17">
                  <c:v>743</c:v>
                </c:pt>
                <c:pt idx="20">
                  <c:v>390</c:v>
                </c:pt>
                <c:pt idx="21">
                  <c:v>438</c:v>
                </c:pt>
                <c:pt idx="22">
                  <c:v>335</c:v>
                </c:pt>
                <c:pt idx="23">
                  <c:v>298</c:v>
                </c:pt>
                <c:pt idx="24">
                  <c:v>440</c:v>
                </c:pt>
                <c:pt idx="25">
                  <c:v>360</c:v>
                </c:pt>
                <c:pt idx="26">
                  <c:v>340</c:v>
                </c:pt>
                <c:pt idx="29">
                  <c:v>330</c:v>
                </c:pt>
                <c:pt idx="30">
                  <c:v>350</c:v>
                </c:pt>
                <c:pt idx="31">
                  <c:v>350</c:v>
                </c:pt>
                <c:pt idx="32">
                  <c:v>350</c:v>
                </c:pt>
                <c:pt idx="33">
                  <c:v>443</c:v>
                </c:pt>
                <c:pt idx="34">
                  <c:v>355</c:v>
                </c:pt>
                <c:pt idx="37">
                  <c:v>330</c:v>
                </c:pt>
                <c:pt idx="38">
                  <c:v>400</c:v>
                </c:pt>
                <c:pt idx="39">
                  <c:v>430</c:v>
                </c:pt>
                <c:pt idx="40">
                  <c:v>320</c:v>
                </c:pt>
                <c:pt idx="41">
                  <c:v>450</c:v>
                </c:pt>
                <c:pt idx="42">
                  <c:v>320</c:v>
                </c:pt>
              </c:numCache>
            </c:numRef>
          </c:val>
        </c:ser>
        <c:ser>
          <c:idx val="2"/>
          <c:order val="2"/>
          <c:tx>
            <c:strRef>
              <c:f>'Table 12 Rent Graphs'!$H$1</c:f>
              <c:strCache>
                <c:ptCount val="1"/>
                <c:pt idx="0">
                  <c:v>4 bedroom house</c:v>
                </c:pt>
              </c:strCache>
            </c:strRef>
          </c:tx>
          <c:spPr>
            <a:solidFill>
              <a:schemeClr val="accent6">
                <a:lumMod val="75000"/>
              </a:schemeClr>
            </a:solidFill>
            <a:ln>
              <a:noFill/>
            </a:ln>
            <a:effectLst/>
          </c:spPr>
          <c:invertIfNegative val="0"/>
          <c:cat>
            <c:strRef>
              <c:f>'Table 12 Rent Graphs'!$B$2:$B$44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12 Rent Graphs'!$H$2:$H$44</c:f>
              <c:numCache>
                <c:formatCode>"$"#,##0_);[Red]\("$"#,##0\)</c:formatCode>
                <c:ptCount val="43"/>
                <c:pt idx="1">
                  <c:v>890</c:v>
                </c:pt>
                <c:pt idx="2">
                  <c:v>1050</c:v>
                </c:pt>
                <c:pt idx="3">
                  <c:v>605</c:v>
                </c:pt>
                <c:pt idx="6">
                  <c:v>470</c:v>
                </c:pt>
                <c:pt idx="7">
                  <c:v>550</c:v>
                </c:pt>
                <c:pt idx="8">
                  <c:v>493</c:v>
                </c:pt>
                <c:pt idx="9">
                  <c:v>520</c:v>
                </c:pt>
                <c:pt idx="10">
                  <c:v>540</c:v>
                </c:pt>
                <c:pt idx="11">
                  <c:v>450</c:v>
                </c:pt>
                <c:pt idx="14">
                  <c:v>980</c:v>
                </c:pt>
                <c:pt idx="15">
                  <c:v>890</c:v>
                </c:pt>
                <c:pt idx="16">
                  <c:v>750</c:v>
                </c:pt>
                <c:pt idx="17">
                  <c:v>925</c:v>
                </c:pt>
                <c:pt idx="20">
                  <c:v>460</c:v>
                </c:pt>
                <c:pt idx="21">
                  <c:v>550</c:v>
                </c:pt>
                <c:pt idx="22">
                  <c:v>385</c:v>
                </c:pt>
                <c:pt idx="23">
                  <c:v>330</c:v>
                </c:pt>
                <c:pt idx="24">
                  <c:v>555</c:v>
                </c:pt>
                <c:pt idx="25">
                  <c:v>370</c:v>
                </c:pt>
                <c:pt idx="26">
                  <c:v>380</c:v>
                </c:pt>
                <c:pt idx="29">
                  <c:v>370</c:v>
                </c:pt>
                <c:pt idx="30">
                  <c:v>400</c:v>
                </c:pt>
                <c:pt idx="31">
                  <c:v>440</c:v>
                </c:pt>
                <c:pt idx="32">
                  <c:v>430</c:v>
                </c:pt>
                <c:pt idx="33">
                  <c:v>550</c:v>
                </c:pt>
                <c:pt idx="34">
                  <c:v>460</c:v>
                </c:pt>
                <c:pt idx="37">
                  <c:v>380</c:v>
                </c:pt>
                <c:pt idx="38">
                  <c:v>500</c:v>
                </c:pt>
                <c:pt idx="39">
                  <c:v>500</c:v>
                </c:pt>
                <c:pt idx="40">
                  <c:v>365</c:v>
                </c:pt>
                <c:pt idx="41">
                  <c:v>600</c:v>
                </c:pt>
                <c:pt idx="42">
                  <c:v>375</c:v>
                </c:pt>
              </c:numCache>
            </c:numRef>
          </c:val>
        </c:ser>
        <c:dLbls>
          <c:showLegendKey val="0"/>
          <c:showVal val="0"/>
          <c:showCatName val="0"/>
          <c:showSerName val="0"/>
          <c:showPercent val="0"/>
          <c:showBubbleSize val="0"/>
        </c:dLbls>
        <c:gapWidth val="40"/>
        <c:axId val="206988704"/>
        <c:axId val="206989264"/>
      </c:barChart>
      <c:catAx>
        <c:axId val="20698870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9264"/>
        <c:crosses val="autoZero"/>
        <c:auto val="1"/>
        <c:lblAlgn val="ctr"/>
        <c:lblOffset val="100"/>
        <c:noMultiLvlLbl val="0"/>
      </c:catAx>
      <c:valAx>
        <c:axId val="206989264"/>
        <c:scaling>
          <c:orientation val="minMax"/>
        </c:scaling>
        <c:delete val="0"/>
        <c:axPos val="t"/>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8704"/>
        <c:crosses val="autoZero"/>
        <c:crossBetween val="between"/>
      </c:valAx>
      <c:spPr>
        <a:noFill/>
        <a:ln>
          <a:noFill/>
        </a:ln>
        <a:effectLst/>
      </c:spPr>
    </c:plotArea>
    <c:legend>
      <c:legendPos val="b"/>
      <c:layout>
        <c:manualLayout>
          <c:xMode val="edge"/>
          <c:yMode val="edge"/>
          <c:x val="0.72573818964448356"/>
          <c:y val="5.8310433479166019E-3"/>
          <c:w val="0.27329339604796454"/>
          <c:h val="6.955478393658988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0" i="0" baseline="0">
                <a:effectLst/>
              </a:rPr>
              <a:t>Median Weekly Rents by LGA - December 2016</a:t>
            </a:r>
            <a:endParaRPr lang="en-AU" sz="1400">
              <a:effectLst/>
            </a:endParaRPr>
          </a:p>
          <a:p>
            <a:pPr algn="l">
              <a:defRPr/>
            </a:pPr>
            <a:r>
              <a:rPr lang="en-AU" sz="1400" b="0" i="0" baseline="0">
                <a:effectLst/>
              </a:rPr>
              <a:t>Regional Victoria</a:t>
            </a:r>
          </a:p>
          <a:p>
            <a:pPr algn="l">
              <a:defRPr/>
            </a:pPr>
            <a:r>
              <a:rPr lang="en-AU" sz="1050" b="0" i="0" baseline="0">
                <a:effectLst/>
              </a:rPr>
              <a:t>Source: DHHS Quarterly Rental Report</a:t>
            </a:r>
            <a:endParaRPr lang="en-AU" sz="1050">
              <a:effectLst/>
            </a:endParaRPr>
          </a:p>
        </c:rich>
      </c:tx>
      <c:layout>
        <c:manualLayout>
          <c:xMode val="edge"/>
          <c:yMode val="edge"/>
          <c:x val="9.937559903665561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31355264146321"/>
          <c:y val="0.10919264297689778"/>
          <c:w val="0.71076433230548686"/>
          <c:h val="0.87679226698812562"/>
        </c:manualLayout>
      </c:layout>
      <c:barChart>
        <c:barDir val="bar"/>
        <c:grouping val="clustered"/>
        <c:varyColors val="0"/>
        <c:ser>
          <c:idx val="0"/>
          <c:order val="0"/>
          <c:tx>
            <c:strRef>
              <c:f>'Table 12 Rent Graphs'!$F$1</c:f>
              <c:strCache>
                <c:ptCount val="1"/>
                <c:pt idx="0">
                  <c:v>2 bedroom house</c:v>
                </c:pt>
              </c:strCache>
            </c:strRef>
          </c:tx>
          <c:spPr>
            <a:solidFill>
              <a:schemeClr val="accent5">
                <a:lumMod val="75000"/>
              </a:schemeClr>
            </a:solidFill>
            <a:ln>
              <a:noFill/>
            </a:ln>
            <a:effectLst/>
          </c:spPr>
          <c:invertIfNegative val="0"/>
          <c:cat>
            <c:strRef>
              <c:f>'Table 12 Rent Graphs'!$B$46:$B$97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12 Rent Graphs'!$F$46:$F$97</c:f>
              <c:numCache>
                <c:formatCode>"$"#,##0_);[Red]\("$"#,##0\)</c:formatCode>
                <c:ptCount val="52"/>
                <c:pt idx="1">
                  <c:v>240</c:v>
                </c:pt>
                <c:pt idx="2">
                  <c:v>250</c:v>
                </c:pt>
                <c:pt idx="3">
                  <c:v>290</c:v>
                </c:pt>
                <c:pt idx="4">
                  <c:v>240</c:v>
                </c:pt>
                <c:pt idx="5">
                  <c:v>185</c:v>
                </c:pt>
                <c:pt idx="6">
                  <c:v>190</c:v>
                </c:pt>
                <c:pt idx="7">
                  <c:v>230</c:v>
                </c:pt>
                <c:pt idx="8">
                  <c:v>234</c:v>
                </c:pt>
                <c:pt idx="9">
                  <c:v>260</c:v>
                </c:pt>
                <c:pt idx="10">
                  <c:v>250</c:v>
                </c:pt>
                <c:pt idx="13">
                  <c:v>225</c:v>
                </c:pt>
                <c:pt idx="14">
                  <c:v>250</c:v>
                </c:pt>
                <c:pt idx="16">
                  <c:v>300</c:v>
                </c:pt>
                <c:pt idx="17">
                  <c:v>240</c:v>
                </c:pt>
                <c:pt idx="18">
                  <c:v>250</c:v>
                </c:pt>
                <c:pt idx="20">
                  <c:v>200</c:v>
                </c:pt>
                <c:pt idx="21">
                  <c:v>270</c:v>
                </c:pt>
                <c:pt idx="24">
                  <c:v>245</c:v>
                </c:pt>
                <c:pt idx="25">
                  <c:v>215</c:v>
                </c:pt>
                <c:pt idx="26">
                  <c:v>220</c:v>
                </c:pt>
                <c:pt idx="28">
                  <c:v>200</c:v>
                </c:pt>
                <c:pt idx="29">
                  <c:v>195</c:v>
                </c:pt>
                <c:pt idx="30">
                  <c:v>230</c:v>
                </c:pt>
                <c:pt idx="31">
                  <c:v>230</c:v>
                </c:pt>
                <c:pt idx="32">
                  <c:v>238</c:v>
                </c:pt>
                <c:pt idx="34">
                  <c:v>210</c:v>
                </c:pt>
                <c:pt idx="35">
                  <c:v>300</c:v>
                </c:pt>
                <c:pt idx="37">
                  <c:v>270</c:v>
                </c:pt>
                <c:pt idx="40">
                  <c:v>200</c:v>
                </c:pt>
                <c:pt idx="41">
                  <c:v>280</c:v>
                </c:pt>
                <c:pt idx="42">
                  <c:v>280</c:v>
                </c:pt>
                <c:pt idx="43">
                  <c:v>200</c:v>
                </c:pt>
                <c:pt idx="44">
                  <c:v>210</c:v>
                </c:pt>
                <c:pt idx="45">
                  <c:v>200</c:v>
                </c:pt>
                <c:pt idx="46">
                  <c:v>200</c:v>
                </c:pt>
                <c:pt idx="47">
                  <c:v>210</c:v>
                </c:pt>
                <c:pt idx="49">
                  <c:v>220</c:v>
                </c:pt>
                <c:pt idx="51">
                  <c:v>140</c:v>
                </c:pt>
              </c:numCache>
            </c:numRef>
          </c:val>
        </c:ser>
        <c:ser>
          <c:idx val="1"/>
          <c:order val="1"/>
          <c:tx>
            <c:strRef>
              <c:f>'Table 12 Rent Graphs'!$G$1</c:f>
              <c:strCache>
                <c:ptCount val="1"/>
                <c:pt idx="0">
                  <c:v>3 bedroom house</c:v>
                </c:pt>
              </c:strCache>
            </c:strRef>
          </c:tx>
          <c:spPr>
            <a:solidFill>
              <a:srgbClr val="C00000"/>
            </a:solidFill>
            <a:ln>
              <a:noFill/>
            </a:ln>
            <a:effectLst/>
          </c:spPr>
          <c:invertIfNegative val="0"/>
          <c:cat>
            <c:strRef>
              <c:f>'Table 12 Rent Graphs'!$B$46:$B$97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12 Rent Graphs'!$G$46:$G$97</c:f>
              <c:numCache>
                <c:formatCode>"$"#,##0_);[Red]\("$"#,##0\)</c:formatCode>
                <c:ptCount val="52"/>
                <c:pt idx="1">
                  <c:v>280</c:v>
                </c:pt>
                <c:pt idx="2">
                  <c:v>290</c:v>
                </c:pt>
                <c:pt idx="3">
                  <c:v>330</c:v>
                </c:pt>
                <c:pt idx="4">
                  <c:v>270</c:v>
                </c:pt>
                <c:pt idx="5">
                  <c:v>260</c:v>
                </c:pt>
                <c:pt idx="6">
                  <c:v>250</c:v>
                </c:pt>
                <c:pt idx="7">
                  <c:v>280</c:v>
                </c:pt>
                <c:pt idx="8">
                  <c:v>275</c:v>
                </c:pt>
                <c:pt idx="9">
                  <c:v>310</c:v>
                </c:pt>
                <c:pt idx="10">
                  <c:v>300</c:v>
                </c:pt>
                <c:pt idx="13">
                  <c:v>270</c:v>
                </c:pt>
                <c:pt idx="14">
                  <c:v>300</c:v>
                </c:pt>
                <c:pt idx="15">
                  <c:v>318</c:v>
                </c:pt>
                <c:pt idx="16">
                  <c:v>365</c:v>
                </c:pt>
                <c:pt idx="17">
                  <c:v>300</c:v>
                </c:pt>
                <c:pt idx="18">
                  <c:v>270</c:v>
                </c:pt>
                <c:pt idx="20">
                  <c:v>250</c:v>
                </c:pt>
                <c:pt idx="21">
                  <c:v>400</c:v>
                </c:pt>
                <c:pt idx="24">
                  <c:v>265</c:v>
                </c:pt>
                <c:pt idx="25">
                  <c:v>250</c:v>
                </c:pt>
                <c:pt idx="26">
                  <c:v>260</c:v>
                </c:pt>
                <c:pt idx="27">
                  <c:v>190</c:v>
                </c:pt>
                <c:pt idx="28">
                  <c:v>270</c:v>
                </c:pt>
                <c:pt idx="29">
                  <c:v>230</c:v>
                </c:pt>
                <c:pt idx="30">
                  <c:v>280</c:v>
                </c:pt>
                <c:pt idx="31">
                  <c:v>240</c:v>
                </c:pt>
                <c:pt idx="32">
                  <c:v>280</c:v>
                </c:pt>
                <c:pt idx="33">
                  <c:v>200</c:v>
                </c:pt>
                <c:pt idx="34">
                  <c:v>210</c:v>
                </c:pt>
                <c:pt idx="35">
                  <c:v>318</c:v>
                </c:pt>
                <c:pt idx="36">
                  <c:v>170</c:v>
                </c:pt>
                <c:pt idx="37">
                  <c:v>273</c:v>
                </c:pt>
                <c:pt idx="38">
                  <c:v>200</c:v>
                </c:pt>
                <c:pt idx="39">
                  <c:v>290</c:v>
                </c:pt>
                <c:pt idx="40">
                  <c:v>260</c:v>
                </c:pt>
                <c:pt idx="41">
                  <c:v>310</c:v>
                </c:pt>
                <c:pt idx="42">
                  <c:v>280</c:v>
                </c:pt>
                <c:pt idx="43">
                  <c:v>230</c:v>
                </c:pt>
                <c:pt idx="44">
                  <c:v>255</c:v>
                </c:pt>
                <c:pt idx="45">
                  <c:v>230</c:v>
                </c:pt>
                <c:pt idx="46">
                  <c:v>285</c:v>
                </c:pt>
                <c:pt idx="47">
                  <c:v>240</c:v>
                </c:pt>
                <c:pt idx="48">
                  <c:v>250</c:v>
                </c:pt>
                <c:pt idx="49">
                  <c:v>260</c:v>
                </c:pt>
                <c:pt idx="51">
                  <c:v>180</c:v>
                </c:pt>
              </c:numCache>
            </c:numRef>
          </c:val>
        </c:ser>
        <c:ser>
          <c:idx val="2"/>
          <c:order val="2"/>
          <c:tx>
            <c:strRef>
              <c:f>'Table 12 Rent Graphs'!$H$1</c:f>
              <c:strCache>
                <c:ptCount val="1"/>
                <c:pt idx="0">
                  <c:v>4 bedroom house</c:v>
                </c:pt>
              </c:strCache>
            </c:strRef>
          </c:tx>
          <c:spPr>
            <a:solidFill>
              <a:schemeClr val="accent6">
                <a:lumMod val="75000"/>
              </a:schemeClr>
            </a:solidFill>
            <a:ln>
              <a:noFill/>
            </a:ln>
            <a:effectLst/>
          </c:spPr>
          <c:invertIfNegative val="0"/>
          <c:cat>
            <c:strRef>
              <c:f>'Table 12 Rent Graphs'!$B$46:$B$97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12 Rent Graphs'!$H$46:$H$97</c:f>
              <c:numCache>
                <c:formatCode>"$"#,##0_);[Red]\("$"#,##0\)</c:formatCode>
                <c:ptCount val="52"/>
                <c:pt idx="1">
                  <c:v>355</c:v>
                </c:pt>
                <c:pt idx="2">
                  <c:v>330</c:v>
                </c:pt>
                <c:pt idx="3">
                  <c:v>395</c:v>
                </c:pt>
                <c:pt idx="4">
                  <c:v>350</c:v>
                </c:pt>
                <c:pt idx="5">
                  <c:v>345</c:v>
                </c:pt>
                <c:pt idx="6">
                  <c:v>325</c:v>
                </c:pt>
                <c:pt idx="7">
                  <c:v>330</c:v>
                </c:pt>
                <c:pt idx="8">
                  <c:v>320</c:v>
                </c:pt>
                <c:pt idx="9">
                  <c:v>390</c:v>
                </c:pt>
                <c:pt idx="10">
                  <c:v>380</c:v>
                </c:pt>
                <c:pt idx="13">
                  <c:v>340</c:v>
                </c:pt>
                <c:pt idx="14">
                  <c:v>350</c:v>
                </c:pt>
                <c:pt idx="15">
                  <c:v>380</c:v>
                </c:pt>
                <c:pt idx="16">
                  <c:v>470</c:v>
                </c:pt>
                <c:pt idx="17">
                  <c:v>345</c:v>
                </c:pt>
                <c:pt idx="18">
                  <c:v>300</c:v>
                </c:pt>
                <c:pt idx="20">
                  <c:v>275</c:v>
                </c:pt>
                <c:pt idx="21">
                  <c:v>473</c:v>
                </c:pt>
                <c:pt idx="24">
                  <c:v>350</c:v>
                </c:pt>
                <c:pt idx="25">
                  <c:v>293</c:v>
                </c:pt>
                <c:pt idx="26">
                  <c:v>300</c:v>
                </c:pt>
                <c:pt idx="28">
                  <c:v>380</c:v>
                </c:pt>
                <c:pt idx="29">
                  <c:v>238</c:v>
                </c:pt>
                <c:pt idx="30">
                  <c:v>350</c:v>
                </c:pt>
                <c:pt idx="31">
                  <c:v>300</c:v>
                </c:pt>
                <c:pt idx="32">
                  <c:v>330</c:v>
                </c:pt>
                <c:pt idx="33">
                  <c:v>225</c:v>
                </c:pt>
                <c:pt idx="34">
                  <c:v>315</c:v>
                </c:pt>
                <c:pt idx="35">
                  <c:v>405</c:v>
                </c:pt>
                <c:pt idx="37">
                  <c:v>310</c:v>
                </c:pt>
                <c:pt idx="39">
                  <c:v>350</c:v>
                </c:pt>
                <c:pt idx="40">
                  <c:v>373</c:v>
                </c:pt>
                <c:pt idx="41">
                  <c:v>363</c:v>
                </c:pt>
                <c:pt idx="42">
                  <c:v>365</c:v>
                </c:pt>
                <c:pt idx="43">
                  <c:v>250</c:v>
                </c:pt>
                <c:pt idx="45">
                  <c:v>275</c:v>
                </c:pt>
                <c:pt idx="46">
                  <c:v>280</c:v>
                </c:pt>
                <c:pt idx="47">
                  <c:v>286</c:v>
                </c:pt>
                <c:pt idx="48">
                  <c:v>235</c:v>
                </c:pt>
                <c:pt idx="49">
                  <c:v>350</c:v>
                </c:pt>
              </c:numCache>
            </c:numRef>
          </c:val>
        </c:ser>
        <c:dLbls>
          <c:showLegendKey val="0"/>
          <c:showVal val="0"/>
          <c:showCatName val="0"/>
          <c:showSerName val="0"/>
          <c:showPercent val="0"/>
          <c:showBubbleSize val="0"/>
        </c:dLbls>
        <c:gapWidth val="40"/>
        <c:axId val="206992624"/>
        <c:axId val="206993184"/>
      </c:barChart>
      <c:catAx>
        <c:axId val="20699262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93184"/>
        <c:crosses val="autoZero"/>
        <c:auto val="1"/>
        <c:lblAlgn val="ctr"/>
        <c:lblOffset val="100"/>
        <c:noMultiLvlLbl val="0"/>
      </c:catAx>
      <c:valAx>
        <c:axId val="206993184"/>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92624"/>
        <c:crosses val="autoZero"/>
        <c:crossBetween val="between"/>
      </c:valAx>
      <c:spPr>
        <a:noFill/>
        <a:ln>
          <a:noFill/>
        </a:ln>
        <a:effectLst/>
      </c:spPr>
    </c:plotArea>
    <c:legend>
      <c:legendPos val="b"/>
      <c:layout>
        <c:manualLayout>
          <c:xMode val="edge"/>
          <c:yMode val="edge"/>
          <c:x val="0.72573818964448356"/>
          <c:y val="5.8310433479166019E-3"/>
          <c:w val="0.27329339604796454"/>
          <c:h val="6.955478393658988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Annual Population  Growth of Victoria by component </a:t>
            </a:r>
          </a:p>
          <a:p>
            <a:pPr>
              <a:defRPr/>
            </a:pPr>
            <a:r>
              <a:rPr lang="en-AU" sz="1000" baseline="0"/>
              <a:t>Source: ABS Demographic Series</a:t>
            </a:r>
            <a:endParaRPr lang="en-AU" sz="1000"/>
          </a:p>
        </c:rich>
      </c:tx>
      <c:layout>
        <c:manualLayout>
          <c:xMode val="edge"/>
          <c:yMode val="edge"/>
          <c:x val="0.209045056271103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7227209519354"/>
          <c:y val="0.14329284750337382"/>
          <c:w val="0.86626830915999498"/>
          <c:h val="0.72923501971160487"/>
        </c:manualLayout>
      </c:layout>
      <c:lineChart>
        <c:grouping val="standard"/>
        <c:varyColors val="0"/>
        <c:ser>
          <c:idx val="0"/>
          <c:order val="0"/>
          <c:tx>
            <c:strRef>
              <c:f>Sheet1!$R$4</c:f>
              <c:strCache>
                <c:ptCount val="1"/>
                <c:pt idx="0">
                  <c:v>Natural Increase</c:v>
                </c:pt>
              </c:strCache>
            </c:strRef>
          </c:tx>
          <c:spPr>
            <a:ln w="28575" cap="rnd">
              <a:solidFill>
                <a:srgbClr val="FF0000"/>
              </a:solidFill>
              <a:round/>
            </a:ln>
            <a:effectLst/>
          </c:spPr>
          <c:marker>
            <c:symbol val="none"/>
          </c:marker>
          <c:cat>
            <c:numRef>
              <c:f>Sheet1!$Q$5:$Q$143</c:f>
              <c:numCache>
                <c:formatCode>mmm\-yyyy</c:formatCode>
                <c:ptCount val="139"/>
                <c:pt idx="0">
                  <c:v>30011</c:v>
                </c:pt>
                <c:pt idx="1">
                  <c:v>30103</c:v>
                </c:pt>
                <c:pt idx="2">
                  <c:v>30195</c:v>
                </c:pt>
                <c:pt idx="3">
                  <c:v>30286</c:v>
                </c:pt>
                <c:pt idx="4">
                  <c:v>30376</c:v>
                </c:pt>
                <c:pt idx="5">
                  <c:v>30468</c:v>
                </c:pt>
                <c:pt idx="6">
                  <c:v>30560</c:v>
                </c:pt>
                <c:pt idx="7">
                  <c:v>30651</c:v>
                </c:pt>
                <c:pt idx="8">
                  <c:v>30742</c:v>
                </c:pt>
                <c:pt idx="9">
                  <c:v>30834</c:v>
                </c:pt>
                <c:pt idx="10">
                  <c:v>30926</c:v>
                </c:pt>
                <c:pt idx="11">
                  <c:v>31017</c:v>
                </c:pt>
                <c:pt idx="12">
                  <c:v>31107</c:v>
                </c:pt>
                <c:pt idx="13">
                  <c:v>31199</c:v>
                </c:pt>
                <c:pt idx="14">
                  <c:v>31291</c:v>
                </c:pt>
                <c:pt idx="15">
                  <c:v>31382</c:v>
                </c:pt>
                <c:pt idx="16">
                  <c:v>31472</c:v>
                </c:pt>
                <c:pt idx="17">
                  <c:v>31564</c:v>
                </c:pt>
                <c:pt idx="18">
                  <c:v>31656</c:v>
                </c:pt>
                <c:pt idx="19">
                  <c:v>31747</c:v>
                </c:pt>
                <c:pt idx="20">
                  <c:v>31837</c:v>
                </c:pt>
                <c:pt idx="21">
                  <c:v>31929</c:v>
                </c:pt>
                <c:pt idx="22">
                  <c:v>32021</c:v>
                </c:pt>
                <c:pt idx="23">
                  <c:v>32112</c:v>
                </c:pt>
                <c:pt idx="24">
                  <c:v>32203</c:v>
                </c:pt>
                <c:pt idx="25">
                  <c:v>32295</c:v>
                </c:pt>
                <c:pt idx="26">
                  <c:v>32387</c:v>
                </c:pt>
                <c:pt idx="27">
                  <c:v>32478</c:v>
                </c:pt>
                <c:pt idx="28">
                  <c:v>32568</c:v>
                </c:pt>
                <c:pt idx="29">
                  <c:v>32660</c:v>
                </c:pt>
                <c:pt idx="30">
                  <c:v>32752</c:v>
                </c:pt>
                <c:pt idx="31">
                  <c:v>32843</c:v>
                </c:pt>
                <c:pt idx="32">
                  <c:v>32933</c:v>
                </c:pt>
                <c:pt idx="33">
                  <c:v>33025</c:v>
                </c:pt>
                <c:pt idx="34">
                  <c:v>33117</c:v>
                </c:pt>
                <c:pt idx="35">
                  <c:v>33208</c:v>
                </c:pt>
                <c:pt idx="36">
                  <c:v>33298</c:v>
                </c:pt>
                <c:pt idx="37">
                  <c:v>33390</c:v>
                </c:pt>
                <c:pt idx="38">
                  <c:v>33482</c:v>
                </c:pt>
                <c:pt idx="39">
                  <c:v>33573</c:v>
                </c:pt>
                <c:pt idx="40">
                  <c:v>33664</c:v>
                </c:pt>
                <c:pt idx="41">
                  <c:v>33756</c:v>
                </c:pt>
                <c:pt idx="42">
                  <c:v>33848</c:v>
                </c:pt>
                <c:pt idx="43">
                  <c:v>33939</c:v>
                </c:pt>
                <c:pt idx="44">
                  <c:v>34029</c:v>
                </c:pt>
                <c:pt idx="45">
                  <c:v>34121</c:v>
                </c:pt>
                <c:pt idx="46">
                  <c:v>34213</c:v>
                </c:pt>
                <c:pt idx="47">
                  <c:v>34304</c:v>
                </c:pt>
                <c:pt idx="48">
                  <c:v>34394</c:v>
                </c:pt>
                <c:pt idx="49">
                  <c:v>34486</c:v>
                </c:pt>
                <c:pt idx="50">
                  <c:v>34578</c:v>
                </c:pt>
                <c:pt idx="51">
                  <c:v>34669</c:v>
                </c:pt>
                <c:pt idx="52">
                  <c:v>34759</c:v>
                </c:pt>
                <c:pt idx="53">
                  <c:v>34851</c:v>
                </c:pt>
                <c:pt idx="54">
                  <c:v>34943</c:v>
                </c:pt>
                <c:pt idx="55">
                  <c:v>35034</c:v>
                </c:pt>
                <c:pt idx="56">
                  <c:v>35125</c:v>
                </c:pt>
                <c:pt idx="57">
                  <c:v>35217</c:v>
                </c:pt>
                <c:pt idx="58">
                  <c:v>35309</c:v>
                </c:pt>
                <c:pt idx="59">
                  <c:v>35400</c:v>
                </c:pt>
                <c:pt idx="60">
                  <c:v>35490</c:v>
                </c:pt>
                <c:pt idx="61">
                  <c:v>35582</c:v>
                </c:pt>
                <c:pt idx="62">
                  <c:v>35674</c:v>
                </c:pt>
                <c:pt idx="63">
                  <c:v>35765</c:v>
                </c:pt>
                <c:pt idx="64">
                  <c:v>35855</c:v>
                </c:pt>
                <c:pt idx="65">
                  <c:v>35947</c:v>
                </c:pt>
                <c:pt idx="66">
                  <c:v>36039</c:v>
                </c:pt>
                <c:pt idx="67">
                  <c:v>36130</c:v>
                </c:pt>
                <c:pt idx="68">
                  <c:v>36220</c:v>
                </c:pt>
                <c:pt idx="69">
                  <c:v>36312</c:v>
                </c:pt>
                <c:pt idx="70">
                  <c:v>36404</c:v>
                </c:pt>
                <c:pt idx="71">
                  <c:v>36495</c:v>
                </c:pt>
                <c:pt idx="72">
                  <c:v>36586</c:v>
                </c:pt>
                <c:pt idx="73">
                  <c:v>36678</c:v>
                </c:pt>
                <c:pt idx="74">
                  <c:v>36770</c:v>
                </c:pt>
                <c:pt idx="75">
                  <c:v>36861</c:v>
                </c:pt>
                <c:pt idx="76">
                  <c:v>36951</c:v>
                </c:pt>
                <c:pt idx="77">
                  <c:v>37043</c:v>
                </c:pt>
                <c:pt idx="78">
                  <c:v>37135</c:v>
                </c:pt>
                <c:pt idx="79">
                  <c:v>37226</c:v>
                </c:pt>
                <c:pt idx="80">
                  <c:v>37316</c:v>
                </c:pt>
                <c:pt idx="81">
                  <c:v>37408</c:v>
                </c:pt>
                <c:pt idx="82">
                  <c:v>37500</c:v>
                </c:pt>
                <c:pt idx="83">
                  <c:v>37591</c:v>
                </c:pt>
                <c:pt idx="84">
                  <c:v>37681</c:v>
                </c:pt>
                <c:pt idx="85">
                  <c:v>37773</c:v>
                </c:pt>
                <c:pt idx="86">
                  <c:v>37865</c:v>
                </c:pt>
                <c:pt idx="87">
                  <c:v>37956</c:v>
                </c:pt>
                <c:pt idx="88">
                  <c:v>38047</c:v>
                </c:pt>
                <c:pt idx="89">
                  <c:v>38139</c:v>
                </c:pt>
                <c:pt idx="90">
                  <c:v>38231</c:v>
                </c:pt>
                <c:pt idx="91">
                  <c:v>38322</c:v>
                </c:pt>
                <c:pt idx="92">
                  <c:v>38412</c:v>
                </c:pt>
                <c:pt idx="93">
                  <c:v>38504</c:v>
                </c:pt>
                <c:pt idx="94">
                  <c:v>38596</c:v>
                </c:pt>
                <c:pt idx="95">
                  <c:v>38687</c:v>
                </c:pt>
                <c:pt idx="96">
                  <c:v>38777</c:v>
                </c:pt>
                <c:pt idx="97">
                  <c:v>38869</c:v>
                </c:pt>
                <c:pt idx="98">
                  <c:v>38961</c:v>
                </c:pt>
                <c:pt idx="99">
                  <c:v>39052</c:v>
                </c:pt>
                <c:pt idx="100">
                  <c:v>39142</c:v>
                </c:pt>
                <c:pt idx="101">
                  <c:v>39234</c:v>
                </c:pt>
                <c:pt idx="102">
                  <c:v>39326</c:v>
                </c:pt>
                <c:pt idx="103">
                  <c:v>39417</c:v>
                </c:pt>
                <c:pt idx="104">
                  <c:v>39508</c:v>
                </c:pt>
                <c:pt idx="105">
                  <c:v>39600</c:v>
                </c:pt>
                <c:pt idx="106">
                  <c:v>39692</c:v>
                </c:pt>
                <c:pt idx="107">
                  <c:v>39783</c:v>
                </c:pt>
                <c:pt idx="108">
                  <c:v>39873</c:v>
                </c:pt>
                <c:pt idx="109">
                  <c:v>39965</c:v>
                </c:pt>
                <c:pt idx="110">
                  <c:v>40057</c:v>
                </c:pt>
                <c:pt idx="111">
                  <c:v>40148</c:v>
                </c:pt>
                <c:pt idx="112">
                  <c:v>40238</c:v>
                </c:pt>
                <c:pt idx="113">
                  <c:v>40330</c:v>
                </c:pt>
                <c:pt idx="114">
                  <c:v>40422</c:v>
                </c:pt>
                <c:pt idx="115">
                  <c:v>40513</c:v>
                </c:pt>
                <c:pt idx="116">
                  <c:v>40603</c:v>
                </c:pt>
                <c:pt idx="117">
                  <c:v>40695</c:v>
                </c:pt>
                <c:pt idx="118">
                  <c:v>40787</c:v>
                </c:pt>
                <c:pt idx="119">
                  <c:v>40878</c:v>
                </c:pt>
                <c:pt idx="120">
                  <c:v>40969</c:v>
                </c:pt>
                <c:pt idx="121">
                  <c:v>41061</c:v>
                </c:pt>
                <c:pt idx="122">
                  <c:v>41153</c:v>
                </c:pt>
                <c:pt idx="123">
                  <c:v>41244</c:v>
                </c:pt>
                <c:pt idx="124">
                  <c:v>41334</c:v>
                </c:pt>
                <c:pt idx="125">
                  <c:v>41426</c:v>
                </c:pt>
                <c:pt idx="126">
                  <c:v>41518</c:v>
                </c:pt>
                <c:pt idx="127">
                  <c:v>41609</c:v>
                </c:pt>
                <c:pt idx="128">
                  <c:v>41699</c:v>
                </c:pt>
                <c:pt idx="129">
                  <c:v>41791</c:v>
                </c:pt>
                <c:pt idx="130">
                  <c:v>41883</c:v>
                </c:pt>
                <c:pt idx="131">
                  <c:v>41974</c:v>
                </c:pt>
                <c:pt idx="132">
                  <c:v>42064</c:v>
                </c:pt>
                <c:pt idx="133">
                  <c:v>42156</c:v>
                </c:pt>
                <c:pt idx="134">
                  <c:v>42248</c:v>
                </c:pt>
                <c:pt idx="135">
                  <c:v>42339</c:v>
                </c:pt>
                <c:pt idx="136">
                  <c:v>42430</c:v>
                </c:pt>
                <c:pt idx="137">
                  <c:v>42522</c:v>
                </c:pt>
                <c:pt idx="138">
                  <c:v>42614</c:v>
                </c:pt>
              </c:numCache>
            </c:numRef>
          </c:cat>
          <c:val>
            <c:numRef>
              <c:f>Sheet1!$R$5:$R$143</c:f>
              <c:numCache>
                <c:formatCode>_-* #,##0_-;\-* #,##0_-;_-* "-"??_-;_-@_-</c:formatCode>
                <c:ptCount val="139"/>
                <c:pt idx="0">
                  <c:v>30338</c:v>
                </c:pt>
                <c:pt idx="1">
                  <c:v>30346</c:v>
                </c:pt>
                <c:pt idx="2">
                  <c:v>28801</c:v>
                </c:pt>
                <c:pt idx="3">
                  <c:v>29182</c:v>
                </c:pt>
                <c:pt idx="4">
                  <c:v>28772</c:v>
                </c:pt>
                <c:pt idx="5">
                  <c:v>29378</c:v>
                </c:pt>
                <c:pt idx="6">
                  <c:v>30909</c:v>
                </c:pt>
                <c:pt idx="7">
                  <c:v>30563</c:v>
                </c:pt>
                <c:pt idx="8">
                  <c:v>31023</c:v>
                </c:pt>
                <c:pt idx="9">
                  <c:v>30596</c:v>
                </c:pt>
                <c:pt idx="10">
                  <c:v>29781</c:v>
                </c:pt>
                <c:pt idx="11">
                  <c:v>29964</c:v>
                </c:pt>
                <c:pt idx="12">
                  <c:v>29881</c:v>
                </c:pt>
                <c:pt idx="13">
                  <c:v>30269</c:v>
                </c:pt>
                <c:pt idx="14">
                  <c:v>29990</c:v>
                </c:pt>
                <c:pt idx="15">
                  <c:v>30191</c:v>
                </c:pt>
                <c:pt idx="16">
                  <c:v>29163</c:v>
                </c:pt>
                <c:pt idx="17">
                  <c:v>29094</c:v>
                </c:pt>
                <c:pt idx="18">
                  <c:v>30067</c:v>
                </c:pt>
                <c:pt idx="19">
                  <c:v>29987</c:v>
                </c:pt>
                <c:pt idx="20">
                  <c:v>30592</c:v>
                </c:pt>
                <c:pt idx="21">
                  <c:v>30556</c:v>
                </c:pt>
                <c:pt idx="22">
                  <c:v>30456</c:v>
                </c:pt>
                <c:pt idx="23">
                  <c:v>29958</c:v>
                </c:pt>
                <c:pt idx="24">
                  <c:v>30216</c:v>
                </c:pt>
                <c:pt idx="25">
                  <c:v>30585</c:v>
                </c:pt>
                <c:pt idx="26">
                  <c:v>30720</c:v>
                </c:pt>
                <c:pt idx="27">
                  <c:v>31408</c:v>
                </c:pt>
                <c:pt idx="28">
                  <c:v>31958</c:v>
                </c:pt>
                <c:pt idx="29">
                  <c:v>31613</c:v>
                </c:pt>
                <c:pt idx="30">
                  <c:v>31477</c:v>
                </c:pt>
                <c:pt idx="31">
                  <c:v>31623</c:v>
                </c:pt>
                <c:pt idx="32">
                  <c:v>32377</c:v>
                </c:pt>
                <c:pt idx="33">
                  <c:v>33692</c:v>
                </c:pt>
                <c:pt idx="34">
                  <c:v>35048</c:v>
                </c:pt>
                <c:pt idx="35">
                  <c:v>35984</c:v>
                </c:pt>
                <c:pt idx="36">
                  <c:v>35532</c:v>
                </c:pt>
                <c:pt idx="37">
                  <c:v>34950</c:v>
                </c:pt>
                <c:pt idx="38">
                  <c:v>34409</c:v>
                </c:pt>
                <c:pt idx="39">
                  <c:v>34100</c:v>
                </c:pt>
                <c:pt idx="40">
                  <c:v>34127</c:v>
                </c:pt>
                <c:pt idx="41">
                  <c:v>33519</c:v>
                </c:pt>
                <c:pt idx="42">
                  <c:v>33814</c:v>
                </c:pt>
                <c:pt idx="43">
                  <c:v>33819</c:v>
                </c:pt>
                <c:pt idx="44">
                  <c:v>33472</c:v>
                </c:pt>
                <c:pt idx="45">
                  <c:v>33681</c:v>
                </c:pt>
                <c:pt idx="46">
                  <c:v>33187</c:v>
                </c:pt>
                <c:pt idx="47">
                  <c:v>33017</c:v>
                </c:pt>
                <c:pt idx="48">
                  <c:v>33029</c:v>
                </c:pt>
                <c:pt idx="49">
                  <c:v>32578</c:v>
                </c:pt>
                <c:pt idx="50">
                  <c:v>31803</c:v>
                </c:pt>
                <c:pt idx="51">
                  <c:v>31786</c:v>
                </c:pt>
                <c:pt idx="52">
                  <c:v>31464</c:v>
                </c:pt>
                <c:pt idx="53">
                  <c:v>31348</c:v>
                </c:pt>
                <c:pt idx="54">
                  <c:v>31263</c:v>
                </c:pt>
                <c:pt idx="55">
                  <c:v>30195</c:v>
                </c:pt>
                <c:pt idx="56">
                  <c:v>29344</c:v>
                </c:pt>
                <c:pt idx="57">
                  <c:v>28500</c:v>
                </c:pt>
                <c:pt idx="58">
                  <c:v>28233</c:v>
                </c:pt>
                <c:pt idx="59">
                  <c:v>28735</c:v>
                </c:pt>
                <c:pt idx="60">
                  <c:v>28540</c:v>
                </c:pt>
                <c:pt idx="61">
                  <c:v>28663</c:v>
                </c:pt>
                <c:pt idx="62">
                  <c:v>28150</c:v>
                </c:pt>
                <c:pt idx="63">
                  <c:v>27852</c:v>
                </c:pt>
                <c:pt idx="64">
                  <c:v>27790</c:v>
                </c:pt>
                <c:pt idx="65">
                  <c:v>27722</c:v>
                </c:pt>
                <c:pt idx="66">
                  <c:v>27842</c:v>
                </c:pt>
                <c:pt idx="67">
                  <c:v>27194</c:v>
                </c:pt>
                <c:pt idx="68">
                  <c:v>27466</c:v>
                </c:pt>
                <c:pt idx="69">
                  <c:v>27077</c:v>
                </c:pt>
                <c:pt idx="70">
                  <c:v>27883</c:v>
                </c:pt>
                <c:pt idx="71">
                  <c:v>28081</c:v>
                </c:pt>
                <c:pt idx="72">
                  <c:v>27678</c:v>
                </c:pt>
                <c:pt idx="73">
                  <c:v>27742</c:v>
                </c:pt>
                <c:pt idx="74">
                  <c:v>26964</c:v>
                </c:pt>
                <c:pt idx="75">
                  <c:v>26749</c:v>
                </c:pt>
                <c:pt idx="76">
                  <c:v>26304</c:v>
                </c:pt>
                <c:pt idx="77">
                  <c:v>26436</c:v>
                </c:pt>
                <c:pt idx="78">
                  <c:v>27224</c:v>
                </c:pt>
                <c:pt idx="79">
                  <c:v>27131</c:v>
                </c:pt>
                <c:pt idx="80">
                  <c:v>27686</c:v>
                </c:pt>
                <c:pt idx="81">
                  <c:v>27782</c:v>
                </c:pt>
                <c:pt idx="82">
                  <c:v>26984</c:v>
                </c:pt>
                <c:pt idx="83">
                  <c:v>27340</c:v>
                </c:pt>
                <c:pt idx="84">
                  <c:v>27221</c:v>
                </c:pt>
                <c:pt idx="85">
                  <c:v>27145</c:v>
                </c:pt>
                <c:pt idx="86">
                  <c:v>27548</c:v>
                </c:pt>
                <c:pt idx="87">
                  <c:v>27883</c:v>
                </c:pt>
                <c:pt idx="88">
                  <c:v>28377</c:v>
                </c:pt>
                <c:pt idx="89">
                  <c:v>28351</c:v>
                </c:pt>
                <c:pt idx="90">
                  <c:v>28964</c:v>
                </c:pt>
                <c:pt idx="91">
                  <c:v>28744</c:v>
                </c:pt>
                <c:pt idx="92">
                  <c:v>28863</c:v>
                </c:pt>
                <c:pt idx="93">
                  <c:v>29908</c:v>
                </c:pt>
                <c:pt idx="94">
                  <c:v>29837</c:v>
                </c:pt>
                <c:pt idx="95">
                  <c:v>30543</c:v>
                </c:pt>
                <c:pt idx="96">
                  <c:v>31003</c:v>
                </c:pt>
                <c:pt idx="97">
                  <c:v>30707</c:v>
                </c:pt>
                <c:pt idx="98">
                  <c:v>32085</c:v>
                </c:pt>
                <c:pt idx="99">
                  <c:v>32758</c:v>
                </c:pt>
                <c:pt idx="100">
                  <c:v>33880</c:v>
                </c:pt>
                <c:pt idx="101">
                  <c:v>34793</c:v>
                </c:pt>
                <c:pt idx="102">
                  <c:v>34911</c:v>
                </c:pt>
                <c:pt idx="103">
                  <c:v>35395</c:v>
                </c:pt>
                <c:pt idx="104">
                  <c:v>35389</c:v>
                </c:pt>
                <c:pt idx="105">
                  <c:v>35318</c:v>
                </c:pt>
                <c:pt idx="106">
                  <c:v>35109</c:v>
                </c:pt>
                <c:pt idx="107">
                  <c:v>35212</c:v>
                </c:pt>
                <c:pt idx="108">
                  <c:v>34582</c:v>
                </c:pt>
                <c:pt idx="109">
                  <c:v>35194</c:v>
                </c:pt>
                <c:pt idx="110">
                  <c:v>35635</c:v>
                </c:pt>
                <c:pt idx="111">
                  <c:v>36413</c:v>
                </c:pt>
                <c:pt idx="112">
                  <c:v>37592</c:v>
                </c:pt>
                <c:pt idx="113">
                  <c:v>37664</c:v>
                </c:pt>
                <c:pt idx="114">
                  <c:v>37426</c:v>
                </c:pt>
                <c:pt idx="115">
                  <c:v>36168</c:v>
                </c:pt>
                <c:pt idx="116">
                  <c:v>35474</c:v>
                </c:pt>
                <c:pt idx="117">
                  <c:v>35172</c:v>
                </c:pt>
                <c:pt idx="118">
                  <c:v>35613</c:v>
                </c:pt>
                <c:pt idx="119">
                  <c:v>36594</c:v>
                </c:pt>
                <c:pt idx="120">
                  <c:v>37683</c:v>
                </c:pt>
                <c:pt idx="121">
                  <c:v>38850</c:v>
                </c:pt>
                <c:pt idx="122">
                  <c:v>38799</c:v>
                </c:pt>
                <c:pt idx="123">
                  <c:v>39763</c:v>
                </c:pt>
                <c:pt idx="124">
                  <c:v>39850</c:v>
                </c:pt>
                <c:pt idx="125">
                  <c:v>39954</c:v>
                </c:pt>
                <c:pt idx="126">
                  <c:v>40452</c:v>
                </c:pt>
                <c:pt idx="127">
                  <c:v>39622</c:v>
                </c:pt>
                <c:pt idx="128">
                  <c:v>39723</c:v>
                </c:pt>
                <c:pt idx="129">
                  <c:v>39219</c:v>
                </c:pt>
                <c:pt idx="130">
                  <c:v>39006</c:v>
                </c:pt>
                <c:pt idx="131">
                  <c:v>39357</c:v>
                </c:pt>
                <c:pt idx="132">
                  <c:v>38860</c:v>
                </c:pt>
                <c:pt idx="133">
                  <c:v>38143</c:v>
                </c:pt>
                <c:pt idx="134">
                  <c:v>35748</c:v>
                </c:pt>
                <c:pt idx="135">
                  <c:v>33153</c:v>
                </c:pt>
                <c:pt idx="136">
                  <c:v>35120</c:v>
                </c:pt>
                <c:pt idx="137">
                  <c:v>41425</c:v>
                </c:pt>
                <c:pt idx="138">
                  <c:v>41700</c:v>
                </c:pt>
              </c:numCache>
            </c:numRef>
          </c:val>
          <c:smooth val="0"/>
        </c:ser>
        <c:ser>
          <c:idx val="1"/>
          <c:order val="1"/>
          <c:tx>
            <c:strRef>
              <c:f>Sheet1!$S$4</c:f>
              <c:strCache>
                <c:ptCount val="1"/>
                <c:pt idx="0">
                  <c:v>Net Overseas Migration</c:v>
                </c:pt>
              </c:strCache>
            </c:strRef>
          </c:tx>
          <c:spPr>
            <a:ln w="28575" cap="rnd">
              <a:solidFill>
                <a:schemeClr val="accent4"/>
              </a:solidFill>
              <a:round/>
            </a:ln>
            <a:effectLst/>
          </c:spPr>
          <c:marker>
            <c:symbol val="none"/>
          </c:marker>
          <c:cat>
            <c:numRef>
              <c:f>Sheet1!$Q$5:$Q$143</c:f>
              <c:numCache>
                <c:formatCode>mmm\-yyyy</c:formatCode>
                <c:ptCount val="139"/>
                <c:pt idx="0">
                  <c:v>30011</c:v>
                </c:pt>
                <c:pt idx="1">
                  <c:v>30103</c:v>
                </c:pt>
                <c:pt idx="2">
                  <c:v>30195</c:v>
                </c:pt>
                <c:pt idx="3">
                  <c:v>30286</c:v>
                </c:pt>
                <c:pt idx="4">
                  <c:v>30376</c:v>
                </c:pt>
                <c:pt idx="5">
                  <c:v>30468</c:v>
                </c:pt>
                <c:pt idx="6">
                  <c:v>30560</c:v>
                </c:pt>
                <c:pt idx="7">
                  <c:v>30651</c:v>
                </c:pt>
                <c:pt idx="8">
                  <c:v>30742</c:v>
                </c:pt>
                <c:pt idx="9">
                  <c:v>30834</c:v>
                </c:pt>
                <c:pt idx="10">
                  <c:v>30926</c:v>
                </c:pt>
                <c:pt idx="11">
                  <c:v>31017</c:v>
                </c:pt>
                <c:pt idx="12">
                  <c:v>31107</c:v>
                </c:pt>
                <c:pt idx="13">
                  <c:v>31199</c:v>
                </c:pt>
                <c:pt idx="14">
                  <c:v>31291</c:v>
                </c:pt>
                <c:pt idx="15">
                  <c:v>31382</c:v>
                </c:pt>
                <c:pt idx="16">
                  <c:v>31472</c:v>
                </c:pt>
                <c:pt idx="17">
                  <c:v>31564</c:v>
                </c:pt>
                <c:pt idx="18">
                  <c:v>31656</c:v>
                </c:pt>
                <c:pt idx="19">
                  <c:v>31747</c:v>
                </c:pt>
                <c:pt idx="20">
                  <c:v>31837</c:v>
                </c:pt>
                <c:pt idx="21">
                  <c:v>31929</c:v>
                </c:pt>
                <c:pt idx="22">
                  <c:v>32021</c:v>
                </c:pt>
                <c:pt idx="23">
                  <c:v>32112</c:v>
                </c:pt>
                <c:pt idx="24">
                  <c:v>32203</c:v>
                </c:pt>
                <c:pt idx="25">
                  <c:v>32295</c:v>
                </c:pt>
                <c:pt idx="26">
                  <c:v>32387</c:v>
                </c:pt>
                <c:pt idx="27">
                  <c:v>32478</c:v>
                </c:pt>
                <c:pt idx="28">
                  <c:v>32568</c:v>
                </c:pt>
                <c:pt idx="29">
                  <c:v>32660</c:v>
                </c:pt>
                <c:pt idx="30">
                  <c:v>32752</c:v>
                </c:pt>
                <c:pt idx="31">
                  <c:v>32843</c:v>
                </c:pt>
                <c:pt idx="32">
                  <c:v>32933</c:v>
                </c:pt>
                <c:pt idx="33">
                  <c:v>33025</c:v>
                </c:pt>
                <c:pt idx="34">
                  <c:v>33117</c:v>
                </c:pt>
                <c:pt idx="35">
                  <c:v>33208</c:v>
                </c:pt>
                <c:pt idx="36">
                  <c:v>33298</c:v>
                </c:pt>
                <c:pt idx="37">
                  <c:v>33390</c:v>
                </c:pt>
                <c:pt idx="38">
                  <c:v>33482</c:v>
                </c:pt>
                <c:pt idx="39">
                  <c:v>33573</c:v>
                </c:pt>
                <c:pt idx="40">
                  <c:v>33664</c:v>
                </c:pt>
                <c:pt idx="41">
                  <c:v>33756</c:v>
                </c:pt>
                <c:pt idx="42">
                  <c:v>33848</c:v>
                </c:pt>
                <c:pt idx="43">
                  <c:v>33939</c:v>
                </c:pt>
                <c:pt idx="44">
                  <c:v>34029</c:v>
                </c:pt>
                <c:pt idx="45">
                  <c:v>34121</c:v>
                </c:pt>
                <c:pt idx="46">
                  <c:v>34213</c:v>
                </c:pt>
                <c:pt idx="47">
                  <c:v>34304</c:v>
                </c:pt>
                <c:pt idx="48">
                  <c:v>34394</c:v>
                </c:pt>
                <c:pt idx="49">
                  <c:v>34486</c:v>
                </c:pt>
                <c:pt idx="50">
                  <c:v>34578</c:v>
                </c:pt>
                <c:pt idx="51">
                  <c:v>34669</c:v>
                </c:pt>
                <c:pt idx="52">
                  <c:v>34759</c:v>
                </c:pt>
                <c:pt idx="53">
                  <c:v>34851</c:v>
                </c:pt>
                <c:pt idx="54">
                  <c:v>34943</c:v>
                </c:pt>
                <c:pt idx="55">
                  <c:v>35034</c:v>
                </c:pt>
                <c:pt idx="56">
                  <c:v>35125</c:v>
                </c:pt>
                <c:pt idx="57">
                  <c:v>35217</c:v>
                </c:pt>
                <c:pt idx="58">
                  <c:v>35309</c:v>
                </c:pt>
                <c:pt idx="59">
                  <c:v>35400</c:v>
                </c:pt>
                <c:pt idx="60">
                  <c:v>35490</c:v>
                </c:pt>
                <c:pt idx="61">
                  <c:v>35582</c:v>
                </c:pt>
                <c:pt idx="62">
                  <c:v>35674</c:v>
                </c:pt>
                <c:pt idx="63">
                  <c:v>35765</c:v>
                </c:pt>
                <c:pt idx="64">
                  <c:v>35855</c:v>
                </c:pt>
                <c:pt idx="65">
                  <c:v>35947</c:v>
                </c:pt>
                <c:pt idx="66">
                  <c:v>36039</c:v>
                </c:pt>
                <c:pt idx="67">
                  <c:v>36130</c:v>
                </c:pt>
                <c:pt idx="68">
                  <c:v>36220</c:v>
                </c:pt>
                <c:pt idx="69">
                  <c:v>36312</c:v>
                </c:pt>
                <c:pt idx="70">
                  <c:v>36404</c:v>
                </c:pt>
                <c:pt idx="71">
                  <c:v>36495</c:v>
                </c:pt>
                <c:pt idx="72">
                  <c:v>36586</c:v>
                </c:pt>
                <c:pt idx="73">
                  <c:v>36678</c:v>
                </c:pt>
                <c:pt idx="74">
                  <c:v>36770</c:v>
                </c:pt>
                <c:pt idx="75">
                  <c:v>36861</c:v>
                </c:pt>
                <c:pt idx="76">
                  <c:v>36951</c:v>
                </c:pt>
                <c:pt idx="77">
                  <c:v>37043</c:v>
                </c:pt>
                <c:pt idx="78">
                  <c:v>37135</c:v>
                </c:pt>
                <c:pt idx="79">
                  <c:v>37226</c:v>
                </c:pt>
                <c:pt idx="80">
                  <c:v>37316</c:v>
                </c:pt>
                <c:pt idx="81">
                  <c:v>37408</c:v>
                </c:pt>
                <c:pt idx="82">
                  <c:v>37500</c:v>
                </c:pt>
                <c:pt idx="83">
                  <c:v>37591</c:v>
                </c:pt>
                <c:pt idx="84">
                  <c:v>37681</c:v>
                </c:pt>
                <c:pt idx="85">
                  <c:v>37773</c:v>
                </c:pt>
                <c:pt idx="86">
                  <c:v>37865</c:v>
                </c:pt>
                <c:pt idx="87">
                  <c:v>37956</c:v>
                </c:pt>
                <c:pt idx="88">
                  <c:v>38047</c:v>
                </c:pt>
                <c:pt idx="89">
                  <c:v>38139</c:v>
                </c:pt>
                <c:pt idx="90">
                  <c:v>38231</c:v>
                </c:pt>
                <c:pt idx="91">
                  <c:v>38322</c:v>
                </c:pt>
                <c:pt idx="92">
                  <c:v>38412</c:v>
                </c:pt>
                <c:pt idx="93">
                  <c:v>38504</c:v>
                </c:pt>
                <c:pt idx="94">
                  <c:v>38596</c:v>
                </c:pt>
                <c:pt idx="95">
                  <c:v>38687</c:v>
                </c:pt>
                <c:pt idx="96">
                  <c:v>38777</c:v>
                </c:pt>
                <c:pt idx="97">
                  <c:v>38869</c:v>
                </c:pt>
                <c:pt idx="98">
                  <c:v>38961</c:v>
                </c:pt>
                <c:pt idx="99">
                  <c:v>39052</c:v>
                </c:pt>
                <c:pt idx="100">
                  <c:v>39142</c:v>
                </c:pt>
                <c:pt idx="101">
                  <c:v>39234</c:v>
                </c:pt>
                <c:pt idx="102">
                  <c:v>39326</c:v>
                </c:pt>
                <c:pt idx="103">
                  <c:v>39417</c:v>
                </c:pt>
                <c:pt idx="104">
                  <c:v>39508</c:v>
                </c:pt>
                <c:pt idx="105">
                  <c:v>39600</c:v>
                </c:pt>
                <c:pt idx="106">
                  <c:v>39692</c:v>
                </c:pt>
                <c:pt idx="107">
                  <c:v>39783</c:v>
                </c:pt>
                <c:pt idx="108">
                  <c:v>39873</c:v>
                </c:pt>
                <c:pt idx="109">
                  <c:v>39965</c:v>
                </c:pt>
                <c:pt idx="110">
                  <c:v>40057</c:v>
                </c:pt>
                <c:pt idx="111">
                  <c:v>40148</c:v>
                </c:pt>
                <c:pt idx="112">
                  <c:v>40238</c:v>
                </c:pt>
                <c:pt idx="113">
                  <c:v>40330</c:v>
                </c:pt>
                <c:pt idx="114">
                  <c:v>40422</c:v>
                </c:pt>
                <c:pt idx="115">
                  <c:v>40513</c:v>
                </c:pt>
                <c:pt idx="116">
                  <c:v>40603</c:v>
                </c:pt>
                <c:pt idx="117">
                  <c:v>40695</c:v>
                </c:pt>
                <c:pt idx="118">
                  <c:v>40787</c:v>
                </c:pt>
                <c:pt idx="119">
                  <c:v>40878</c:v>
                </c:pt>
                <c:pt idx="120">
                  <c:v>40969</c:v>
                </c:pt>
                <c:pt idx="121">
                  <c:v>41061</c:v>
                </c:pt>
                <c:pt idx="122">
                  <c:v>41153</c:v>
                </c:pt>
                <c:pt idx="123">
                  <c:v>41244</c:v>
                </c:pt>
                <c:pt idx="124">
                  <c:v>41334</c:v>
                </c:pt>
                <c:pt idx="125">
                  <c:v>41426</c:v>
                </c:pt>
                <c:pt idx="126">
                  <c:v>41518</c:v>
                </c:pt>
                <c:pt idx="127">
                  <c:v>41609</c:v>
                </c:pt>
                <c:pt idx="128">
                  <c:v>41699</c:v>
                </c:pt>
                <c:pt idx="129">
                  <c:v>41791</c:v>
                </c:pt>
                <c:pt idx="130">
                  <c:v>41883</c:v>
                </c:pt>
                <c:pt idx="131">
                  <c:v>41974</c:v>
                </c:pt>
                <c:pt idx="132">
                  <c:v>42064</c:v>
                </c:pt>
                <c:pt idx="133">
                  <c:v>42156</c:v>
                </c:pt>
                <c:pt idx="134">
                  <c:v>42248</c:v>
                </c:pt>
                <c:pt idx="135">
                  <c:v>42339</c:v>
                </c:pt>
                <c:pt idx="136">
                  <c:v>42430</c:v>
                </c:pt>
                <c:pt idx="137">
                  <c:v>42522</c:v>
                </c:pt>
                <c:pt idx="138">
                  <c:v>42614</c:v>
                </c:pt>
              </c:numCache>
            </c:numRef>
          </c:cat>
          <c:val>
            <c:numRef>
              <c:f>Sheet1!$S$5:$S$143</c:f>
              <c:numCache>
                <c:formatCode>_-* #,##0_-;\-* #,##0_-;_-* "-"??_-;_-@_-</c:formatCode>
                <c:ptCount val="139"/>
                <c:pt idx="0">
                  <c:v>29881</c:v>
                </c:pt>
                <c:pt idx="1">
                  <c:v>31144</c:v>
                </c:pt>
                <c:pt idx="2">
                  <c:v>29071</c:v>
                </c:pt>
                <c:pt idx="3">
                  <c:v>24960</c:v>
                </c:pt>
                <c:pt idx="4">
                  <c:v>23306</c:v>
                </c:pt>
                <c:pt idx="5">
                  <c:v>19674</c:v>
                </c:pt>
                <c:pt idx="6">
                  <c:v>17174</c:v>
                </c:pt>
                <c:pt idx="7">
                  <c:v>16305</c:v>
                </c:pt>
                <c:pt idx="8">
                  <c:v>13976</c:v>
                </c:pt>
                <c:pt idx="9">
                  <c:v>14730</c:v>
                </c:pt>
                <c:pt idx="10">
                  <c:v>16117</c:v>
                </c:pt>
                <c:pt idx="11">
                  <c:v>17704</c:v>
                </c:pt>
                <c:pt idx="12">
                  <c:v>20314</c:v>
                </c:pt>
                <c:pt idx="13">
                  <c:v>20158</c:v>
                </c:pt>
                <c:pt idx="14">
                  <c:v>21610</c:v>
                </c:pt>
                <c:pt idx="15">
                  <c:v>23938</c:v>
                </c:pt>
                <c:pt idx="16">
                  <c:v>24630</c:v>
                </c:pt>
                <c:pt idx="17">
                  <c:v>26420</c:v>
                </c:pt>
                <c:pt idx="18">
                  <c:v>27238</c:v>
                </c:pt>
                <c:pt idx="19">
                  <c:v>28238</c:v>
                </c:pt>
                <c:pt idx="20">
                  <c:v>31028</c:v>
                </c:pt>
                <c:pt idx="21">
                  <c:v>32836</c:v>
                </c:pt>
                <c:pt idx="22">
                  <c:v>35603</c:v>
                </c:pt>
                <c:pt idx="23">
                  <c:v>36004</c:v>
                </c:pt>
                <c:pt idx="24">
                  <c:v>38097</c:v>
                </c:pt>
                <c:pt idx="25">
                  <c:v>37252</c:v>
                </c:pt>
                <c:pt idx="26">
                  <c:v>40026</c:v>
                </c:pt>
                <c:pt idx="27">
                  <c:v>41788</c:v>
                </c:pt>
                <c:pt idx="28">
                  <c:v>41171</c:v>
                </c:pt>
                <c:pt idx="29">
                  <c:v>39414</c:v>
                </c:pt>
                <c:pt idx="30">
                  <c:v>35510</c:v>
                </c:pt>
                <c:pt idx="31">
                  <c:v>34057</c:v>
                </c:pt>
                <c:pt idx="32">
                  <c:v>33092</c:v>
                </c:pt>
                <c:pt idx="33">
                  <c:v>34013</c:v>
                </c:pt>
                <c:pt idx="34">
                  <c:v>31939</c:v>
                </c:pt>
                <c:pt idx="35">
                  <c:v>27163</c:v>
                </c:pt>
                <c:pt idx="36">
                  <c:v>26273</c:v>
                </c:pt>
                <c:pt idx="37">
                  <c:v>23513</c:v>
                </c:pt>
                <c:pt idx="38">
                  <c:v>23266</c:v>
                </c:pt>
                <c:pt idx="39">
                  <c:v>21478</c:v>
                </c:pt>
                <c:pt idx="40">
                  <c:v>19883</c:v>
                </c:pt>
                <c:pt idx="41">
                  <c:v>18362</c:v>
                </c:pt>
                <c:pt idx="42">
                  <c:v>15639</c:v>
                </c:pt>
                <c:pt idx="43">
                  <c:v>13988</c:v>
                </c:pt>
                <c:pt idx="44">
                  <c:v>11129</c:v>
                </c:pt>
                <c:pt idx="45">
                  <c:v>7965</c:v>
                </c:pt>
                <c:pt idx="46">
                  <c:v>7875</c:v>
                </c:pt>
                <c:pt idx="47">
                  <c:v>7997</c:v>
                </c:pt>
                <c:pt idx="48">
                  <c:v>8061</c:v>
                </c:pt>
                <c:pt idx="49">
                  <c:v>10698</c:v>
                </c:pt>
                <c:pt idx="50">
                  <c:v>12985</c:v>
                </c:pt>
                <c:pt idx="51">
                  <c:v>13333</c:v>
                </c:pt>
                <c:pt idx="52">
                  <c:v>15302</c:v>
                </c:pt>
                <c:pt idx="53">
                  <c:v>19295</c:v>
                </c:pt>
                <c:pt idx="54">
                  <c:v>20146</c:v>
                </c:pt>
                <c:pt idx="55">
                  <c:v>26176</c:v>
                </c:pt>
                <c:pt idx="56">
                  <c:v>26033</c:v>
                </c:pt>
                <c:pt idx="57">
                  <c:v>25692</c:v>
                </c:pt>
                <c:pt idx="58">
                  <c:v>26524</c:v>
                </c:pt>
                <c:pt idx="59">
                  <c:v>23432</c:v>
                </c:pt>
                <c:pt idx="60">
                  <c:v>24642</c:v>
                </c:pt>
                <c:pt idx="61">
                  <c:v>21078</c:v>
                </c:pt>
                <c:pt idx="62">
                  <c:v>18877</c:v>
                </c:pt>
                <c:pt idx="63">
                  <c:v>17217</c:v>
                </c:pt>
                <c:pt idx="64">
                  <c:v>18699</c:v>
                </c:pt>
                <c:pt idx="65">
                  <c:v>19313</c:v>
                </c:pt>
                <c:pt idx="66">
                  <c:v>20473</c:v>
                </c:pt>
                <c:pt idx="67">
                  <c:v>23548</c:v>
                </c:pt>
                <c:pt idx="68">
                  <c:v>23887</c:v>
                </c:pt>
                <c:pt idx="69">
                  <c:v>24691</c:v>
                </c:pt>
                <c:pt idx="70">
                  <c:v>25482</c:v>
                </c:pt>
                <c:pt idx="71">
                  <c:v>24846</c:v>
                </c:pt>
                <c:pt idx="72">
                  <c:v>26298</c:v>
                </c:pt>
                <c:pt idx="73">
                  <c:v>26982</c:v>
                </c:pt>
                <c:pt idx="74">
                  <c:v>28182</c:v>
                </c:pt>
                <c:pt idx="75">
                  <c:v>29463</c:v>
                </c:pt>
                <c:pt idx="76">
                  <c:v>34108</c:v>
                </c:pt>
                <c:pt idx="77">
                  <c:v>35336</c:v>
                </c:pt>
                <c:pt idx="78">
                  <c:v>30351</c:v>
                </c:pt>
                <c:pt idx="79">
                  <c:v>29562</c:v>
                </c:pt>
                <c:pt idx="80">
                  <c:v>22579</c:v>
                </c:pt>
                <c:pt idx="81">
                  <c:v>20252</c:v>
                </c:pt>
                <c:pt idx="82">
                  <c:v>22637</c:v>
                </c:pt>
                <c:pt idx="83">
                  <c:v>23629</c:v>
                </c:pt>
                <c:pt idx="84">
                  <c:v>25403</c:v>
                </c:pt>
                <c:pt idx="85">
                  <c:v>26777</c:v>
                </c:pt>
                <c:pt idx="86">
                  <c:v>27740</c:v>
                </c:pt>
                <c:pt idx="87">
                  <c:v>26569</c:v>
                </c:pt>
                <c:pt idx="88">
                  <c:v>25618</c:v>
                </c:pt>
                <c:pt idx="89">
                  <c:v>25020</c:v>
                </c:pt>
                <c:pt idx="90">
                  <c:v>26805</c:v>
                </c:pt>
                <c:pt idx="91">
                  <c:v>27808</c:v>
                </c:pt>
                <c:pt idx="92">
                  <c:v>31550</c:v>
                </c:pt>
                <c:pt idx="93">
                  <c:v>32292</c:v>
                </c:pt>
                <c:pt idx="94">
                  <c:v>33355</c:v>
                </c:pt>
                <c:pt idx="95">
                  <c:v>35809</c:v>
                </c:pt>
                <c:pt idx="96">
                  <c:v>37796</c:v>
                </c:pt>
                <c:pt idx="97">
                  <c:v>39561</c:v>
                </c:pt>
                <c:pt idx="98">
                  <c:v>44459</c:v>
                </c:pt>
                <c:pt idx="99">
                  <c:v>48578</c:v>
                </c:pt>
                <c:pt idx="100">
                  <c:v>55154</c:v>
                </c:pt>
                <c:pt idx="101">
                  <c:v>62539</c:v>
                </c:pt>
                <c:pt idx="102">
                  <c:v>65195</c:v>
                </c:pt>
                <c:pt idx="103">
                  <c:v>66472</c:v>
                </c:pt>
                <c:pt idx="104">
                  <c:v>69357</c:v>
                </c:pt>
                <c:pt idx="105">
                  <c:v>73562</c:v>
                </c:pt>
                <c:pt idx="106">
                  <c:v>78829</c:v>
                </c:pt>
                <c:pt idx="107">
                  <c:v>83225</c:v>
                </c:pt>
                <c:pt idx="108">
                  <c:v>84162</c:v>
                </c:pt>
                <c:pt idx="109">
                  <c:v>83616</c:v>
                </c:pt>
                <c:pt idx="110">
                  <c:v>79838</c:v>
                </c:pt>
                <c:pt idx="111">
                  <c:v>72087</c:v>
                </c:pt>
                <c:pt idx="112">
                  <c:v>62447</c:v>
                </c:pt>
                <c:pt idx="113">
                  <c:v>53679</c:v>
                </c:pt>
                <c:pt idx="114">
                  <c:v>44950</c:v>
                </c:pt>
                <c:pt idx="115">
                  <c:v>43214</c:v>
                </c:pt>
                <c:pt idx="116">
                  <c:v>42670</c:v>
                </c:pt>
                <c:pt idx="117">
                  <c:v>44631</c:v>
                </c:pt>
                <c:pt idx="118">
                  <c:v>47597</c:v>
                </c:pt>
                <c:pt idx="119">
                  <c:v>50311</c:v>
                </c:pt>
                <c:pt idx="120">
                  <c:v>53028</c:v>
                </c:pt>
                <c:pt idx="121">
                  <c:v>54415</c:v>
                </c:pt>
                <c:pt idx="122">
                  <c:v>55867</c:v>
                </c:pt>
                <c:pt idx="123">
                  <c:v>55734</c:v>
                </c:pt>
                <c:pt idx="124">
                  <c:v>55562</c:v>
                </c:pt>
                <c:pt idx="125">
                  <c:v>55627</c:v>
                </c:pt>
                <c:pt idx="126">
                  <c:v>57093</c:v>
                </c:pt>
                <c:pt idx="127">
                  <c:v>57125</c:v>
                </c:pt>
                <c:pt idx="128">
                  <c:v>58304</c:v>
                </c:pt>
                <c:pt idx="129">
                  <c:v>56563</c:v>
                </c:pt>
                <c:pt idx="130">
                  <c:v>57057</c:v>
                </c:pt>
                <c:pt idx="131">
                  <c:v>57635</c:v>
                </c:pt>
                <c:pt idx="132">
                  <c:v>58422</c:v>
                </c:pt>
                <c:pt idx="133">
                  <c:v>60062</c:v>
                </c:pt>
                <c:pt idx="134">
                  <c:v>60826</c:v>
                </c:pt>
                <c:pt idx="135">
                  <c:v>62210</c:v>
                </c:pt>
                <c:pt idx="136">
                  <c:v>64379</c:v>
                </c:pt>
                <c:pt idx="137">
                  <c:v>65007</c:v>
                </c:pt>
                <c:pt idx="138">
                  <c:v>68613</c:v>
                </c:pt>
              </c:numCache>
            </c:numRef>
          </c:val>
          <c:smooth val="0"/>
        </c:ser>
        <c:ser>
          <c:idx val="2"/>
          <c:order val="2"/>
          <c:tx>
            <c:strRef>
              <c:f>Sheet1!$T$4</c:f>
              <c:strCache>
                <c:ptCount val="1"/>
                <c:pt idx="0">
                  <c:v>Net Interstate Migration</c:v>
                </c:pt>
              </c:strCache>
            </c:strRef>
          </c:tx>
          <c:spPr>
            <a:ln w="28575" cap="rnd">
              <a:solidFill>
                <a:schemeClr val="accent5"/>
              </a:solidFill>
              <a:round/>
            </a:ln>
            <a:effectLst/>
          </c:spPr>
          <c:marker>
            <c:symbol val="none"/>
          </c:marker>
          <c:cat>
            <c:numRef>
              <c:f>Sheet1!$Q$5:$Q$143</c:f>
              <c:numCache>
                <c:formatCode>mmm\-yyyy</c:formatCode>
                <c:ptCount val="139"/>
                <c:pt idx="0">
                  <c:v>30011</c:v>
                </c:pt>
                <c:pt idx="1">
                  <c:v>30103</c:v>
                </c:pt>
                <c:pt idx="2">
                  <c:v>30195</c:v>
                </c:pt>
                <c:pt idx="3">
                  <c:v>30286</c:v>
                </c:pt>
                <c:pt idx="4">
                  <c:v>30376</c:v>
                </c:pt>
                <c:pt idx="5">
                  <c:v>30468</c:v>
                </c:pt>
                <c:pt idx="6">
                  <c:v>30560</c:v>
                </c:pt>
                <c:pt idx="7">
                  <c:v>30651</c:v>
                </c:pt>
                <c:pt idx="8">
                  <c:v>30742</c:v>
                </c:pt>
                <c:pt idx="9">
                  <c:v>30834</c:v>
                </c:pt>
                <c:pt idx="10">
                  <c:v>30926</c:v>
                </c:pt>
                <c:pt idx="11">
                  <c:v>31017</c:v>
                </c:pt>
                <c:pt idx="12">
                  <c:v>31107</c:v>
                </c:pt>
                <c:pt idx="13">
                  <c:v>31199</c:v>
                </c:pt>
                <c:pt idx="14">
                  <c:v>31291</c:v>
                </c:pt>
                <c:pt idx="15">
                  <c:v>31382</c:v>
                </c:pt>
                <c:pt idx="16">
                  <c:v>31472</c:v>
                </c:pt>
                <c:pt idx="17">
                  <c:v>31564</c:v>
                </c:pt>
                <c:pt idx="18">
                  <c:v>31656</c:v>
                </c:pt>
                <c:pt idx="19">
                  <c:v>31747</c:v>
                </c:pt>
                <c:pt idx="20">
                  <c:v>31837</c:v>
                </c:pt>
                <c:pt idx="21">
                  <c:v>31929</c:v>
                </c:pt>
                <c:pt idx="22">
                  <c:v>32021</c:v>
                </c:pt>
                <c:pt idx="23">
                  <c:v>32112</c:v>
                </c:pt>
                <c:pt idx="24">
                  <c:v>32203</c:v>
                </c:pt>
                <c:pt idx="25">
                  <c:v>32295</c:v>
                </c:pt>
                <c:pt idx="26">
                  <c:v>32387</c:v>
                </c:pt>
                <c:pt idx="27">
                  <c:v>32478</c:v>
                </c:pt>
                <c:pt idx="28">
                  <c:v>32568</c:v>
                </c:pt>
                <c:pt idx="29">
                  <c:v>32660</c:v>
                </c:pt>
                <c:pt idx="30">
                  <c:v>32752</c:v>
                </c:pt>
                <c:pt idx="31">
                  <c:v>32843</c:v>
                </c:pt>
                <c:pt idx="32">
                  <c:v>32933</c:v>
                </c:pt>
                <c:pt idx="33">
                  <c:v>33025</c:v>
                </c:pt>
                <c:pt idx="34">
                  <c:v>33117</c:v>
                </c:pt>
                <c:pt idx="35">
                  <c:v>33208</c:v>
                </c:pt>
                <c:pt idx="36">
                  <c:v>33298</c:v>
                </c:pt>
                <c:pt idx="37">
                  <c:v>33390</c:v>
                </c:pt>
                <c:pt idx="38">
                  <c:v>33482</c:v>
                </c:pt>
                <c:pt idx="39">
                  <c:v>33573</c:v>
                </c:pt>
                <c:pt idx="40">
                  <c:v>33664</c:v>
                </c:pt>
                <c:pt idx="41">
                  <c:v>33756</c:v>
                </c:pt>
                <c:pt idx="42">
                  <c:v>33848</c:v>
                </c:pt>
                <c:pt idx="43">
                  <c:v>33939</c:v>
                </c:pt>
                <c:pt idx="44">
                  <c:v>34029</c:v>
                </c:pt>
                <c:pt idx="45">
                  <c:v>34121</c:v>
                </c:pt>
                <c:pt idx="46">
                  <c:v>34213</c:v>
                </c:pt>
                <c:pt idx="47">
                  <c:v>34304</c:v>
                </c:pt>
                <c:pt idx="48">
                  <c:v>34394</c:v>
                </c:pt>
                <c:pt idx="49">
                  <c:v>34486</c:v>
                </c:pt>
                <c:pt idx="50">
                  <c:v>34578</c:v>
                </c:pt>
                <c:pt idx="51">
                  <c:v>34669</c:v>
                </c:pt>
                <c:pt idx="52">
                  <c:v>34759</c:v>
                </c:pt>
                <c:pt idx="53">
                  <c:v>34851</c:v>
                </c:pt>
                <c:pt idx="54">
                  <c:v>34943</c:v>
                </c:pt>
                <c:pt idx="55">
                  <c:v>35034</c:v>
                </c:pt>
                <c:pt idx="56">
                  <c:v>35125</c:v>
                </c:pt>
                <c:pt idx="57">
                  <c:v>35217</c:v>
                </c:pt>
                <c:pt idx="58">
                  <c:v>35309</c:v>
                </c:pt>
                <c:pt idx="59">
                  <c:v>35400</c:v>
                </c:pt>
                <c:pt idx="60">
                  <c:v>35490</c:v>
                </c:pt>
                <c:pt idx="61">
                  <c:v>35582</c:v>
                </c:pt>
                <c:pt idx="62">
                  <c:v>35674</c:v>
                </c:pt>
                <c:pt idx="63">
                  <c:v>35765</c:v>
                </c:pt>
                <c:pt idx="64">
                  <c:v>35855</c:v>
                </c:pt>
                <c:pt idx="65">
                  <c:v>35947</c:v>
                </c:pt>
                <c:pt idx="66">
                  <c:v>36039</c:v>
                </c:pt>
                <c:pt idx="67">
                  <c:v>36130</c:v>
                </c:pt>
                <c:pt idx="68">
                  <c:v>36220</c:v>
                </c:pt>
                <c:pt idx="69">
                  <c:v>36312</c:v>
                </c:pt>
                <c:pt idx="70">
                  <c:v>36404</c:v>
                </c:pt>
                <c:pt idx="71">
                  <c:v>36495</c:v>
                </c:pt>
                <c:pt idx="72">
                  <c:v>36586</c:v>
                </c:pt>
                <c:pt idx="73">
                  <c:v>36678</c:v>
                </c:pt>
                <c:pt idx="74">
                  <c:v>36770</c:v>
                </c:pt>
                <c:pt idx="75">
                  <c:v>36861</c:v>
                </c:pt>
                <c:pt idx="76">
                  <c:v>36951</c:v>
                </c:pt>
                <c:pt idx="77">
                  <c:v>37043</c:v>
                </c:pt>
                <c:pt idx="78">
                  <c:v>37135</c:v>
                </c:pt>
                <c:pt idx="79">
                  <c:v>37226</c:v>
                </c:pt>
                <c:pt idx="80">
                  <c:v>37316</c:v>
                </c:pt>
                <c:pt idx="81">
                  <c:v>37408</c:v>
                </c:pt>
                <c:pt idx="82">
                  <c:v>37500</c:v>
                </c:pt>
                <c:pt idx="83">
                  <c:v>37591</c:v>
                </c:pt>
                <c:pt idx="84">
                  <c:v>37681</c:v>
                </c:pt>
                <c:pt idx="85">
                  <c:v>37773</c:v>
                </c:pt>
                <c:pt idx="86">
                  <c:v>37865</c:v>
                </c:pt>
                <c:pt idx="87">
                  <c:v>37956</c:v>
                </c:pt>
                <c:pt idx="88">
                  <c:v>38047</c:v>
                </c:pt>
                <c:pt idx="89">
                  <c:v>38139</c:v>
                </c:pt>
                <c:pt idx="90">
                  <c:v>38231</c:v>
                </c:pt>
                <c:pt idx="91">
                  <c:v>38322</c:v>
                </c:pt>
                <c:pt idx="92">
                  <c:v>38412</c:v>
                </c:pt>
                <c:pt idx="93">
                  <c:v>38504</c:v>
                </c:pt>
                <c:pt idx="94">
                  <c:v>38596</c:v>
                </c:pt>
                <c:pt idx="95">
                  <c:v>38687</c:v>
                </c:pt>
                <c:pt idx="96">
                  <c:v>38777</c:v>
                </c:pt>
                <c:pt idx="97">
                  <c:v>38869</c:v>
                </c:pt>
                <c:pt idx="98">
                  <c:v>38961</c:v>
                </c:pt>
                <c:pt idx="99">
                  <c:v>39052</c:v>
                </c:pt>
                <c:pt idx="100">
                  <c:v>39142</c:v>
                </c:pt>
                <c:pt idx="101">
                  <c:v>39234</c:v>
                </c:pt>
                <c:pt idx="102">
                  <c:v>39326</c:v>
                </c:pt>
                <c:pt idx="103">
                  <c:v>39417</c:v>
                </c:pt>
                <c:pt idx="104">
                  <c:v>39508</c:v>
                </c:pt>
                <c:pt idx="105">
                  <c:v>39600</c:v>
                </c:pt>
                <c:pt idx="106">
                  <c:v>39692</c:v>
                </c:pt>
                <c:pt idx="107">
                  <c:v>39783</c:v>
                </c:pt>
                <c:pt idx="108">
                  <c:v>39873</c:v>
                </c:pt>
                <c:pt idx="109">
                  <c:v>39965</c:v>
                </c:pt>
                <c:pt idx="110">
                  <c:v>40057</c:v>
                </c:pt>
                <c:pt idx="111">
                  <c:v>40148</c:v>
                </c:pt>
                <c:pt idx="112">
                  <c:v>40238</c:v>
                </c:pt>
                <c:pt idx="113">
                  <c:v>40330</c:v>
                </c:pt>
                <c:pt idx="114">
                  <c:v>40422</c:v>
                </c:pt>
                <c:pt idx="115">
                  <c:v>40513</c:v>
                </c:pt>
                <c:pt idx="116">
                  <c:v>40603</c:v>
                </c:pt>
                <c:pt idx="117">
                  <c:v>40695</c:v>
                </c:pt>
                <c:pt idx="118">
                  <c:v>40787</c:v>
                </c:pt>
                <c:pt idx="119">
                  <c:v>40878</c:v>
                </c:pt>
                <c:pt idx="120">
                  <c:v>40969</c:v>
                </c:pt>
                <c:pt idx="121">
                  <c:v>41061</c:v>
                </c:pt>
                <c:pt idx="122">
                  <c:v>41153</c:v>
                </c:pt>
                <c:pt idx="123">
                  <c:v>41244</c:v>
                </c:pt>
                <c:pt idx="124">
                  <c:v>41334</c:v>
                </c:pt>
                <c:pt idx="125">
                  <c:v>41426</c:v>
                </c:pt>
                <c:pt idx="126">
                  <c:v>41518</c:v>
                </c:pt>
                <c:pt idx="127">
                  <c:v>41609</c:v>
                </c:pt>
                <c:pt idx="128">
                  <c:v>41699</c:v>
                </c:pt>
                <c:pt idx="129">
                  <c:v>41791</c:v>
                </c:pt>
                <c:pt idx="130">
                  <c:v>41883</c:v>
                </c:pt>
                <c:pt idx="131">
                  <c:v>41974</c:v>
                </c:pt>
                <c:pt idx="132">
                  <c:v>42064</c:v>
                </c:pt>
                <c:pt idx="133">
                  <c:v>42156</c:v>
                </c:pt>
                <c:pt idx="134">
                  <c:v>42248</c:v>
                </c:pt>
                <c:pt idx="135">
                  <c:v>42339</c:v>
                </c:pt>
                <c:pt idx="136">
                  <c:v>42430</c:v>
                </c:pt>
                <c:pt idx="137">
                  <c:v>42522</c:v>
                </c:pt>
                <c:pt idx="138">
                  <c:v>42614</c:v>
                </c:pt>
              </c:numCache>
            </c:numRef>
          </c:cat>
          <c:val>
            <c:numRef>
              <c:f>Sheet1!$T$5:$T$143</c:f>
              <c:numCache>
                <c:formatCode>_-* #,##0_-;\-* #,##0_-;_-* "-"??_-;_-@_-</c:formatCode>
                <c:ptCount val="139"/>
                <c:pt idx="0">
                  <c:v>-15974</c:v>
                </c:pt>
                <c:pt idx="1">
                  <c:v>-14429</c:v>
                </c:pt>
                <c:pt idx="2">
                  <c:v>-11372</c:v>
                </c:pt>
                <c:pt idx="3">
                  <c:v>-8757</c:v>
                </c:pt>
                <c:pt idx="4">
                  <c:v>-6560</c:v>
                </c:pt>
                <c:pt idx="5">
                  <c:v>-5136</c:v>
                </c:pt>
                <c:pt idx="6">
                  <c:v>-4517</c:v>
                </c:pt>
                <c:pt idx="7">
                  <c:v>-3917</c:v>
                </c:pt>
                <c:pt idx="8">
                  <c:v>-2876</c:v>
                </c:pt>
                <c:pt idx="9">
                  <c:v>-3340</c:v>
                </c:pt>
                <c:pt idx="10">
                  <c:v>-3374</c:v>
                </c:pt>
                <c:pt idx="11">
                  <c:v>-3402</c:v>
                </c:pt>
                <c:pt idx="12">
                  <c:v>-5575</c:v>
                </c:pt>
                <c:pt idx="13">
                  <c:v>-5799</c:v>
                </c:pt>
                <c:pt idx="14">
                  <c:v>-7298</c:v>
                </c:pt>
                <c:pt idx="15">
                  <c:v>-10290</c:v>
                </c:pt>
                <c:pt idx="16">
                  <c:v>-11420</c:v>
                </c:pt>
                <c:pt idx="17">
                  <c:v>-13201</c:v>
                </c:pt>
                <c:pt idx="18">
                  <c:v>-13642</c:v>
                </c:pt>
                <c:pt idx="19">
                  <c:v>-13295</c:v>
                </c:pt>
                <c:pt idx="20">
                  <c:v>-13758</c:v>
                </c:pt>
                <c:pt idx="21">
                  <c:v>-13105</c:v>
                </c:pt>
                <c:pt idx="22">
                  <c:v>-13281</c:v>
                </c:pt>
                <c:pt idx="23">
                  <c:v>-13865</c:v>
                </c:pt>
                <c:pt idx="24">
                  <c:v>-14767</c:v>
                </c:pt>
                <c:pt idx="25">
                  <c:v>-14423</c:v>
                </c:pt>
                <c:pt idx="26">
                  <c:v>-13128</c:v>
                </c:pt>
                <c:pt idx="27">
                  <c:v>-11899</c:v>
                </c:pt>
                <c:pt idx="28">
                  <c:v>-12201</c:v>
                </c:pt>
                <c:pt idx="29">
                  <c:v>-12504</c:v>
                </c:pt>
                <c:pt idx="30">
                  <c:v>-12768</c:v>
                </c:pt>
                <c:pt idx="31">
                  <c:v>-11567</c:v>
                </c:pt>
                <c:pt idx="32">
                  <c:v>-9581</c:v>
                </c:pt>
                <c:pt idx="33">
                  <c:v>-7829</c:v>
                </c:pt>
                <c:pt idx="34">
                  <c:v>-7811</c:v>
                </c:pt>
                <c:pt idx="35">
                  <c:v>-9053</c:v>
                </c:pt>
                <c:pt idx="36">
                  <c:v>-11249</c:v>
                </c:pt>
                <c:pt idx="37">
                  <c:v>-14853</c:v>
                </c:pt>
                <c:pt idx="38">
                  <c:v>-17157</c:v>
                </c:pt>
                <c:pt idx="39">
                  <c:v>-18455</c:v>
                </c:pt>
                <c:pt idx="40">
                  <c:v>-19074</c:v>
                </c:pt>
                <c:pt idx="41">
                  <c:v>-18427</c:v>
                </c:pt>
                <c:pt idx="42">
                  <c:v>-20397</c:v>
                </c:pt>
                <c:pt idx="43">
                  <c:v>-21011</c:v>
                </c:pt>
                <c:pt idx="44">
                  <c:v>-22795</c:v>
                </c:pt>
                <c:pt idx="45">
                  <c:v>-25388</c:v>
                </c:pt>
                <c:pt idx="46">
                  <c:v>-27365</c:v>
                </c:pt>
                <c:pt idx="47">
                  <c:v>-28718</c:v>
                </c:pt>
                <c:pt idx="48">
                  <c:v>-29523</c:v>
                </c:pt>
                <c:pt idx="49">
                  <c:v>-29195</c:v>
                </c:pt>
                <c:pt idx="50">
                  <c:v>-26316</c:v>
                </c:pt>
                <c:pt idx="51">
                  <c:v>-24750</c:v>
                </c:pt>
                <c:pt idx="52">
                  <c:v>-22564</c:v>
                </c:pt>
                <c:pt idx="53">
                  <c:v>-22020</c:v>
                </c:pt>
                <c:pt idx="54">
                  <c:v>-20414</c:v>
                </c:pt>
                <c:pt idx="55">
                  <c:v>-18205</c:v>
                </c:pt>
                <c:pt idx="56">
                  <c:v>-15051</c:v>
                </c:pt>
                <c:pt idx="57">
                  <c:v>-12800</c:v>
                </c:pt>
                <c:pt idx="58">
                  <c:v>-11318</c:v>
                </c:pt>
                <c:pt idx="59">
                  <c:v>-9981</c:v>
                </c:pt>
                <c:pt idx="60">
                  <c:v>-7462</c:v>
                </c:pt>
                <c:pt idx="61">
                  <c:v>-6195</c:v>
                </c:pt>
                <c:pt idx="62">
                  <c:v>-4128</c:v>
                </c:pt>
                <c:pt idx="63">
                  <c:v>-2641</c:v>
                </c:pt>
                <c:pt idx="64">
                  <c:v>-1840</c:v>
                </c:pt>
                <c:pt idx="65">
                  <c:v>-270</c:v>
                </c:pt>
                <c:pt idx="66">
                  <c:v>-158</c:v>
                </c:pt>
                <c:pt idx="67">
                  <c:v>1394</c:v>
                </c:pt>
                <c:pt idx="68">
                  <c:v>1803</c:v>
                </c:pt>
                <c:pt idx="69">
                  <c:v>2527</c:v>
                </c:pt>
                <c:pt idx="70">
                  <c:v>3643</c:v>
                </c:pt>
                <c:pt idx="71">
                  <c:v>3883</c:v>
                </c:pt>
                <c:pt idx="72">
                  <c:v>4886</c:v>
                </c:pt>
                <c:pt idx="73">
                  <c:v>5219</c:v>
                </c:pt>
                <c:pt idx="74">
                  <c:v>5756</c:v>
                </c:pt>
                <c:pt idx="75">
                  <c:v>4920</c:v>
                </c:pt>
                <c:pt idx="76">
                  <c:v>5377</c:v>
                </c:pt>
                <c:pt idx="77">
                  <c:v>5163</c:v>
                </c:pt>
                <c:pt idx="78">
                  <c:v>4957</c:v>
                </c:pt>
                <c:pt idx="79">
                  <c:v>5104</c:v>
                </c:pt>
                <c:pt idx="80">
                  <c:v>4914</c:v>
                </c:pt>
                <c:pt idx="81">
                  <c:v>3609</c:v>
                </c:pt>
                <c:pt idx="82">
                  <c:v>2100</c:v>
                </c:pt>
                <c:pt idx="83">
                  <c:v>1144</c:v>
                </c:pt>
                <c:pt idx="84">
                  <c:v>-135</c:v>
                </c:pt>
                <c:pt idx="85">
                  <c:v>-743</c:v>
                </c:pt>
                <c:pt idx="86">
                  <c:v>-729</c:v>
                </c:pt>
                <c:pt idx="87">
                  <c:v>-2221</c:v>
                </c:pt>
                <c:pt idx="88">
                  <c:v>-3103</c:v>
                </c:pt>
                <c:pt idx="89">
                  <c:v>-3051</c:v>
                </c:pt>
                <c:pt idx="90">
                  <c:v>-3248</c:v>
                </c:pt>
                <c:pt idx="91">
                  <c:v>-2583</c:v>
                </c:pt>
                <c:pt idx="92">
                  <c:v>-3128</c:v>
                </c:pt>
                <c:pt idx="93">
                  <c:v>-3070</c:v>
                </c:pt>
                <c:pt idx="94">
                  <c:v>-3431</c:v>
                </c:pt>
                <c:pt idx="95">
                  <c:v>-3571</c:v>
                </c:pt>
                <c:pt idx="96">
                  <c:v>-2363</c:v>
                </c:pt>
                <c:pt idx="97">
                  <c:v>-1831</c:v>
                </c:pt>
                <c:pt idx="98">
                  <c:v>-1001</c:v>
                </c:pt>
                <c:pt idx="99">
                  <c:v>-613</c:v>
                </c:pt>
                <c:pt idx="100">
                  <c:v>-1467</c:v>
                </c:pt>
                <c:pt idx="101">
                  <c:v>-1617</c:v>
                </c:pt>
                <c:pt idx="102">
                  <c:v>-1562</c:v>
                </c:pt>
                <c:pt idx="103">
                  <c:v>-2558</c:v>
                </c:pt>
                <c:pt idx="104">
                  <c:v>-1884</c:v>
                </c:pt>
                <c:pt idx="105">
                  <c:v>-1924</c:v>
                </c:pt>
                <c:pt idx="106">
                  <c:v>-1638</c:v>
                </c:pt>
                <c:pt idx="107">
                  <c:v>-225</c:v>
                </c:pt>
                <c:pt idx="108">
                  <c:v>529</c:v>
                </c:pt>
                <c:pt idx="109">
                  <c:v>1523</c:v>
                </c:pt>
                <c:pt idx="110">
                  <c:v>1804</c:v>
                </c:pt>
                <c:pt idx="111">
                  <c:v>2592</c:v>
                </c:pt>
                <c:pt idx="112">
                  <c:v>2777</c:v>
                </c:pt>
                <c:pt idx="113">
                  <c:v>3314</c:v>
                </c:pt>
                <c:pt idx="114">
                  <c:v>3229</c:v>
                </c:pt>
                <c:pt idx="115">
                  <c:v>3131</c:v>
                </c:pt>
                <c:pt idx="116">
                  <c:v>3401</c:v>
                </c:pt>
                <c:pt idx="117">
                  <c:v>3534</c:v>
                </c:pt>
                <c:pt idx="118">
                  <c:v>3544</c:v>
                </c:pt>
                <c:pt idx="119">
                  <c:v>3372</c:v>
                </c:pt>
                <c:pt idx="120">
                  <c:v>2555</c:v>
                </c:pt>
                <c:pt idx="121">
                  <c:v>1439</c:v>
                </c:pt>
                <c:pt idx="122">
                  <c:v>1483</c:v>
                </c:pt>
                <c:pt idx="123">
                  <c:v>2335</c:v>
                </c:pt>
                <c:pt idx="124">
                  <c:v>3454</c:v>
                </c:pt>
                <c:pt idx="125">
                  <c:v>5443</c:v>
                </c:pt>
                <c:pt idx="126">
                  <c:v>6903</c:v>
                </c:pt>
                <c:pt idx="127">
                  <c:v>7528</c:v>
                </c:pt>
                <c:pt idx="128">
                  <c:v>8367</c:v>
                </c:pt>
                <c:pt idx="129">
                  <c:v>8783</c:v>
                </c:pt>
                <c:pt idx="130">
                  <c:v>8455</c:v>
                </c:pt>
                <c:pt idx="131">
                  <c:v>9336</c:v>
                </c:pt>
                <c:pt idx="132">
                  <c:v>9774</c:v>
                </c:pt>
                <c:pt idx="133">
                  <c:v>10190</c:v>
                </c:pt>
                <c:pt idx="134">
                  <c:v>11187</c:v>
                </c:pt>
                <c:pt idx="135">
                  <c:v>13049</c:v>
                </c:pt>
                <c:pt idx="136">
                  <c:v>14529</c:v>
                </c:pt>
                <c:pt idx="137">
                  <c:v>16699</c:v>
                </c:pt>
                <c:pt idx="138">
                  <c:v>17185</c:v>
                </c:pt>
              </c:numCache>
            </c:numRef>
          </c:val>
          <c:smooth val="0"/>
        </c:ser>
        <c:ser>
          <c:idx val="3"/>
          <c:order val="3"/>
          <c:tx>
            <c:strRef>
              <c:f>Sheet1!$U$4</c:f>
              <c:strCache>
                <c:ptCount val="1"/>
                <c:pt idx="0">
                  <c:v>Total</c:v>
                </c:pt>
              </c:strCache>
            </c:strRef>
          </c:tx>
          <c:spPr>
            <a:ln w="28575" cap="rnd">
              <a:solidFill>
                <a:schemeClr val="tx1"/>
              </a:solidFill>
              <a:round/>
            </a:ln>
            <a:effectLst/>
          </c:spPr>
          <c:marker>
            <c:symbol val="none"/>
          </c:marker>
          <c:cat>
            <c:numRef>
              <c:f>Sheet1!$Q$5:$Q$143</c:f>
              <c:numCache>
                <c:formatCode>mmm\-yyyy</c:formatCode>
                <c:ptCount val="139"/>
                <c:pt idx="0">
                  <c:v>30011</c:v>
                </c:pt>
                <c:pt idx="1">
                  <c:v>30103</c:v>
                </c:pt>
                <c:pt idx="2">
                  <c:v>30195</c:v>
                </c:pt>
                <c:pt idx="3">
                  <c:v>30286</c:v>
                </c:pt>
                <c:pt idx="4">
                  <c:v>30376</c:v>
                </c:pt>
                <c:pt idx="5">
                  <c:v>30468</c:v>
                </c:pt>
                <c:pt idx="6">
                  <c:v>30560</c:v>
                </c:pt>
                <c:pt idx="7">
                  <c:v>30651</c:v>
                </c:pt>
                <c:pt idx="8">
                  <c:v>30742</c:v>
                </c:pt>
                <c:pt idx="9">
                  <c:v>30834</c:v>
                </c:pt>
                <c:pt idx="10">
                  <c:v>30926</c:v>
                </c:pt>
                <c:pt idx="11">
                  <c:v>31017</c:v>
                </c:pt>
                <c:pt idx="12">
                  <c:v>31107</c:v>
                </c:pt>
                <c:pt idx="13">
                  <c:v>31199</c:v>
                </c:pt>
                <c:pt idx="14">
                  <c:v>31291</c:v>
                </c:pt>
                <c:pt idx="15">
                  <c:v>31382</c:v>
                </c:pt>
                <c:pt idx="16">
                  <c:v>31472</c:v>
                </c:pt>
                <c:pt idx="17">
                  <c:v>31564</c:v>
                </c:pt>
                <c:pt idx="18">
                  <c:v>31656</c:v>
                </c:pt>
                <c:pt idx="19">
                  <c:v>31747</c:v>
                </c:pt>
                <c:pt idx="20">
                  <c:v>31837</c:v>
                </c:pt>
                <c:pt idx="21">
                  <c:v>31929</c:v>
                </c:pt>
                <c:pt idx="22">
                  <c:v>32021</c:v>
                </c:pt>
                <c:pt idx="23">
                  <c:v>32112</c:v>
                </c:pt>
                <c:pt idx="24">
                  <c:v>32203</c:v>
                </c:pt>
                <c:pt idx="25">
                  <c:v>32295</c:v>
                </c:pt>
                <c:pt idx="26">
                  <c:v>32387</c:v>
                </c:pt>
                <c:pt idx="27">
                  <c:v>32478</c:v>
                </c:pt>
                <c:pt idx="28">
                  <c:v>32568</c:v>
                </c:pt>
                <c:pt idx="29">
                  <c:v>32660</c:v>
                </c:pt>
                <c:pt idx="30">
                  <c:v>32752</c:v>
                </c:pt>
                <c:pt idx="31">
                  <c:v>32843</c:v>
                </c:pt>
                <c:pt idx="32">
                  <c:v>32933</c:v>
                </c:pt>
                <c:pt idx="33">
                  <c:v>33025</c:v>
                </c:pt>
                <c:pt idx="34">
                  <c:v>33117</c:v>
                </c:pt>
                <c:pt idx="35">
                  <c:v>33208</c:v>
                </c:pt>
                <c:pt idx="36">
                  <c:v>33298</c:v>
                </c:pt>
                <c:pt idx="37">
                  <c:v>33390</c:v>
                </c:pt>
                <c:pt idx="38">
                  <c:v>33482</c:v>
                </c:pt>
                <c:pt idx="39">
                  <c:v>33573</c:v>
                </c:pt>
                <c:pt idx="40">
                  <c:v>33664</c:v>
                </c:pt>
                <c:pt idx="41">
                  <c:v>33756</c:v>
                </c:pt>
                <c:pt idx="42">
                  <c:v>33848</c:v>
                </c:pt>
                <c:pt idx="43">
                  <c:v>33939</c:v>
                </c:pt>
                <c:pt idx="44">
                  <c:v>34029</c:v>
                </c:pt>
                <c:pt idx="45">
                  <c:v>34121</c:v>
                </c:pt>
                <c:pt idx="46">
                  <c:v>34213</c:v>
                </c:pt>
                <c:pt idx="47">
                  <c:v>34304</c:v>
                </c:pt>
                <c:pt idx="48">
                  <c:v>34394</c:v>
                </c:pt>
                <c:pt idx="49">
                  <c:v>34486</c:v>
                </c:pt>
                <c:pt idx="50">
                  <c:v>34578</c:v>
                </c:pt>
                <c:pt idx="51">
                  <c:v>34669</c:v>
                </c:pt>
                <c:pt idx="52">
                  <c:v>34759</c:v>
                </c:pt>
                <c:pt idx="53">
                  <c:v>34851</c:v>
                </c:pt>
                <c:pt idx="54">
                  <c:v>34943</c:v>
                </c:pt>
                <c:pt idx="55">
                  <c:v>35034</c:v>
                </c:pt>
                <c:pt idx="56">
                  <c:v>35125</c:v>
                </c:pt>
                <c:pt idx="57">
                  <c:v>35217</c:v>
                </c:pt>
                <c:pt idx="58">
                  <c:v>35309</c:v>
                </c:pt>
                <c:pt idx="59">
                  <c:v>35400</c:v>
                </c:pt>
                <c:pt idx="60">
                  <c:v>35490</c:v>
                </c:pt>
                <c:pt idx="61">
                  <c:v>35582</c:v>
                </c:pt>
                <c:pt idx="62">
                  <c:v>35674</c:v>
                </c:pt>
                <c:pt idx="63">
                  <c:v>35765</c:v>
                </c:pt>
                <c:pt idx="64">
                  <c:v>35855</c:v>
                </c:pt>
                <c:pt idx="65">
                  <c:v>35947</c:v>
                </c:pt>
                <c:pt idx="66">
                  <c:v>36039</c:v>
                </c:pt>
                <c:pt idx="67">
                  <c:v>36130</c:v>
                </c:pt>
                <c:pt idx="68">
                  <c:v>36220</c:v>
                </c:pt>
                <c:pt idx="69">
                  <c:v>36312</c:v>
                </c:pt>
                <c:pt idx="70">
                  <c:v>36404</c:v>
                </c:pt>
                <c:pt idx="71">
                  <c:v>36495</c:v>
                </c:pt>
                <c:pt idx="72">
                  <c:v>36586</c:v>
                </c:pt>
                <c:pt idx="73">
                  <c:v>36678</c:v>
                </c:pt>
                <c:pt idx="74">
                  <c:v>36770</c:v>
                </c:pt>
                <c:pt idx="75">
                  <c:v>36861</c:v>
                </c:pt>
                <c:pt idx="76">
                  <c:v>36951</c:v>
                </c:pt>
                <c:pt idx="77">
                  <c:v>37043</c:v>
                </c:pt>
                <c:pt idx="78">
                  <c:v>37135</c:v>
                </c:pt>
                <c:pt idx="79">
                  <c:v>37226</c:v>
                </c:pt>
                <c:pt idx="80">
                  <c:v>37316</c:v>
                </c:pt>
                <c:pt idx="81">
                  <c:v>37408</c:v>
                </c:pt>
                <c:pt idx="82">
                  <c:v>37500</c:v>
                </c:pt>
                <c:pt idx="83">
                  <c:v>37591</c:v>
                </c:pt>
                <c:pt idx="84">
                  <c:v>37681</c:v>
                </c:pt>
                <c:pt idx="85">
                  <c:v>37773</c:v>
                </c:pt>
                <c:pt idx="86">
                  <c:v>37865</c:v>
                </c:pt>
                <c:pt idx="87">
                  <c:v>37956</c:v>
                </c:pt>
                <c:pt idx="88">
                  <c:v>38047</c:v>
                </c:pt>
                <c:pt idx="89">
                  <c:v>38139</c:v>
                </c:pt>
                <c:pt idx="90">
                  <c:v>38231</c:v>
                </c:pt>
                <c:pt idx="91">
                  <c:v>38322</c:v>
                </c:pt>
                <c:pt idx="92">
                  <c:v>38412</c:v>
                </c:pt>
                <c:pt idx="93">
                  <c:v>38504</c:v>
                </c:pt>
                <c:pt idx="94">
                  <c:v>38596</c:v>
                </c:pt>
                <c:pt idx="95">
                  <c:v>38687</c:v>
                </c:pt>
                <c:pt idx="96">
                  <c:v>38777</c:v>
                </c:pt>
                <c:pt idx="97">
                  <c:v>38869</c:v>
                </c:pt>
                <c:pt idx="98">
                  <c:v>38961</c:v>
                </c:pt>
                <c:pt idx="99">
                  <c:v>39052</c:v>
                </c:pt>
                <c:pt idx="100">
                  <c:v>39142</c:v>
                </c:pt>
                <c:pt idx="101">
                  <c:v>39234</c:v>
                </c:pt>
                <c:pt idx="102">
                  <c:v>39326</c:v>
                </c:pt>
                <c:pt idx="103">
                  <c:v>39417</c:v>
                </c:pt>
                <c:pt idx="104">
                  <c:v>39508</c:v>
                </c:pt>
                <c:pt idx="105">
                  <c:v>39600</c:v>
                </c:pt>
                <c:pt idx="106">
                  <c:v>39692</c:v>
                </c:pt>
                <c:pt idx="107">
                  <c:v>39783</c:v>
                </c:pt>
                <c:pt idx="108">
                  <c:v>39873</c:v>
                </c:pt>
                <c:pt idx="109">
                  <c:v>39965</c:v>
                </c:pt>
                <c:pt idx="110">
                  <c:v>40057</c:v>
                </c:pt>
                <c:pt idx="111">
                  <c:v>40148</c:v>
                </c:pt>
                <c:pt idx="112">
                  <c:v>40238</c:v>
                </c:pt>
                <c:pt idx="113">
                  <c:v>40330</c:v>
                </c:pt>
                <c:pt idx="114">
                  <c:v>40422</c:v>
                </c:pt>
                <c:pt idx="115">
                  <c:v>40513</c:v>
                </c:pt>
                <c:pt idx="116">
                  <c:v>40603</c:v>
                </c:pt>
                <c:pt idx="117">
                  <c:v>40695</c:v>
                </c:pt>
                <c:pt idx="118">
                  <c:v>40787</c:v>
                </c:pt>
                <c:pt idx="119">
                  <c:v>40878</c:v>
                </c:pt>
                <c:pt idx="120">
                  <c:v>40969</c:v>
                </c:pt>
                <c:pt idx="121">
                  <c:v>41061</c:v>
                </c:pt>
                <c:pt idx="122">
                  <c:v>41153</c:v>
                </c:pt>
                <c:pt idx="123">
                  <c:v>41244</c:v>
                </c:pt>
                <c:pt idx="124">
                  <c:v>41334</c:v>
                </c:pt>
                <c:pt idx="125">
                  <c:v>41426</c:v>
                </c:pt>
                <c:pt idx="126">
                  <c:v>41518</c:v>
                </c:pt>
                <c:pt idx="127">
                  <c:v>41609</c:v>
                </c:pt>
                <c:pt idx="128">
                  <c:v>41699</c:v>
                </c:pt>
                <c:pt idx="129">
                  <c:v>41791</c:v>
                </c:pt>
                <c:pt idx="130">
                  <c:v>41883</c:v>
                </c:pt>
                <c:pt idx="131">
                  <c:v>41974</c:v>
                </c:pt>
                <c:pt idx="132">
                  <c:v>42064</c:v>
                </c:pt>
                <c:pt idx="133">
                  <c:v>42156</c:v>
                </c:pt>
                <c:pt idx="134">
                  <c:v>42248</c:v>
                </c:pt>
                <c:pt idx="135">
                  <c:v>42339</c:v>
                </c:pt>
                <c:pt idx="136">
                  <c:v>42430</c:v>
                </c:pt>
                <c:pt idx="137">
                  <c:v>42522</c:v>
                </c:pt>
                <c:pt idx="138">
                  <c:v>42614</c:v>
                </c:pt>
              </c:numCache>
            </c:numRef>
          </c:cat>
          <c:val>
            <c:numRef>
              <c:f>Sheet1!$U$5:$U$143</c:f>
              <c:numCache>
                <c:formatCode>_-* #,##0_-;\-* #,##0_-;_-* "-"??_-;_-@_-</c:formatCode>
                <c:ptCount val="139"/>
                <c:pt idx="0">
                  <c:v>44245</c:v>
                </c:pt>
                <c:pt idx="1">
                  <c:v>47061</c:v>
                </c:pt>
                <c:pt idx="2">
                  <c:v>46500</c:v>
                </c:pt>
                <c:pt idx="3">
                  <c:v>45385</c:v>
                </c:pt>
                <c:pt idx="4">
                  <c:v>45518</c:v>
                </c:pt>
                <c:pt idx="5">
                  <c:v>43916</c:v>
                </c:pt>
                <c:pt idx="6">
                  <c:v>43566</c:v>
                </c:pt>
                <c:pt idx="7">
                  <c:v>42951</c:v>
                </c:pt>
                <c:pt idx="8">
                  <c:v>42123</c:v>
                </c:pt>
                <c:pt idx="9">
                  <c:v>41986</c:v>
                </c:pt>
                <c:pt idx="10">
                  <c:v>42524</c:v>
                </c:pt>
                <c:pt idx="11">
                  <c:v>44266</c:v>
                </c:pt>
                <c:pt idx="12">
                  <c:v>44620</c:v>
                </c:pt>
                <c:pt idx="13">
                  <c:v>44628</c:v>
                </c:pt>
                <c:pt idx="14">
                  <c:v>44302</c:v>
                </c:pt>
                <c:pt idx="15">
                  <c:v>43839</c:v>
                </c:pt>
                <c:pt idx="16">
                  <c:v>42373</c:v>
                </c:pt>
                <c:pt idx="17">
                  <c:v>42313</c:v>
                </c:pt>
                <c:pt idx="18">
                  <c:v>43663</c:v>
                </c:pt>
                <c:pt idx="19">
                  <c:v>44930</c:v>
                </c:pt>
                <c:pt idx="20">
                  <c:v>47862</c:v>
                </c:pt>
                <c:pt idx="21">
                  <c:v>50287</c:v>
                </c:pt>
                <c:pt idx="22">
                  <c:v>52778</c:v>
                </c:pt>
                <c:pt idx="23">
                  <c:v>52097</c:v>
                </c:pt>
                <c:pt idx="24">
                  <c:v>53546</c:v>
                </c:pt>
                <c:pt idx="25">
                  <c:v>53414</c:v>
                </c:pt>
                <c:pt idx="26">
                  <c:v>57618</c:v>
                </c:pt>
                <c:pt idx="27">
                  <c:v>61297</c:v>
                </c:pt>
                <c:pt idx="28">
                  <c:v>60928</c:v>
                </c:pt>
                <c:pt idx="29">
                  <c:v>58523</c:v>
                </c:pt>
                <c:pt idx="30">
                  <c:v>54219</c:v>
                </c:pt>
                <c:pt idx="31">
                  <c:v>54113</c:v>
                </c:pt>
                <c:pt idx="32">
                  <c:v>55888</c:v>
                </c:pt>
                <c:pt idx="33">
                  <c:v>59876</c:v>
                </c:pt>
                <c:pt idx="34">
                  <c:v>59176</c:v>
                </c:pt>
                <c:pt idx="35">
                  <c:v>54094</c:v>
                </c:pt>
                <c:pt idx="36">
                  <c:v>50556</c:v>
                </c:pt>
                <c:pt idx="37">
                  <c:v>43610</c:v>
                </c:pt>
                <c:pt idx="38">
                  <c:v>40518</c:v>
                </c:pt>
                <c:pt idx="39">
                  <c:v>37123</c:v>
                </c:pt>
                <c:pt idx="40">
                  <c:v>34936</c:v>
                </c:pt>
                <c:pt idx="41">
                  <c:v>33454</c:v>
                </c:pt>
                <c:pt idx="42">
                  <c:v>29056</c:v>
                </c:pt>
                <c:pt idx="43">
                  <c:v>26796</c:v>
                </c:pt>
                <c:pt idx="44">
                  <c:v>21806</c:v>
                </c:pt>
                <c:pt idx="45">
                  <c:v>16258</c:v>
                </c:pt>
                <c:pt idx="46">
                  <c:v>13697</c:v>
                </c:pt>
                <c:pt idx="47">
                  <c:v>12296</c:v>
                </c:pt>
                <c:pt idx="48">
                  <c:v>11567</c:v>
                </c:pt>
                <c:pt idx="49">
                  <c:v>14081</c:v>
                </c:pt>
                <c:pt idx="50">
                  <c:v>18472</c:v>
                </c:pt>
                <c:pt idx="51">
                  <c:v>20369</c:v>
                </c:pt>
                <c:pt idx="52">
                  <c:v>24202</c:v>
                </c:pt>
                <c:pt idx="53">
                  <c:v>28623</c:v>
                </c:pt>
                <c:pt idx="54">
                  <c:v>30995</c:v>
                </c:pt>
                <c:pt idx="55">
                  <c:v>38166</c:v>
                </c:pt>
                <c:pt idx="56">
                  <c:v>40326</c:v>
                </c:pt>
                <c:pt idx="57">
                  <c:v>41392</c:v>
                </c:pt>
                <c:pt idx="58">
                  <c:v>43439</c:v>
                </c:pt>
                <c:pt idx="59">
                  <c:v>42186</c:v>
                </c:pt>
                <c:pt idx="60">
                  <c:v>45720</c:v>
                </c:pt>
                <c:pt idx="61">
                  <c:v>43546</c:v>
                </c:pt>
                <c:pt idx="62">
                  <c:v>42899</c:v>
                </c:pt>
                <c:pt idx="63">
                  <c:v>42428</c:v>
                </c:pt>
                <c:pt idx="64">
                  <c:v>44649</c:v>
                </c:pt>
                <c:pt idx="65">
                  <c:v>46765</c:v>
                </c:pt>
                <c:pt idx="66">
                  <c:v>48157</c:v>
                </c:pt>
                <c:pt idx="67">
                  <c:v>52136</c:v>
                </c:pt>
                <c:pt idx="68">
                  <c:v>53156</c:v>
                </c:pt>
                <c:pt idx="69">
                  <c:v>54295</c:v>
                </c:pt>
                <c:pt idx="70">
                  <c:v>57008</c:v>
                </c:pt>
                <c:pt idx="71">
                  <c:v>56810</c:v>
                </c:pt>
                <c:pt idx="72">
                  <c:v>58862</c:v>
                </c:pt>
                <c:pt idx="73">
                  <c:v>59943</c:v>
                </c:pt>
                <c:pt idx="74">
                  <c:v>60902</c:v>
                </c:pt>
                <c:pt idx="75">
                  <c:v>61132</c:v>
                </c:pt>
                <c:pt idx="76">
                  <c:v>65789</c:v>
                </c:pt>
                <c:pt idx="77">
                  <c:v>66935</c:v>
                </c:pt>
                <c:pt idx="78">
                  <c:v>62532</c:v>
                </c:pt>
                <c:pt idx="79">
                  <c:v>61797</c:v>
                </c:pt>
                <c:pt idx="80">
                  <c:v>55179</c:v>
                </c:pt>
                <c:pt idx="81">
                  <c:v>51643</c:v>
                </c:pt>
                <c:pt idx="82">
                  <c:v>51721</c:v>
                </c:pt>
                <c:pt idx="83">
                  <c:v>52113</c:v>
                </c:pt>
                <c:pt idx="84">
                  <c:v>52489</c:v>
                </c:pt>
                <c:pt idx="85">
                  <c:v>53179</c:v>
                </c:pt>
                <c:pt idx="86">
                  <c:v>54559</c:v>
                </c:pt>
                <c:pt idx="87">
                  <c:v>52231</c:v>
                </c:pt>
                <c:pt idx="88">
                  <c:v>50892</c:v>
                </c:pt>
                <c:pt idx="89">
                  <c:v>50320</c:v>
                </c:pt>
                <c:pt idx="90">
                  <c:v>52521</c:v>
                </c:pt>
                <c:pt idx="91">
                  <c:v>53969</c:v>
                </c:pt>
                <c:pt idx="92">
                  <c:v>57285</c:v>
                </c:pt>
                <c:pt idx="93">
                  <c:v>59130</c:v>
                </c:pt>
                <c:pt idx="94">
                  <c:v>59761</c:v>
                </c:pt>
                <c:pt idx="95">
                  <c:v>62781</c:v>
                </c:pt>
                <c:pt idx="96">
                  <c:v>66436</c:v>
                </c:pt>
                <c:pt idx="97">
                  <c:v>68437</c:v>
                </c:pt>
                <c:pt idx="98">
                  <c:v>75543</c:v>
                </c:pt>
                <c:pt idx="99">
                  <c:v>80723</c:v>
                </c:pt>
                <c:pt idx="100">
                  <c:v>87567</c:v>
                </c:pt>
                <c:pt idx="101">
                  <c:v>95715</c:v>
                </c:pt>
                <c:pt idx="102">
                  <c:v>98544</c:v>
                </c:pt>
                <c:pt idx="103">
                  <c:v>99309</c:v>
                </c:pt>
                <c:pt idx="104">
                  <c:v>102862</c:v>
                </c:pt>
                <c:pt idx="105">
                  <c:v>106956</c:v>
                </c:pt>
                <c:pt idx="106">
                  <c:v>112300</c:v>
                </c:pt>
                <c:pt idx="107">
                  <c:v>118212</c:v>
                </c:pt>
                <c:pt idx="108">
                  <c:v>119273</c:v>
                </c:pt>
                <c:pt idx="109">
                  <c:v>120333</c:v>
                </c:pt>
                <c:pt idx="110">
                  <c:v>117277</c:v>
                </c:pt>
                <c:pt idx="111">
                  <c:v>111092</c:v>
                </c:pt>
                <c:pt idx="112">
                  <c:v>102816</c:v>
                </c:pt>
                <c:pt idx="113">
                  <c:v>94657</c:v>
                </c:pt>
                <c:pt idx="114">
                  <c:v>85605</c:v>
                </c:pt>
                <c:pt idx="115">
                  <c:v>82513</c:v>
                </c:pt>
                <c:pt idx="116">
                  <c:v>81545</c:v>
                </c:pt>
                <c:pt idx="117">
                  <c:v>83337</c:v>
                </c:pt>
                <c:pt idx="118">
                  <c:v>86754</c:v>
                </c:pt>
                <c:pt idx="119">
                  <c:v>90277</c:v>
                </c:pt>
                <c:pt idx="120">
                  <c:v>93266</c:v>
                </c:pt>
                <c:pt idx="121">
                  <c:v>94704</c:v>
                </c:pt>
                <c:pt idx="122">
                  <c:v>96149</c:v>
                </c:pt>
                <c:pt idx="123">
                  <c:v>97832</c:v>
                </c:pt>
                <c:pt idx="124">
                  <c:v>98866</c:v>
                </c:pt>
                <c:pt idx="125">
                  <c:v>101024</c:v>
                </c:pt>
                <c:pt idx="126">
                  <c:v>104448</c:v>
                </c:pt>
                <c:pt idx="127">
                  <c:v>104275</c:v>
                </c:pt>
                <c:pt idx="128">
                  <c:v>106394</c:v>
                </c:pt>
                <c:pt idx="129">
                  <c:v>104565</c:v>
                </c:pt>
                <c:pt idx="130">
                  <c:v>104518</c:v>
                </c:pt>
                <c:pt idx="131">
                  <c:v>106328</c:v>
                </c:pt>
                <c:pt idx="132">
                  <c:v>107056</c:v>
                </c:pt>
                <c:pt idx="133">
                  <c:v>108395</c:v>
                </c:pt>
                <c:pt idx="134">
                  <c:v>107761</c:v>
                </c:pt>
                <c:pt idx="135">
                  <c:v>108412</c:v>
                </c:pt>
                <c:pt idx="136">
                  <c:v>114028</c:v>
                </c:pt>
                <c:pt idx="137">
                  <c:v>123131</c:v>
                </c:pt>
                <c:pt idx="138">
                  <c:v>127498</c:v>
                </c:pt>
              </c:numCache>
            </c:numRef>
          </c:val>
          <c:smooth val="0"/>
        </c:ser>
        <c:dLbls>
          <c:showLegendKey val="0"/>
          <c:showVal val="0"/>
          <c:showCatName val="0"/>
          <c:showSerName val="0"/>
          <c:showPercent val="0"/>
          <c:showBubbleSize val="0"/>
        </c:dLbls>
        <c:smooth val="0"/>
        <c:axId val="201966384"/>
        <c:axId val="201966944"/>
      </c:lineChart>
      <c:dateAx>
        <c:axId val="201966384"/>
        <c:scaling>
          <c:orientation val="minMax"/>
        </c:scaling>
        <c:delete val="0"/>
        <c:axPos val="b"/>
        <c:numFmt formatCode="mmm\-yyyy"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66944"/>
        <c:crosses val="autoZero"/>
        <c:auto val="1"/>
        <c:lblOffset val="100"/>
        <c:baseTimeUnit val="months"/>
        <c:majorUnit val="12"/>
        <c:majorTimeUnit val="months"/>
      </c:dateAx>
      <c:valAx>
        <c:axId val="20196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Component of Annual Population Growth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66384"/>
        <c:crosses val="autoZero"/>
        <c:crossBetween val="between"/>
      </c:valAx>
      <c:spPr>
        <a:noFill/>
        <a:ln>
          <a:noFill/>
        </a:ln>
        <a:effectLst/>
      </c:spPr>
    </c:plotArea>
    <c:legend>
      <c:legendPos val="b"/>
      <c:layout>
        <c:manualLayout>
          <c:xMode val="edge"/>
          <c:yMode val="edge"/>
          <c:x val="0.15800711132118034"/>
          <c:y val="8.535730604524637E-2"/>
          <c:w val="0.81402629914111779"/>
          <c:h val="4.581306932221708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Number of Active Residential Rental Bonds</a:t>
            </a:r>
          </a:p>
          <a:p>
            <a:pPr algn="l">
              <a:defRPr/>
            </a:pPr>
            <a:r>
              <a:rPr lang="en-AU"/>
              <a:t>Metropolitan Melbourne Vs Regional</a:t>
            </a:r>
            <a:r>
              <a:rPr lang="en-AU" baseline="0"/>
              <a:t> Victoria</a:t>
            </a:r>
          </a:p>
          <a:p>
            <a:pPr algn="l">
              <a:defRPr/>
            </a:pPr>
            <a:r>
              <a:rPr lang="en-AU" sz="1050" baseline="0"/>
              <a:t>Source: DHHS Rental Report</a:t>
            </a:r>
            <a:endParaRPr lang="en-AU" sz="1050"/>
          </a:p>
        </c:rich>
      </c:tx>
      <c:layout>
        <c:manualLayout>
          <c:xMode val="edge"/>
          <c:yMode val="edge"/>
          <c:x val="1.8120417176287614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039132871009143E-2"/>
          <c:y val="0.15798835736164341"/>
          <c:w val="0.89391828791429928"/>
          <c:h val="0.6806699060784408"/>
        </c:manualLayout>
      </c:layout>
      <c:barChart>
        <c:barDir val="col"/>
        <c:grouping val="clustered"/>
        <c:varyColors val="0"/>
        <c:ser>
          <c:idx val="0"/>
          <c:order val="0"/>
          <c:tx>
            <c:strRef>
              <c:f>'Table 14'!$C$117</c:f>
              <c:strCache>
                <c:ptCount val="1"/>
                <c:pt idx="0">
                  <c:v>Metropolitan Melbourne</c:v>
                </c:pt>
              </c:strCache>
            </c:strRef>
          </c:tx>
          <c:spPr>
            <a:solidFill>
              <a:schemeClr val="accent1"/>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14'!$D$115:$S$115</c:f>
              <c:strCache>
                <c:ptCount val="16"/>
                <c:pt idx="0">
                  <c:v>Dec 2001</c:v>
                </c:pt>
                <c:pt idx="1">
                  <c:v>Dec 2002</c:v>
                </c:pt>
                <c:pt idx="2">
                  <c:v>Dec 2003</c:v>
                </c:pt>
                <c:pt idx="3">
                  <c:v>Dec 2004</c:v>
                </c:pt>
                <c:pt idx="4">
                  <c:v>Dec 2005</c:v>
                </c:pt>
                <c:pt idx="5">
                  <c:v>Dec 2006</c:v>
                </c:pt>
                <c:pt idx="6">
                  <c:v>Dec 2007</c:v>
                </c:pt>
                <c:pt idx="7">
                  <c:v>Dec 2008</c:v>
                </c:pt>
                <c:pt idx="8">
                  <c:v>Dec 2009</c:v>
                </c:pt>
                <c:pt idx="9">
                  <c:v>Dec 2010</c:v>
                </c:pt>
                <c:pt idx="10">
                  <c:v>Dec 2011</c:v>
                </c:pt>
                <c:pt idx="11">
                  <c:v>Dec 2012</c:v>
                </c:pt>
                <c:pt idx="12">
                  <c:v>Dec 2013</c:v>
                </c:pt>
                <c:pt idx="13">
                  <c:v>Dec 2014</c:v>
                </c:pt>
                <c:pt idx="14">
                  <c:v>Dec 2015</c:v>
                </c:pt>
                <c:pt idx="15">
                  <c:v>Dec 2016</c:v>
                </c:pt>
              </c:strCache>
            </c:strRef>
          </c:cat>
          <c:val>
            <c:numRef>
              <c:f>'Table 14'!$D$117:$S$117</c:f>
              <c:numCache>
                <c:formatCode>#,##0</c:formatCode>
                <c:ptCount val="16"/>
                <c:pt idx="0">
                  <c:v>209986</c:v>
                </c:pt>
                <c:pt idx="1">
                  <c:v>213183</c:v>
                </c:pt>
                <c:pt idx="2">
                  <c:v>221338</c:v>
                </c:pt>
                <c:pt idx="3">
                  <c:v>229969</c:v>
                </c:pt>
                <c:pt idx="4">
                  <c:v>236875</c:v>
                </c:pt>
                <c:pt idx="5">
                  <c:v>248507</c:v>
                </c:pt>
                <c:pt idx="6">
                  <c:v>263098</c:v>
                </c:pt>
                <c:pt idx="7">
                  <c:v>282802</c:v>
                </c:pt>
                <c:pt idx="8">
                  <c:v>299468</c:v>
                </c:pt>
                <c:pt idx="9">
                  <c:v>316108</c:v>
                </c:pt>
                <c:pt idx="10">
                  <c:v>336975</c:v>
                </c:pt>
                <c:pt idx="11">
                  <c:v>364117</c:v>
                </c:pt>
                <c:pt idx="12">
                  <c:v>386002</c:v>
                </c:pt>
                <c:pt idx="13">
                  <c:v>406097</c:v>
                </c:pt>
                <c:pt idx="14">
                  <c:v>426628</c:v>
                </c:pt>
                <c:pt idx="15">
                  <c:v>447132</c:v>
                </c:pt>
              </c:numCache>
            </c:numRef>
          </c:val>
        </c:ser>
        <c:ser>
          <c:idx val="1"/>
          <c:order val="1"/>
          <c:tx>
            <c:strRef>
              <c:f>'Table 14'!$C$118</c:f>
              <c:strCache>
                <c:ptCount val="1"/>
                <c:pt idx="0">
                  <c:v>Regional Victoria</c:v>
                </c:pt>
              </c:strCache>
            </c:strRef>
          </c:tx>
          <c:spPr>
            <a:solidFill>
              <a:srgbClr val="D5B5E7"/>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14'!$D$115:$S$115</c:f>
              <c:strCache>
                <c:ptCount val="16"/>
                <c:pt idx="0">
                  <c:v>Dec 2001</c:v>
                </c:pt>
                <c:pt idx="1">
                  <c:v>Dec 2002</c:v>
                </c:pt>
                <c:pt idx="2">
                  <c:v>Dec 2003</c:v>
                </c:pt>
                <c:pt idx="3">
                  <c:v>Dec 2004</c:v>
                </c:pt>
                <c:pt idx="4">
                  <c:v>Dec 2005</c:v>
                </c:pt>
                <c:pt idx="5">
                  <c:v>Dec 2006</c:v>
                </c:pt>
                <c:pt idx="6">
                  <c:v>Dec 2007</c:v>
                </c:pt>
                <c:pt idx="7">
                  <c:v>Dec 2008</c:v>
                </c:pt>
                <c:pt idx="8">
                  <c:v>Dec 2009</c:v>
                </c:pt>
                <c:pt idx="9">
                  <c:v>Dec 2010</c:v>
                </c:pt>
                <c:pt idx="10">
                  <c:v>Dec 2011</c:v>
                </c:pt>
                <c:pt idx="11">
                  <c:v>Dec 2012</c:v>
                </c:pt>
                <c:pt idx="12">
                  <c:v>Dec 2013</c:v>
                </c:pt>
                <c:pt idx="13">
                  <c:v>Dec 2014</c:v>
                </c:pt>
                <c:pt idx="14">
                  <c:v>Dec 2015</c:v>
                </c:pt>
                <c:pt idx="15">
                  <c:v>Dec 2016</c:v>
                </c:pt>
              </c:strCache>
            </c:strRef>
          </c:cat>
          <c:val>
            <c:numRef>
              <c:f>'Table 14'!$D$118:$S$118</c:f>
              <c:numCache>
                <c:formatCode>#,##0</c:formatCode>
                <c:ptCount val="16"/>
                <c:pt idx="0">
                  <c:v>52278</c:v>
                </c:pt>
                <c:pt idx="1">
                  <c:v>53273</c:v>
                </c:pt>
                <c:pt idx="2">
                  <c:v>56599</c:v>
                </c:pt>
                <c:pt idx="3">
                  <c:v>59506</c:v>
                </c:pt>
                <c:pt idx="4">
                  <c:v>61666</c:v>
                </c:pt>
                <c:pt idx="5">
                  <c:v>64890</c:v>
                </c:pt>
                <c:pt idx="6">
                  <c:v>69277</c:v>
                </c:pt>
                <c:pt idx="7">
                  <c:v>75264</c:v>
                </c:pt>
                <c:pt idx="8">
                  <c:v>79430</c:v>
                </c:pt>
                <c:pt idx="9">
                  <c:v>83860</c:v>
                </c:pt>
                <c:pt idx="10">
                  <c:v>88523</c:v>
                </c:pt>
                <c:pt idx="11">
                  <c:v>93501</c:v>
                </c:pt>
                <c:pt idx="12">
                  <c:v>97670</c:v>
                </c:pt>
                <c:pt idx="13">
                  <c:v>102003</c:v>
                </c:pt>
                <c:pt idx="14">
                  <c:v>104723</c:v>
                </c:pt>
                <c:pt idx="15">
                  <c:v>106337</c:v>
                </c:pt>
              </c:numCache>
            </c:numRef>
          </c:val>
        </c:ser>
        <c:dLbls>
          <c:showLegendKey val="0"/>
          <c:showVal val="0"/>
          <c:showCatName val="0"/>
          <c:showSerName val="0"/>
          <c:showPercent val="0"/>
          <c:showBubbleSize val="0"/>
        </c:dLbls>
        <c:gapWidth val="20"/>
        <c:axId val="206995984"/>
        <c:axId val="206996544"/>
      </c:barChart>
      <c:catAx>
        <c:axId val="20699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96544"/>
        <c:crosses val="autoZero"/>
        <c:auto val="1"/>
        <c:lblAlgn val="ctr"/>
        <c:lblOffset val="100"/>
        <c:noMultiLvlLbl val="0"/>
      </c:catAx>
      <c:valAx>
        <c:axId val="20699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95984"/>
        <c:crosses val="autoZero"/>
        <c:crossBetween val="between"/>
      </c:valAx>
      <c:spPr>
        <a:noFill/>
        <a:ln>
          <a:noFill/>
        </a:ln>
        <a:effectLst/>
      </c:spPr>
    </c:plotArea>
    <c:legend>
      <c:legendPos val="b"/>
      <c:layout>
        <c:manualLayout>
          <c:xMode val="edge"/>
          <c:yMode val="edge"/>
          <c:x val="0.55070167611127463"/>
          <c:y val="6.1935289062318563E-3"/>
          <c:w val="0.40986781001077388"/>
          <c:h val="0.106733165482624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Active Residential </a:t>
            </a:r>
            <a:r>
              <a:rPr lang="en-AU" baseline="0"/>
              <a:t>Rental Bonds December 2016</a:t>
            </a:r>
          </a:p>
          <a:p>
            <a:pPr algn="l">
              <a:defRPr/>
            </a:pPr>
            <a:r>
              <a:rPr lang="en-AU" baseline="0"/>
              <a:t>Metropolitan Melbourne</a:t>
            </a:r>
          </a:p>
          <a:p>
            <a:pPr algn="l">
              <a:defRPr/>
            </a:pPr>
            <a:r>
              <a:rPr lang="en-AU" sz="1000" baseline="0"/>
              <a:t>Source: DHHS Quaterly Rental Report </a:t>
            </a:r>
            <a:endParaRPr lang="en-AU" sz="1000"/>
          </a:p>
        </c:rich>
      </c:tx>
      <c:layout>
        <c:manualLayout>
          <c:xMode val="edge"/>
          <c:yMode val="edge"/>
          <c:x val="1.909151027483053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14'!$S$4:$S$46</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14'!$T$4:$T$46</c:f>
              <c:numCache>
                <c:formatCode>#,##0</c:formatCode>
                <c:ptCount val="43"/>
                <c:pt idx="1">
                  <c:v>44332</c:v>
                </c:pt>
                <c:pt idx="2">
                  <c:v>21237</c:v>
                </c:pt>
                <c:pt idx="3">
                  <c:v>16883</c:v>
                </c:pt>
                <c:pt idx="6">
                  <c:v>9446</c:v>
                </c:pt>
                <c:pt idx="7">
                  <c:v>7189</c:v>
                </c:pt>
                <c:pt idx="8">
                  <c:v>8556</c:v>
                </c:pt>
                <c:pt idx="9">
                  <c:v>15940</c:v>
                </c:pt>
                <c:pt idx="10">
                  <c:v>15035</c:v>
                </c:pt>
                <c:pt idx="11">
                  <c:v>6473</c:v>
                </c:pt>
                <c:pt idx="14">
                  <c:v>7733</c:v>
                </c:pt>
                <c:pt idx="15">
                  <c:v>19334</c:v>
                </c:pt>
                <c:pt idx="16">
                  <c:v>20244</c:v>
                </c:pt>
                <c:pt idx="17">
                  <c:v>21965</c:v>
                </c:pt>
                <c:pt idx="20">
                  <c:v>11057</c:v>
                </c:pt>
                <c:pt idx="21">
                  <c:v>18050</c:v>
                </c:pt>
                <c:pt idx="22">
                  <c:v>12469</c:v>
                </c:pt>
                <c:pt idx="23">
                  <c:v>2398</c:v>
                </c:pt>
                <c:pt idx="24">
                  <c:v>22354</c:v>
                </c:pt>
                <c:pt idx="25">
                  <c:v>3075</c:v>
                </c:pt>
                <c:pt idx="26">
                  <c:v>11935</c:v>
                </c:pt>
                <c:pt idx="29">
                  <c:v>6678</c:v>
                </c:pt>
                <c:pt idx="30">
                  <c:v>17329</c:v>
                </c:pt>
                <c:pt idx="31">
                  <c:v>13057</c:v>
                </c:pt>
                <c:pt idx="32">
                  <c:v>14949</c:v>
                </c:pt>
                <c:pt idx="33">
                  <c:v>13268</c:v>
                </c:pt>
                <c:pt idx="34">
                  <c:v>10814</c:v>
                </c:pt>
                <c:pt idx="37">
                  <c:v>14561</c:v>
                </c:pt>
                <c:pt idx="38">
                  <c:v>7892</c:v>
                </c:pt>
                <c:pt idx="39">
                  <c:v>12167</c:v>
                </c:pt>
                <c:pt idx="40">
                  <c:v>10575</c:v>
                </c:pt>
                <c:pt idx="41">
                  <c:v>11779</c:v>
                </c:pt>
                <c:pt idx="42">
                  <c:v>18358</c:v>
                </c:pt>
              </c:numCache>
            </c:numRef>
          </c:val>
        </c:ser>
        <c:dLbls>
          <c:showLegendKey val="0"/>
          <c:showVal val="0"/>
          <c:showCatName val="0"/>
          <c:showSerName val="0"/>
          <c:showPercent val="0"/>
          <c:showBubbleSize val="0"/>
        </c:dLbls>
        <c:gapWidth val="40"/>
        <c:axId val="206998784"/>
        <c:axId val="206999344"/>
      </c:barChart>
      <c:catAx>
        <c:axId val="20699878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99344"/>
        <c:crosses val="autoZero"/>
        <c:auto val="1"/>
        <c:lblAlgn val="ctr"/>
        <c:lblOffset val="100"/>
        <c:noMultiLvlLbl val="0"/>
      </c:catAx>
      <c:valAx>
        <c:axId val="2069993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9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Active Residential </a:t>
            </a:r>
            <a:r>
              <a:rPr lang="en-AU" baseline="0"/>
              <a:t>Rental Bonds December 2016</a:t>
            </a:r>
          </a:p>
          <a:p>
            <a:pPr algn="l">
              <a:defRPr/>
            </a:pPr>
            <a:r>
              <a:rPr lang="en-AU" baseline="0"/>
              <a:t>Regional Victoria</a:t>
            </a:r>
          </a:p>
          <a:p>
            <a:pPr algn="l">
              <a:defRPr/>
            </a:pPr>
            <a:r>
              <a:rPr lang="en-AU" sz="1000" baseline="0"/>
              <a:t>Source: DHHS Quaterly Rental Report </a:t>
            </a:r>
            <a:endParaRPr lang="en-AU" sz="1000"/>
          </a:p>
        </c:rich>
      </c:tx>
      <c:layout>
        <c:manualLayout>
          <c:xMode val="edge"/>
          <c:yMode val="edge"/>
          <c:x val="1.909151027483053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14'!$S$48:$S$99</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14'!$T$48:$T$99</c:f>
              <c:numCache>
                <c:formatCode>#,##0</c:formatCode>
                <c:ptCount val="52"/>
                <c:pt idx="1">
                  <c:v>10624</c:v>
                </c:pt>
                <c:pt idx="2">
                  <c:v>9905</c:v>
                </c:pt>
                <c:pt idx="3">
                  <c:v>20768</c:v>
                </c:pt>
                <c:pt idx="4">
                  <c:v>5099</c:v>
                </c:pt>
                <c:pt idx="5">
                  <c:v>1528</c:v>
                </c:pt>
                <c:pt idx="6">
                  <c:v>6000</c:v>
                </c:pt>
                <c:pt idx="7">
                  <c:v>4751</c:v>
                </c:pt>
                <c:pt idx="8">
                  <c:v>1911</c:v>
                </c:pt>
                <c:pt idx="9">
                  <c:v>3245</c:v>
                </c:pt>
                <c:pt idx="10">
                  <c:v>3923</c:v>
                </c:pt>
                <c:pt idx="13">
                  <c:v>2893</c:v>
                </c:pt>
                <c:pt idx="14">
                  <c:v>2923</c:v>
                </c:pt>
                <c:pt idx="15">
                  <c:v>402</c:v>
                </c:pt>
                <c:pt idx="16">
                  <c:v>1883</c:v>
                </c:pt>
                <c:pt idx="17">
                  <c:v>1531</c:v>
                </c:pt>
                <c:pt idx="18">
                  <c:v>623</c:v>
                </c:pt>
                <c:pt idx="19">
                  <c:v>109</c:v>
                </c:pt>
                <c:pt idx="20">
                  <c:v>1360</c:v>
                </c:pt>
                <c:pt idx="21">
                  <c:v>2072</c:v>
                </c:pt>
                <c:pt idx="24">
                  <c:v>791</c:v>
                </c:pt>
                <c:pt idx="25">
                  <c:v>711</c:v>
                </c:pt>
                <c:pt idx="26">
                  <c:v>1039</c:v>
                </c:pt>
                <c:pt idx="27">
                  <c:v>167</c:v>
                </c:pt>
                <c:pt idx="28">
                  <c:v>2180</c:v>
                </c:pt>
                <c:pt idx="29">
                  <c:v>796</c:v>
                </c:pt>
                <c:pt idx="30">
                  <c:v>1286</c:v>
                </c:pt>
                <c:pt idx="31">
                  <c:v>658</c:v>
                </c:pt>
                <c:pt idx="32">
                  <c:v>2933</c:v>
                </c:pt>
                <c:pt idx="33">
                  <c:v>494</c:v>
                </c:pt>
                <c:pt idx="34">
                  <c:v>1205</c:v>
                </c:pt>
                <c:pt idx="35">
                  <c:v>766</c:v>
                </c:pt>
                <c:pt idx="36">
                  <c:v>261</c:v>
                </c:pt>
                <c:pt idx="37">
                  <c:v>736</c:v>
                </c:pt>
                <c:pt idx="38">
                  <c:v>181</c:v>
                </c:pt>
                <c:pt idx="39">
                  <c:v>388</c:v>
                </c:pt>
                <c:pt idx="40">
                  <c:v>1850</c:v>
                </c:pt>
                <c:pt idx="41">
                  <c:v>922</c:v>
                </c:pt>
                <c:pt idx="42">
                  <c:v>625</c:v>
                </c:pt>
                <c:pt idx="43">
                  <c:v>665</c:v>
                </c:pt>
                <c:pt idx="44">
                  <c:v>200</c:v>
                </c:pt>
                <c:pt idx="45">
                  <c:v>910</c:v>
                </c:pt>
                <c:pt idx="46">
                  <c:v>516</c:v>
                </c:pt>
                <c:pt idx="47">
                  <c:v>1292</c:v>
                </c:pt>
                <c:pt idx="48">
                  <c:v>253</c:v>
                </c:pt>
                <c:pt idx="49">
                  <c:v>2649</c:v>
                </c:pt>
                <c:pt idx="50">
                  <c:v>76</c:v>
                </c:pt>
                <c:pt idx="51">
                  <c:v>237</c:v>
                </c:pt>
              </c:numCache>
            </c:numRef>
          </c:val>
        </c:ser>
        <c:dLbls>
          <c:showLegendKey val="0"/>
          <c:showVal val="0"/>
          <c:showCatName val="0"/>
          <c:showSerName val="0"/>
          <c:showPercent val="0"/>
          <c:showBubbleSize val="0"/>
        </c:dLbls>
        <c:gapWidth val="40"/>
        <c:axId val="207001584"/>
        <c:axId val="207002144"/>
      </c:barChart>
      <c:catAx>
        <c:axId val="20700158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02144"/>
        <c:crosses val="autoZero"/>
        <c:auto val="1"/>
        <c:lblAlgn val="ctr"/>
        <c:lblOffset val="100"/>
        <c:noMultiLvlLbl val="0"/>
      </c:catAx>
      <c:valAx>
        <c:axId val="2070021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01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Growth in Active Residential </a:t>
            </a:r>
            <a:r>
              <a:rPr lang="en-AU" baseline="0"/>
              <a:t>Rental Bonds  (%) - December 2016</a:t>
            </a:r>
          </a:p>
          <a:p>
            <a:pPr algn="l">
              <a:defRPr/>
            </a:pPr>
            <a:r>
              <a:rPr lang="en-AU" baseline="0"/>
              <a:t>Metropolitan Melbourne</a:t>
            </a:r>
          </a:p>
          <a:p>
            <a:pPr algn="l">
              <a:defRPr/>
            </a:pPr>
            <a:r>
              <a:rPr lang="en-AU" sz="1000" baseline="0"/>
              <a:t>Source: DHHS Quaterly Rental Report </a:t>
            </a:r>
            <a:endParaRPr lang="en-AU" sz="1000"/>
          </a:p>
        </c:rich>
      </c:tx>
      <c:layout>
        <c:manualLayout>
          <c:xMode val="edge"/>
          <c:yMode val="edge"/>
          <c:x val="1.909151027483053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14'!$S$4:$S$46</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'Table 14'!$U$4:$U$46</c:f>
              <c:numCache>
                <c:formatCode>0.0%</c:formatCode>
                <c:ptCount val="43"/>
                <c:pt idx="1">
                  <c:v>7.6097774109765259E-2</c:v>
                </c:pt>
                <c:pt idx="2">
                  <c:v>1.0323501427212278E-2</c:v>
                </c:pt>
                <c:pt idx="3">
                  <c:v>5.9957307885484701E-2</c:v>
                </c:pt>
                <c:pt idx="6">
                  <c:v>6.0395150426582944E-2</c:v>
                </c:pt>
                <c:pt idx="7">
                  <c:v>9.2055293938933636E-2</c:v>
                </c:pt>
                <c:pt idx="8">
                  <c:v>5.4993834771886574E-2</c:v>
                </c:pt>
                <c:pt idx="9">
                  <c:v>4.1830065359477198E-2</c:v>
                </c:pt>
                <c:pt idx="10">
                  <c:v>6.8206039076376568E-2</c:v>
                </c:pt>
                <c:pt idx="11">
                  <c:v>1.9691241335853871E-2</c:v>
                </c:pt>
                <c:pt idx="14">
                  <c:v>4.6697347049269089E-2</c:v>
                </c:pt>
                <c:pt idx="15">
                  <c:v>3.5176955613856586E-2</c:v>
                </c:pt>
                <c:pt idx="16">
                  <c:v>4.5337188887741409E-2</c:v>
                </c:pt>
                <c:pt idx="17">
                  <c:v>3.0494956603331014E-2</c:v>
                </c:pt>
                <c:pt idx="20">
                  <c:v>4.5678078305277037E-2</c:v>
                </c:pt>
                <c:pt idx="21">
                  <c:v>4.3774937836118744E-2</c:v>
                </c:pt>
                <c:pt idx="22">
                  <c:v>8.1908893709327524E-2</c:v>
                </c:pt>
                <c:pt idx="23">
                  <c:v>2.3474178403755763E-2</c:v>
                </c:pt>
                <c:pt idx="24">
                  <c:v>5.6427221172022701E-2</c:v>
                </c:pt>
                <c:pt idx="25">
                  <c:v>6.882168925964538E-2</c:v>
                </c:pt>
                <c:pt idx="26">
                  <c:v>8.0775151679797208E-2</c:v>
                </c:pt>
                <c:pt idx="29">
                  <c:v>3.8407712641890912E-2</c:v>
                </c:pt>
                <c:pt idx="30">
                  <c:v>6.2477007970570098E-2</c:v>
                </c:pt>
                <c:pt idx="31">
                  <c:v>1.7454998831138546E-2</c:v>
                </c:pt>
                <c:pt idx="32">
                  <c:v>3.6182158452900737E-2</c:v>
                </c:pt>
                <c:pt idx="33">
                  <c:v>2.8686618080322468E-2</c:v>
                </c:pt>
                <c:pt idx="34">
                  <c:v>9.2393840410638362E-3</c:v>
                </c:pt>
                <c:pt idx="37">
                  <c:v>2.8827810358228012E-2</c:v>
                </c:pt>
                <c:pt idx="38">
                  <c:v>2.2279792746114024E-2</c:v>
                </c:pt>
                <c:pt idx="39">
                  <c:v>5.2417610933310321E-2</c:v>
                </c:pt>
                <c:pt idx="40">
                  <c:v>6.3455349959774754E-2</c:v>
                </c:pt>
                <c:pt idx="41">
                  <c:v>3.2430537295117912E-2</c:v>
                </c:pt>
                <c:pt idx="42">
                  <c:v>6.7511775309647026E-2</c:v>
                </c:pt>
              </c:numCache>
            </c:numRef>
          </c:val>
        </c:ser>
        <c:dLbls>
          <c:showLegendKey val="0"/>
          <c:showVal val="0"/>
          <c:showCatName val="0"/>
          <c:showSerName val="0"/>
          <c:showPercent val="0"/>
          <c:showBubbleSize val="0"/>
        </c:dLbls>
        <c:gapWidth val="40"/>
        <c:axId val="207086576"/>
        <c:axId val="207087136"/>
      </c:barChart>
      <c:catAx>
        <c:axId val="20708657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87136"/>
        <c:crosses val="autoZero"/>
        <c:auto val="1"/>
        <c:lblAlgn val="ctr"/>
        <c:lblOffset val="100"/>
        <c:noMultiLvlLbl val="0"/>
      </c:catAx>
      <c:valAx>
        <c:axId val="2070871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8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Growth in Active Residential </a:t>
            </a:r>
            <a:r>
              <a:rPr lang="en-AU" baseline="0"/>
              <a:t>Rental Bonds  (%) - December 2016</a:t>
            </a:r>
          </a:p>
          <a:p>
            <a:pPr algn="l">
              <a:defRPr/>
            </a:pPr>
            <a:r>
              <a:rPr lang="en-AU" baseline="0"/>
              <a:t>Metropolitan Melbourne</a:t>
            </a:r>
          </a:p>
          <a:p>
            <a:pPr algn="l">
              <a:defRPr/>
            </a:pPr>
            <a:r>
              <a:rPr lang="en-AU" sz="1000" baseline="0"/>
              <a:t>Source: DHHS Quaterly Rental Report </a:t>
            </a:r>
            <a:endParaRPr lang="en-AU" sz="1000"/>
          </a:p>
        </c:rich>
      </c:tx>
      <c:layout>
        <c:manualLayout>
          <c:xMode val="edge"/>
          <c:yMode val="edge"/>
          <c:x val="1.909151027483053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14'!$S$48:$S$99</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'Table 14'!$U$48:$U$99</c:f>
              <c:numCache>
                <c:formatCode>0.0%</c:formatCode>
                <c:ptCount val="52"/>
                <c:pt idx="1">
                  <c:v>1.9577735124760132E-2</c:v>
                </c:pt>
                <c:pt idx="2">
                  <c:v>1.8823287389426069E-2</c:v>
                </c:pt>
                <c:pt idx="3">
                  <c:v>2.8831863667888591E-2</c:v>
                </c:pt>
                <c:pt idx="4">
                  <c:v>3.9238767902682881E-4</c:v>
                </c:pt>
                <c:pt idx="5">
                  <c:v>1.7988007994670152E-2</c:v>
                </c:pt>
                <c:pt idx="6">
                  <c:v>1.0101010101010166E-2</c:v>
                </c:pt>
                <c:pt idx="7">
                  <c:v>1.7344753747323249E-2</c:v>
                </c:pt>
                <c:pt idx="8">
                  <c:v>6.8493150684931781E-3</c:v>
                </c:pt>
                <c:pt idx="9">
                  <c:v>2.3013871374527151E-2</c:v>
                </c:pt>
                <c:pt idx="10">
                  <c:v>2.1880698098463158E-2</c:v>
                </c:pt>
                <c:pt idx="13">
                  <c:v>2.0782819535849484E-3</c:v>
                </c:pt>
                <c:pt idx="14">
                  <c:v>3.6157390996100602E-2</c:v>
                </c:pt>
                <c:pt idx="15">
                  <c:v>1.0050251256281451E-2</c:v>
                </c:pt>
                <c:pt idx="16">
                  <c:v>2.6717557251908497E-2</c:v>
                </c:pt>
                <c:pt idx="17">
                  <c:v>1.9633507853402676E-3</c:v>
                </c:pt>
                <c:pt idx="18">
                  <c:v>-3.5603715170278605E-2</c:v>
                </c:pt>
                <c:pt idx="19">
                  <c:v>2.8301886792452935E-2</c:v>
                </c:pt>
                <c:pt idx="20">
                  <c:v>7.3583517292119538E-4</c:v>
                </c:pt>
                <c:pt idx="21">
                  <c:v>9.74658869395717E-3</c:v>
                </c:pt>
                <c:pt idx="24">
                  <c:v>1.5404364569961526E-2</c:v>
                </c:pt>
                <c:pt idx="25">
                  <c:v>2.7456647398844014E-2</c:v>
                </c:pt>
                <c:pt idx="26">
                  <c:v>6.7829457364341206E-3</c:v>
                </c:pt>
                <c:pt idx="27">
                  <c:v>7.0512820512820484E-2</c:v>
                </c:pt>
                <c:pt idx="28">
                  <c:v>-1.3742556115436955E-3</c:v>
                </c:pt>
                <c:pt idx="29">
                  <c:v>4.8748353096179198E-2</c:v>
                </c:pt>
                <c:pt idx="30">
                  <c:v>4.2139384116693712E-2</c:v>
                </c:pt>
                <c:pt idx="31">
                  <c:v>1.0752688172043001E-2</c:v>
                </c:pt>
                <c:pt idx="32">
                  <c:v>1.3476157567380742E-2</c:v>
                </c:pt>
                <c:pt idx="33">
                  <c:v>-2.1782178217821802E-2</c:v>
                </c:pt>
                <c:pt idx="34">
                  <c:v>2.0321761219305623E-2</c:v>
                </c:pt>
                <c:pt idx="35">
                  <c:v>2.6178010471205049E-3</c:v>
                </c:pt>
                <c:pt idx="36">
                  <c:v>-1.8796992481203034E-2</c:v>
                </c:pt>
                <c:pt idx="37">
                  <c:v>8.2191780821918581E-3</c:v>
                </c:pt>
                <c:pt idx="38">
                  <c:v>2.2598870056497189E-2</c:v>
                </c:pt>
                <c:pt idx="39">
                  <c:v>6.887052341597788E-2</c:v>
                </c:pt>
                <c:pt idx="40">
                  <c:v>2.2099447513812098E-2</c:v>
                </c:pt>
                <c:pt idx="41">
                  <c:v>-1.0834236186348933E-3</c:v>
                </c:pt>
                <c:pt idx="42">
                  <c:v>-9.5087163232963068E-3</c:v>
                </c:pt>
                <c:pt idx="43">
                  <c:v>2.3076923076922995E-2</c:v>
                </c:pt>
                <c:pt idx="44">
                  <c:v>1.0101010101010166E-2</c:v>
                </c:pt>
                <c:pt idx="45">
                  <c:v>-1.1943539630836053E-2</c:v>
                </c:pt>
                <c:pt idx="46">
                  <c:v>2.9940119760478945E-2</c:v>
                </c:pt>
                <c:pt idx="47">
                  <c:v>-1.6742770167427756E-2</c:v>
                </c:pt>
                <c:pt idx="48">
                  <c:v>-3.937007874015741E-3</c:v>
                </c:pt>
                <c:pt idx="49">
                  <c:v>-4.33369447453954E-2</c:v>
                </c:pt>
                <c:pt idx="50">
                  <c:v>5.555555555555558E-2</c:v>
                </c:pt>
                <c:pt idx="51">
                  <c:v>-4.2016806722688926E-3</c:v>
                </c:pt>
              </c:numCache>
            </c:numRef>
          </c:val>
        </c:ser>
        <c:dLbls>
          <c:showLegendKey val="0"/>
          <c:showVal val="0"/>
          <c:showCatName val="0"/>
          <c:showSerName val="0"/>
          <c:showPercent val="0"/>
          <c:showBubbleSize val="0"/>
        </c:dLbls>
        <c:gapWidth val="40"/>
        <c:axId val="207089376"/>
        <c:axId val="207089936"/>
      </c:barChart>
      <c:catAx>
        <c:axId val="20708937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89936"/>
        <c:crosses val="autoZero"/>
        <c:auto val="1"/>
        <c:lblAlgn val="ctr"/>
        <c:lblOffset val="100"/>
        <c:noMultiLvlLbl val="0"/>
      </c:catAx>
      <c:valAx>
        <c:axId val="2070899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89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Unemployment Rate</a:t>
            </a:r>
            <a:r>
              <a:rPr lang="en-AU" baseline="0"/>
              <a:t> of Victoria</a:t>
            </a:r>
          </a:p>
          <a:p>
            <a:pPr algn="l">
              <a:defRPr/>
            </a:pPr>
            <a:r>
              <a:rPr lang="en-AU" sz="1000" baseline="0"/>
              <a:t>Source: ABS Labour Force data</a:t>
            </a:r>
            <a:endParaRPr lang="en-AU" sz="1000"/>
          </a:p>
        </c:rich>
      </c:tx>
      <c:layout>
        <c:manualLayout>
          <c:xMode val="edge"/>
          <c:yMode val="edge"/>
          <c:x val="1.703667804928787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708919459289381E-2"/>
          <c:y val="0.11793393393393393"/>
          <c:w val="0.88648460509196059"/>
          <c:h val="0.75674843347284282"/>
        </c:manualLayout>
      </c:layout>
      <c:lineChart>
        <c:grouping val="standard"/>
        <c:varyColors val="0"/>
        <c:ser>
          <c:idx val="1"/>
          <c:order val="0"/>
          <c:tx>
            <c:v>Unemployment Rate (Seasonally adjusted)</c:v>
          </c:tx>
          <c:spPr>
            <a:ln w="28575" cap="rnd">
              <a:solidFill>
                <a:srgbClr val="FF0000"/>
              </a:solidFill>
              <a:round/>
            </a:ln>
            <a:effectLst/>
          </c:spPr>
          <c:marker>
            <c:symbol val="none"/>
          </c:marker>
          <c:cat>
            <c:numRef>
              <c:f>Data1!$A$274:$A$481</c:f>
              <c:numCache>
                <c:formatCode>mmm\-yyyy</c:formatCode>
                <c:ptCount val="208"/>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pt idx="207">
                  <c:v>42826</c:v>
                </c:pt>
              </c:numCache>
            </c:numRef>
          </c:cat>
          <c:val>
            <c:numRef>
              <c:f>Data1!$C$274:$C$481</c:f>
              <c:numCache>
                <c:formatCode>0.0;\-0.0;0.0;@</c:formatCode>
                <c:ptCount val="208"/>
                <c:pt idx="0">
                  <c:v>6.7649295</c:v>
                </c:pt>
                <c:pt idx="1">
                  <c:v>6.6360561999999996</c:v>
                </c:pt>
                <c:pt idx="2">
                  <c:v>6.5800616999999999</c:v>
                </c:pt>
                <c:pt idx="3">
                  <c:v>6.3505558000000004</c:v>
                </c:pt>
                <c:pt idx="4">
                  <c:v>6.5981588999999996</c:v>
                </c:pt>
                <c:pt idx="5">
                  <c:v>6.1191484000000003</c:v>
                </c:pt>
                <c:pt idx="6">
                  <c:v>5.9215296999999998</c:v>
                </c:pt>
                <c:pt idx="7">
                  <c:v>5.8877455000000003</c:v>
                </c:pt>
                <c:pt idx="8">
                  <c:v>5.9220756999999997</c:v>
                </c:pt>
                <c:pt idx="9">
                  <c:v>5.8185181000000004</c:v>
                </c:pt>
                <c:pt idx="10">
                  <c:v>5.8794900999999999</c:v>
                </c:pt>
                <c:pt idx="11">
                  <c:v>5.7699018999999998</c:v>
                </c:pt>
                <c:pt idx="12">
                  <c:v>5.7943563999999999</c:v>
                </c:pt>
                <c:pt idx="13">
                  <c:v>5.9879461000000003</c:v>
                </c:pt>
                <c:pt idx="14">
                  <c:v>6.1140401999999998</c:v>
                </c:pt>
                <c:pt idx="15">
                  <c:v>6.3143998000000003</c:v>
                </c:pt>
                <c:pt idx="16">
                  <c:v>6.3792482000000001</c:v>
                </c:pt>
                <c:pt idx="17">
                  <c:v>6.3032534</c:v>
                </c:pt>
                <c:pt idx="18">
                  <c:v>6.4804380999999998</c:v>
                </c:pt>
                <c:pt idx="19">
                  <c:v>6.5391725999999997</c:v>
                </c:pt>
                <c:pt idx="20">
                  <c:v>6.3288491999999996</c:v>
                </c:pt>
                <c:pt idx="21">
                  <c:v>7.1281393</c:v>
                </c:pt>
                <c:pt idx="22">
                  <c:v>6.6780635999999998</c:v>
                </c:pt>
                <c:pt idx="23">
                  <c:v>6.7879912999999998</c:v>
                </c:pt>
                <c:pt idx="24">
                  <c:v>6.5622810999999999</c:v>
                </c:pt>
                <c:pt idx="25">
                  <c:v>6.3077003999999999</c:v>
                </c:pt>
                <c:pt idx="26">
                  <c:v>6.0540284</c:v>
                </c:pt>
                <c:pt idx="27">
                  <c:v>5.6521439000000004</c:v>
                </c:pt>
                <c:pt idx="28">
                  <c:v>5.7734006000000004</c:v>
                </c:pt>
                <c:pt idx="29">
                  <c:v>6.3074871000000003</c:v>
                </c:pt>
                <c:pt idx="30">
                  <c:v>5.5836452000000003</c:v>
                </c:pt>
                <c:pt idx="31">
                  <c:v>6.1883406000000001</c:v>
                </c:pt>
                <c:pt idx="32">
                  <c:v>5.8757700000000002</c:v>
                </c:pt>
                <c:pt idx="33">
                  <c:v>5.9141971</c:v>
                </c:pt>
                <c:pt idx="34">
                  <c:v>5.7697744999999996</c:v>
                </c:pt>
                <c:pt idx="35">
                  <c:v>5.6036554000000001</c:v>
                </c:pt>
                <c:pt idx="36">
                  <c:v>5.5463912000000004</c:v>
                </c:pt>
                <c:pt idx="37">
                  <c:v>5.0662134999999999</c:v>
                </c:pt>
                <c:pt idx="38">
                  <c:v>5.6462326000000003</c:v>
                </c:pt>
                <c:pt idx="39">
                  <c:v>5.7436508000000002</c:v>
                </c:pt>
                <c:pt idx="40">
                  <c:v>5.8814576000000001</c:v>
                </c:pt>
                <c:pt idx="41">
                  <c:v>5.8920481000000002</c:v>
                </c:pt>
                <c:pt idx="42">
                  <c:v>5.7177857000000003</c:v>
                </c:pt>
                <c:pt idx="43">
                  <c:v>5.5117013000000004</c:v>
                </c:pt>
                <c:pt idx="44">
                  <c:v>5.2748280000000003</c:v>
                </c:pt>
                <c:pt idx="45">
                  <c:v>5.4781496000000001</c:v>
                </c:pt>
                <c:pt idx="46">
                  <c:v>5.2777113</c:v>
                </c:pt>
                <c:pt idx="47">
                  <c:v>5.5432224000000003</c:v>
                </c:pt>
                <c:pt idx="48">
                  <c:v>5.4668964999999998</c:v>
                </c:pt>
                <c:pt idx="49">
                  <c:v>5.6143349999999996</c:v>
                </c:pt>
                <c:pt idx="50">
                  <c:v>5.2525398000000001</c:v>
                </c:pt>
                <c:pt idx="51">
                  <c:v>5.5389232000000002</c:v>
                </c:pt>
                <c:pt idx="52">
                  <c:v>5.0451268000000002</c:v>
                </c:pt>
                <c:pt idx="53">
                  <c:v>5.327248</c:v>
                </c:pt>
                <c:pt idx="54">
                  <c:v>5.4527992999999997</c:v>
                </c:pt>
                <c:pt idx="55">
                  <c:v>5.8724360999999998</c:v>
                </c:pt>
                <c:pt idx="56">
                  <c:v>5.7875664999999996</c:v>
                </c:pt>
                <c:pt idx="57">
                  <c:v>5.5949340999999997</c:v>
                </c:pt>
                <c:pt idx="58">
                  <c:v>5.6779761999999998</c:v>
                </c:pt>
                <c:pt idx="59">
                  <c:v>5.5082959000000002</c:v>
                </c:pt>
                <c:pt idx="60">
                  <c:v>5.3852697000000003</c:v>
                </c:pt>
                <c:pt idx="61">
                  <c:v>5.4305713000000004</c:v>
                </c:pt>
                <c:pt idx="62">
                  <c:v>5.3929014000000004</c:v>
                </c:pt>
                <c:pt idx="63">
                  <c:v>5.3587452000000004</c:v>
                </c:pt>
                <c:pt idx="64">
                  <c:v>5.3438074000000002</c:v>
                </c:pt>
                <c:pt idx="65">
                  <c:v>5.1956809000000002</c:v>
                </c:pt>
                <c:pt idx="66">
                  <c:v>5.2723041000000004</c:v>
                </c:pt>
                <c:pt idx="67">
                  <c:v>5.1650361</c:v>
                </c:pt>
                <c:pt idx="68">
                  <c:v>5.4555777000000001</c:v>
                </c:pt>
                <c:pt idx="69">
                  <c:v>5.3403564000000001</c:v>
                </c:pt>
                <c:pt idx="70">
                  <c:v>5.2871465000000004</c:v>
                </c:pt>
                <c:pt idx="71">
                  <c:v>5.2606624999999996</c:v>
                </c:pt>
                <c:pt idx="72">
                  <c:v>5.2665471000000004</c:v>
                </c:pt>
                <c:pt idx="73">
                  <c:v>5.3013000000000003</c:v>
                </c:pt>
                <c:pt idx="74">
                  <c:v>5.1140606000000002</c:v>
                </c:pt>
                <c:pt idx="75">
                  <c:v>5.1199265</c:v>
                </c:pt>
                <c:pt idx="76">
                  <c:v>5.0114359999999998</c:v>
                </c:pt>
                <c:pt idx="77">
                  <c:v>5.0221802999999996</c:v>
                </c:pt>
                <c:pt idx="78">
                  <c:v>5.0789181000000001</c:v>
                </c:pt>
                <c:pt idx="79">
                  <c:v>4.6136967000000002</c:v>
                </c:pt>
                <c:pt idx="80">
                  <c:v>4.5780642</c:v>
                </c:pt>
                <c:pt idx="81">
                  <c:v>4.9593854999999998</c:v>
                </c:pt>
                <c:pt idx="82">
                  <c:v>4.7166319999999997</c:v>
                </c:pt>
                <c:pt idx="83">
                  <c:v>5.0040098000000004</c:v>
                </c:pt>
                <c:pt idx="84">
                  <c:v>4.9350617999999997</c:v>
                </c:pt>
                <c:pt idx="85">
                  <c:v>4.7741948000000001</c:v>
                </c:pt>
                <c:pt idx="86">
                  <c:v>4.8294025999999999</c:v>
                </c:pt>
                <c:pt idx="87">
                  <c:v>4.6369959999999999</c:v>
                </c:pt>
                <c:pt idx="88">
                  <c:v>4.7032688</c:v>
                </c:pt>
                <c:pt idx="89">
                  <c:v>4.6280508999999999</c:v>
                </c:pt>
                <c:pt idx="90">
                  <c:v>4.3306079999999998</c:v>
                </c:pt>
                <c:pt idx="91">
                  <c:v>4.7796457999999999</c:v>
                </c:pt>
                <c:pt idx="92">
                  <c:v>4.2890395000000003</c:v>
                </c:pt>
                <c:pt idx="93">
                  <c:v>4.4392623999999996</c:v>
                </c:pt>
                <c:pt idx="94">
                  <c:v>4.9110965000000002</c:v>
                </c:pt>
                <c:pt idx="95">
                  <c:v>4.8630956000000003</c:v>
                </c:pt>
                <c:pt idx="96">
                  <c:v>4.4765943000000004</c:v>
                </c:pt>
                <c:pt idx="97">
                  <c:v>4.1521945000000002</c:v>
                </c:pt>
                <c:pt idx="98">
                  <c:v>4.2486595999999999</c:v>
                </c:pt>
                <c:pt idx="99">
                  <c:v>4.6481805999999999</c:v>
                </c:pt>
                <c:pt idx="100">
                  <c:v>4.2987846999999997</c:v>
                </c:pt>
                <c:pt idx="101">
                  <c:v>4.6402425999999997</c:v>
                </c:pt>
                <c:pt idx="102">
                  <c:v>4.6404785999999998</c:v>
                </c:pt>
                <c:pt idx="103">
                  <c:v>4.1942946000000001</c:v>
                </c:pt>
                <c:pt idx="104">
                  <c:v>4.4332539000000004</c:v>
                </c:pt>
                <c:pt idx="105">
                  <c:v>4.3680662999999997</c:v>
                </c:pt>
                <c:pt idx="106">
                  <c:v>4.4621762</c:v>
                </c:pt>
                <c:pt idx="107">
                  <c:v>4.8344760999999998</c:v>
                </c:pt>
                <c:pt idx="108">
                  <c:v>4.8980508</c:v>
                </c:pt>
                <c:pt idx="109">
                  <c:v>5.5893243999999997</c:v>
                </c:pt>
                <c:pt idx="110">
                  <c:v>5.6640062999999996</c:v>
                </c:pt>
                <c:pt idx="111">
                  <c:v>5.7400254999999998</c:v>
                </c:pt>
                <c:pt idx="112">
                  <c:v>5.9716798000000004</c:v>
                </c:pt>
                <c:pt idx="113">
                  <c:v>6.1455406000000004</c:v>
                </c:pt>
                <c:pt idx="114">
                  <c:v>5.7490186999999997</c:v>
                </c:pt>
                <c:pt idx="115">
                  <c:v>6.0924341999999996</c:v>
                </c:pt>
                <c:pt idx="116">
                  <c:v>5.6386284</c:v>
                </c:pt>
                <c:pt idx="117">
                  <c:v>5.6036044</c:v>
                </c:pt>
                <c:pt idx="118">
                  <c:v>5.1700718999999999</c:v>
                </c:pt>
                <c:pt idx="119">
                  <c:v>5.4269379999999998</c:v>
                </c:pt>
                <c:pt idx="120">
                  <c:v>5.2753597000000001</c:v>
                </c:pt>
                <c:pt idx="121">
                  <c:v>5.2652203000000002</c:v>
                </c:pt>
                <c:pt idx="122">
                  <c:v>5.4020311000000003</c:v>
                </c:pt>
                <c:pt idx="123">
                  <c:v>5.4357480000000002</c:v>
                </c:pt>
                <c:pt idx="124">
                  <c:v>5.4656798000000002</c:v>
                </c:pt>
                <c:pt idx="125">
                  <c:v>5.5261760000000004</c:v>
                </c:pt>
                <c:pt idx="126">
                  <c:v>5.4472959999999997</c:v>
                </c:pt>
                <c:pt idx="127">
                  <c:v>5.3918881000000001</c:v>
                </c:pt>
                <c:pt idx="128">
                  <c:v>5.1887046999999997</c:v>
                </c:pt>
                <c:pt idx="129">
                  <c:v>5.4563002999999997</c:v>
                </c:pt>
                <c:pt idx="130">
                  <c:v>5.1951904000000004</c:v>
                </c:pt>
                <c:pt idx="131">
                  <c:v>4.9159382000000003</c:v>
                </c:pt>
                <c:pt idx="132">
                  <c:v>4.9860454000000001</c:v>
                </c:pt>
                <c:pt idx="133">
                  <c:v>4.9528946999999999</c:v>
                </c:pt>
                <c:pt idx="134">
                  <c:v>4.3629052000000001</c:v>
                </c:pt>
                <c:pt idx="135">
                  <c:v>4.7693099999999999</c:v>
                </c:pt>
                <c:pt idx="136">
                  <c:v>5.1724569999999996</c:v>
                </c:pt>
                <c:pt idx="137">
                  <c:v>4.6883808</c:v>
                </c:pt>
                <c:pt idx="138">
                  <c:v>5.1889208</c:v>
                </c:pt>
                <c:pt idx="139">
                  <c:v>5.1266008999999997</c:v>
                </c:pt>
                <c:pt idx="140">
                  <c:v>5.3049793000000003</c:v>
                </c:pt>
                <c:pt idx="141">
                  <c:v>5.3230696000000002</c:v>
                </c:pt>
                <c:pt idx="142">
                  <c:v>5.3954414000000002</c:v>
                </c:pt>
                <c:pt idx="143">
                  <c:v>5.2511751000000002</c:v>
                </c:pt>
                <c:pt idx="144">
                  <c:v>5.0292583999999998</c:v>
                </c:pt>
                <c:pt idx="145">
                  <c:v>5.5124579000000002</c:v>
                </c:pt>
                <c:pt idx="146">
                  <c:v>5.7768714000000001</c:v>
                </c:pt>
                <c:pt idx="147">
                  <c:v>5.3509048999999997</c:v>
                </c:pt>
                <c:pt idx="148">
                  <c:v>5.5459240000000003</c:v>
                </c:pt>
                <c:pt idx="149">
                  <c:v>5.5758587000000004</c:v>
                </c:pt>
                <c:pt idx="150">
                  <c:v>5.4119349999999997</c:v>
                </c:pt>
                <c:pt idx="151">
                  <c:v>5.5697424</c:v>
                </c:pt>
                <c:pt idx="152">
                  <c:v>5.5938074000000002</c:v>
                </c:pt>
                <c:pt idx="153">
                  <c:v>5.3846946000000004</c:v>
                </c:pt>
                <c:pt idx="154">
                  <c:v>5.3734821000000004</c:v>
                </c:pt>
                <c:pt idx="155">
                  <c:v>5.6858314999999999</c:v>
                </c:pt>
                <c:pt idx="156">
                  <c:v>5.9340339000000002</c:v>
                </c:pt>
                <c:pt idx="157">
                  <c:v>5.6279969999999997</c:v>
                </c:pt>
                <c:pt idx="158">
                  <c:v>5.6661542000000003</c:v>
                </c:pt>
                <c:pt idx="159">
                  <c:v>5.9432656000000001</c:v>
                </c:pt>
                <c:pt idx="160">
                  <c:v>5.6185863999999999</c:v>
                </c:pt>
                <c:pt idx="161">
                  <c:v>5.9803930999999997</c:v>
                </c:pt>
                <c:pt idx="162">
                  <c:v>5.6566768999999999</c:v>
                </c:pt>
                <c:pt idx="163">
                  <c:v>5.7673097000000002</c:v>
                </c:pt>
                <c:pt idx="164">
                  <c:v>5.7857991999999996</c:v>
                </c:pt>
                <c:pt idx="165">
                  <c:v>6.0319509</c:v>
                </c:pt>
                <c:pt idx="166">
                  <c:v>6.1181618000000002</c:v>
                </c:pt>
                <c:pt idx="167">
                  <c:v>6.2492858</c:v>
                </c:pt>
                <c:pt idx="168">
                  <c:v>6.2831590999999998</c:v>
                </c:pt>
                <c:pt idx="169">
                  <c:v>6.3726333999999998</c:v>
                </c:pt>
                <c:pt idx="170">
                  <c:v>6.4849373000000003</c:v>
                </c:pt>
                <c:pt idx="171">
                  <c:v>6.4959422</c:v>
                </c:pt>
                <c:pt idx="172">
                  <c:v>6.2733907000000002</c:v>
                </c:pt>
                <c:pt idx="173">
                  <c:v>6.6397073999999998</c:v>
                </c:pt>
                <c:pt idx="174">
                  <c:v>6.8277231</c:v>
                </c:pt>
                <c:pt idx="175">
                  <c:v>6.8322675999999998</c:v>
                </c:pt>
                <c:pt idx="176">
                  <c:v>6.8309343</c:v>
                </c:pt>
                <c:pt idx="177">
                  <c:v>6.8574783000000004</c:v>
                </c:pt>
                <c:pt idx="178">
                  <c:v>6.6238086999999997</c:v>
                </c:pt>
                <c:pt idx="179">
                  <c:v>6.3710620999999996</c:v>
                </c:pt>
                <c:pt idx="180">
                  <c:v>6.4394920999999998</c:v>
                </c:pt>
                <c:pt idx="181">
                  <c:v>6.0540469000000003</c:v>
                </c:pt>
                <c:pt idx="182">
                  <c:v>6.2300516999999997</c:v>
                </c:pt>
                <c:pt idx="183">
                  <c:v>6.2061856000000004</c:v>
                </c:pt>
                <c:pt idx="184">
                  <c:v>5.9862579</c:v>
                </c:pt>
                <c:pt idx="185">
                  <c:v>6.0597113</c:v>
                </c:pt>
                <c:pt idx="186">
                  <c:v>6.3661775</c:v>
                </c:pt>
                <c:pt idx="187">
                  <c:v>5.9724215999999997</c:v>
                </c:pt>
                <c:pt idx="188">
                  <c:v>6.2790604999999999</c:v>
                </c:pt>
                <c:pt idx="189">
                  <c:v>5.6047342000000002</c:v>
                </c:pt>
                <c:pt idx="190">
                  <c:v>6.1100519999999996</c:v>
                </c:pt>
                <c:pt idx="191">
                  <c:v>5.9696531000000004</c:v>
                </c:pt>
                <c:pt idx="192">
                  <c:v>6.3389452999999998</c:v>
                </c:pt>
                <c:pt idx="193">
                  <c:v>5.8713898999999996</c:v>
                </c:pt>
                <c:pt idx="194">
                  <c:v>5.6001617000000001</c:v>
                </c:pt>
                <c:pt idx="195">
                  <c:v>5.5537337999999998</c:v>
                </c:pt>
                <c:pt idx="196">
                  <c:v>5.7718879000000003</c:v>
                </c:pt>
                <c:pt idx="197">
                  <c:v>5.6572734999999996</c:v>
                </c:pt>
                <c:pt idx="198">
                  <c:v>5.8776057000000002</c:v>
                </c:pt>
                <c:pt idx="199">
                  <c:v>5.5495581999999999</c:v>
                </c:pt>
                <c:pt idx="200">
                  <c:v>5.7646497999999999</c:v>
                </c:pt>
                <c:pt idx="201">
                  <c:v>5.7410480000000002</c:v>
                </c:pt>
                <c:pt idx="202">
                  <c:v>6.0747590999999996</c:v>
                </c:pt>
                <c:pt idx="203">
                  <c:v>6.0685818999999999</c:v>
                </c:pt>
                <c:pt idx="204">
                  <c:v>5.7917956000000004</c:v>
                </c:pt>
                <c:pt idx="205">
                  <c:v>6.0251406000000003</c:v>
                </c:pt>
                <c:pt idx="206">
                  <c:v>6.1431246000000002</c:v>
                </c:pt>
                <c:pt idx="207">
                  <c:v>6.1051902</c:v>
                </c:pt>
              </c:numCache>
            </c:numRef>
          </c:val>
          <c:smooth val="0"/>
        </c:ser>
        <c:ser>
          <c:idx val="0"/>
          <c:order val="1"/>
          <c:tx>
            <c:v>Unemployment Rate (Trend)</c:v>
          </c:tx>
          <c:spPr>
            <a:ln w="28575" cap="rnd">
              <a:solidFill>
                <a:schemeClr val="tx2">
                  <a:lumMod val="75000"/>
                </a:schemeClr>
              </a:solidFill>
              <a:prstDash val="sysDash"/>
              <a:round/>
            </a:ln>
            <a:effectLst/>
          </c:spPr>
          <c:marker>
            <c:symbol val="none"/>
          </c:marker>
          <c:cat>
            <c:numRef>
              <c:f>Data1!$A$274:$A$481</c:f>
              <c:numCache>
                <c:formatCode>mmm\-yyyy</c:formatCode>
                <c:ptCount val="208"/>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pt idx="207">
                  <c:v>42826</c:v>
                </c:pt>
              </c:numCache>
            </c:numRef>
          </c:cat>
          <c:val>
            <c:numRef>
              <c:f>Data1!$B$274:$B$481</c:f>
              <c:numCache>
                <c:formatCode>0.0;\-0.0;0.0;@</c:formatCode>
                <c:ptCount val="208"/>
                <c:pt idx="0">
                  <c:v>6.6558909999999996</c:v>
                </c:pt>
                <c:pt idx="1">
                  <c:v>6.6347681999999999</c:v>
                </c:pt>
                <c:pt idx="2">
                  <c:v>6.5751493999999999</c:v>
                </c:pt>
                <c:pt idx="3">
                  <c:v>6.4698395</c:v>
                </c:pt>
                <c:pt idx="4">
                  <c:v>6.329504</c:v>
                </c:pt>
                <c:pt idx="5">
                  <c:v>6.1812084</c:v>
                </c:pt>
                <c:pt idx="6">
                  <c:v>6.0473466</c:v>
                </c:pt>
                <c:pt idx="7">
                  <c:v>5.9394815000000003</c:v>
                </c:pt>
                <c:pt idx="8">
                  <c:v>5.8585837999999999</c:v>
                </c:pt>
                <c:pt idx="9">
                  <c:v>5.8146937999999997</c:v>
                </c:pt>
                <c:pt idx="10">
                  <c:v>5.8090780000000004</c:v>
                </c:pt>
                <c:pt idx="11">
                  <c:v>5.8396718999999999</c:v>
                </c:pt>
                <c:pt idx="12">
                  <c:v>5.8901294999999996</c:v>
                </c:pt>
                <c:pt idx="13">
                  <c:v>5.9639481999999999</c:v>
                </c:pt>
                <c:pt idx="14">
                  <c:v>6.0539680999999996</c:v>
                </c:pt>
                <c:pt idx="15">
                  <c:v>6.2788613</c:v>
                </c:pt>
                <c:pt idx="16">
                  <c:v>6.3450090000000001</c:v>
                </c:pt>
                <c:pt idx="17">
                  <c:v>6.3908116000000001</c:v>
                </c:pt>
                <c:pt idx="18">
                  <c:v>6.4318071999999997</c:v>
                </c:pt>
                <c:pt idx="19">
                  <c:v>6.4889681000000001</c:v>
                </c:pt>
                <c:pt idx="20">
                  <c:v>6.5635915000000002</c:v>
                </c:pt>
                <c:pt idx="21">
                  <c:v>6.6364710000000002</c:v>
                </c:pt>
                <c:pt idx="22">
                  <c:v>6.6669340000000004</c:v>
                </c:pt>
                <c:pt idx="23">
                  <c:v>6.6098020999999996</c:v>
                </c:pt>
                <c:pt idx="24">
                  <c:v>6.4759862000000004</c:v>
                </c:pt>
                <c:pt idx="25">
                  <c:v>6.2887484000000002</c:v>
                </c:pt>
                <c:pt idx="26">
                  <c:v>6.0968397999999997</c:v>
                </c:pt>
                <c:pt idx="27">
                  <c:v>5.9523840000000003</c:v>
                </c:pt>
                <c:pt idx="28">
                  <c:v>5.8878149000000004</c:v>
                </c:pt>
                <c:pt idx="29">
                  <c:v>5.8910719</c:v>
                </c:pt>
                <c:pt idx="30">
                  <c:v>5.9265942000000003</c:v>
                </c:pt>
                <c:pt idx="31">
                  <c:v>5.9553421999999996</c:v>
                </c:pt>
                <c:pt idx="32">
                  <c:v>5.9325694000000002</c:v>
                </c:pt>
                <c:pt idx="33">
                  <c:v>5.8436659000000004</c:v>
                </c:pt>
                <c:pt idx="34">
                  <c:v>5.7126754999999996</c:v>
                </c:pt>
                <c:pt idx="35">
                  <c:v>5.5877790999999997</c:v>
                </c:pt>
                <c:pt idx="36">
                  <c:v>5.508826</c:v>
                </c:pt>
                <c:pt idx="37">
                  <c:v>5.5008965999999999</c:v>
                </c:pt>
                <c:pt idx="38">
                  <c:v>5.5750807</c:v>
                </c:pt>
                <c:pt idx="39">
                  <c:v>5.6739099</c:v>
                </c:pt>
                <c:pt idx="40">
                  <c:v>5.7506244000000004</c:v>
                </c:pt>
                <c:pt idx="41">
                  <c:v>5.7570708000000002</c:v>
                </c:pt>
                <c:pt idx="42">
                  <c:v>5.6870006000000002</c:v>
                </c:pt>
                <c:pt idx="43">
                  <c:v>5.5692303000000001</c:v>
                </c:pt>
                <c:pt idx="44">
                  <c:v>5.4635974999999997</c:v>
                </c:pt>
                <c:pt idx="45">
                  <c:v>5.4098344999999997</c:v>
                </c:pt>
                <c:pt idx="46">
                  <c:v>5.4108267000000003</c:v>
                </c:pt>
                <c:pt idx="47">
                  <c:v>5.4406733999999997</c:v>
                </c:pt>
                <c:pt idx="48">
                  <c:v>5.4589078000000004</c:v>
                </c:pt>
                <c:pt idx="49">
                  <c:v>5.4352242999999998</c:v>
                </c:pt>
                <c:pt idx="50">
                  <c:v>5.3820785999999998</c:v>
                </c:pt>
                <c:pt idx="51">
                  <c:v>5.3417075000000001</c:v>
                </c:pt>
                <c:pt idx="52">
                  <c:v>5.3475872000000004</c:v>
                </c:pt>
                <c:pt idx="53">
                  <c:v>5.4091262999999996</c:v>
                </c:pt>
                <c:pt idx="54">
                  <c:v>5.5150252000000002</c:v>
                </c:pt>
                <c:pt idx="55">
                  <c:v>5.6205467999999996</c:v>
                </c:pt>
                <c:pt idx="56">
                  <c:v>5.6854177000000004</c:v>
                </c:pt>
                <c:pt idx="57">
                  <c:v>5.6857094999999997</c:v>
                </c:pt>
                <c:pt idx="58">
                  <c:v>5.6307368999999996</c:v>
                </c:pt>
                <c:pt idx="59">
                  <c:v>5.5460235000000004</c:v>
                </c:pt>
                <c:pt idx="60">
                  <c:v>5.4701870000000001</c:v>
                </c:pt>
                <c:pt idx="61">
                  <c:v>5.4152279999999999</c:v>
                </c:pt>
                <c:pt idx="62">
                  <c:v>5.3718070000000004</c:v>
                </c:pt>
                <c:pt idx="63">
                  <c:v>5.3296882999999999</c:v>
                </c:pt>
                <c:pt idx="64">
                  <c:v>5.2960754000000003</c:v>
                </c:pt>
                <c:pt idx="65">
                  <c:v>5.2781656999999997</c:v>
                </c:pt>
                <c:pt idx="66">
                  <c:v>5.2743905</c:v>
                </c:pt>
                <c:pt idx="67">
                  <c:v>5.2834044999999996</c:v>
                </c:pt>
                <c:pt idx="68">
                  <c:v>5.3018133000000001</c:v>
                </c:pt>
                <c:pt idx="69">
                  <c:v>5.3168977000000002</c:v>
                </c:pt>
                <c:pt idx="70">
                  <c:v>5.3190350999999998</c:v>
                </c:pt>
                <c:pt idx="71">
                  <c:v>5.3009880000000003</c:v>
                </c:pt>
                <c:pt idx="72">
                  <c:v>5.2616883000000003</c:v>
                </c:pt>
                <c:pt idx="73">
                  <c:v>5.2163639000000002</c:v>
                </c:pt>
                <c:pt idx="74">
                  <c:v>5.1705736</c:v>
                </c:pt>
                <c:pt idx="75">
                  <c:v>5.1188834999999999</c:v>
                </c:pt>
                <c:pt idx="76">
                  <c:v>5.0585637999999999</c:v>
                </c:pt>
                <c:pt idx="77">
                  <c:v>4.9920600000000004</c:v>
                </c:pt>
                <c:pt idx="78">
                  <c:v>4.9283693</c:v>
                </c:pt>
                <c:pt idx="79">
                  <c:v>4.8811207999999997</c:v>
                </c:pt>
                <c:pt idx="80">
                  <c:v>4.8548206</c:v>
                </c:pt>
                <c:pt idx="81">
                  <c:v>4.8512234999999997</c:v>
                </c:pt>
                <c:pt idx="82">
                  <c:v>4.8627272000000001</c:v>
                </c:pt>
                <c:pt idx="83">
                  <c:v>4.8729547000000002</c:v>
                </c:pt>
                <c:pt idx="84">
                  <c:v>4.8723979000000002</c:v>
                </c:pt>
                <c:pt idx="85">
                  <c:v>4.8389442999999996</c:v>
                </c:pt>
                <c:pt idx="86">
                  <c:v>4.7811366</c:v>
                </c:pt>
                <c:pt idx="87">
                  <c:v>4.7158588000000004</c:v>
                </c:pt>
                <c:pt idx="88">
                  <c:v>4.6409583000000003</c:v>
                </c:pt>
                <c:pt idx="89">
                  <c:v>4.5667968999999999</c:v>
                </c:pt>
                <c:pt idx="90">
                  <c:v>4.5248587000000002</c:v>
                </c:pt>
                <c:pt idx="91">
                  <c:v>4.5286605</c:v>
                </c:pt>
                <c:pt idx="92">
                  <c:v>4.5684237999999997</c:v>
                </c:pt>
                <c:pt idx="93">
                  <c:v>4.6062228000000003</c:v>
                </c:pt>
                <c:pt idx="94">
                  <c:v>4.6167572000000003</c:v>
                </c:pt>
                <c:pt idx="95">
                  <c:v>4.5849168000000002</c:v>
                </c:pt>
                <c:pt idx="96">
                  <c:v>4.5157862</c:v>
                </c:pt>
                <c:pt idx="97">
                  <c:v>4.4491721000000002</c:v>
                </c:pt>
                <c:pt idx="98">
                  <c:v>4.4123261999999999</c:v>
                </c:pt>
                <c:pt idx="99">
                  <c:v>4.4097872999999996</c:v>
                </c:pt>
                <c:pt idx="100">
                  <c:v>4.4407169</c:v>
                </c:pt>
                <c:pt idx="101">
                  <c:v>4.4648118999999999</c:v>
                </c:pt>
                <c:pt idx="102">
                  <c:v>4.4529584</c:v>
                </c:pt>
                <c:pt idx="103">
                  <c:v>4.4095499</c:v>
                </c:pt>
                <c:pt idx="104">
                  <c:v>4.3842505000000003</c:v>
                </c:pt>
                <c:pt idx="105">
                  <c:v>4.4317354</c:v>
                </c:pt>
                <c:pt idx="106">
                  <c:v>4.5714302</c:v>
                </c:pt>
                <c:pt idx="107">
                  <c:v>4.7909670999999996</c:v>
                </c:pt>
                <c:pt idx="108">
                  <c:v>5.0750295000000003</c:v>
                </c:pt>
                <c:pt idx="109">
                  <c:v>5.3643846000000002</c:v>
                </c:pt>
                <c:pt idx="110">
                  <c:v>5.6224493000000004</c:v>
                </c:pt>
                <c:pt idx="111">
                  <c:v>5.8239967999999998</c:v>
                </c:pt>
                <c:pt idx="112">
                  <c:v>5.9506740000000002</c:v>
                </c:pt>
                <c:pt idx="113">
                  <c:v>5.9921844000000002</c:v>
                </c:pt>
                <c:pt idx="114">
                  <c:v>5.9531013000000002</c:v>
                </c:pt>
                <c:pt idx="115">
                  <c:v>5.8494840999999997</c:v>
                </c:pt>
                <c:pt idx="116">
                  <c:v>5.7066115000000002</c:v>
                </c:pt>
                <c:pt idx="117">
                  <c:v>5.5481837000000001</c:v>
                </c:pt>
                <c:pt idx="118">
                  <c:v>5.4134339999999996</c:v>
                </c:pt>
                <c:pt idx="119">
                  <c:v>5.3279499000000001</c:v>
                </c:pt>
                <c:pt idx="120">
                  <c:v>5.2985800999999997</c:v>
                </c:pt>
                <c:pt idx="121">
                  <c:v>5.3186372999999998</c:v>
                </c:pt>
                <c:pt idx="122">
                  <c:v>5.3746248999999997</c:v>
                </c:pt>
                <c:pt idx="123">
                  <c:v>5.4240263000000004</c:v>
                </c:pt>
                <c:pt idx="124">
                  <c:v>5.4544763999999999</c:v>
                </c:pt>
                <c:pt idx="125">
                  <c:v>5.4628965999999997</c:v>
                </c:pt>
                <c:pt idx="126">
                  <c:v>5.4488951999999999</c:v>
                </c:pt>
                <c:pt idx="127">
                  <c:v>5.4034158999999997</c:v>
                </c:pt>
                <c:pt idx="128">
                  <c:v>5.3444466000000004</c:v>
                </c:pt>
                <c:pt idx="129">
                  <c:v>5.2663698999999999</c:v>
                </c:pt>
                <c:pt idx="130">
                  <c:v>5.1543910000000004</c:v>
                </c:pt>
                <c:pt idx="131">
                  <c:v>5.0281772</c:v>
                </c:pt>
                <c:pt idx="132">
                  <c:v>4.9036470000000003</c:v>
                </c:pt>
                <c:pt idx="133">
                  <c:v>4.8062905999999996</c:v>
                </c:pt>
                <c:pt idx="134">
                  <c:v>4.7591671</c:v>
                </c:pt>
                <c:pt idx="135">
                  <c:v>4.7746133999999998</c:v>
                </c:pt>
                <c:pt idx="136">
                  <c:v>4.8462394</c:v>
                </c:pt>
                <c:pt idx="137">
                  <c:v>4.9516977999999998</c:v>
                </c:pt>
                <c:pt idx="138">
                  <c:v>5.0761167</c:v>
                </c:pt>
                <c:pt idx="139">
                  <c:v>5.1830645000000004</c:v>
                </c:pt>
                <c:pt idx="140">
                  <c:v>5.2411886000000001</c:v>
                </c:pt>
                <c:pt idx="141">
                  <c:v>5.2688597000000001</c:v>
                </c:pt>
                <c:pt idx="142">
                  <c:v>5.2941203000000003</c:v>
                </c:pt>
                <c:pt idx="143">
                  <c:v>5.3197093999999998</c:v>
                </c:pt>
                <c:pt idx="144">
                  <c:v>5.3563863999999999</c:v>
                </c:pt>
                <c:pt idx="145">
                  <c:v>5.4127245000000004</c:v>
                </c:pt>
                <c:pt idx="146">
                  <c:v>5.4681962000000004</c:v>
                </c:pt>
                <c:pt idx="147">
                  <c:v>5.5157666000000001</c:v>
                </c:pt>
                <c:pt idx="148">
                  <c:v>5.5431498000000001</c:v>
                </c:pt>
                <c:pt idx="149">
                  <c:v>5.5396222000000002</c:v>
                </c:pt>
                <c:pt idx="150">
                  <c:v>5.5085265000000003</c:v>
                </c:pt>
                <c:pt idx="151">
                  <c:v>5.4843557000000001</c:v>
                </c:pt>
                <c:pt idx="152">
                  <c:v>5.4902870999999998</c:v>
                </c:pt>
                <c:pt idx="153">
                  <c:v>5.5140262</c:v>
                </c:pt>
                <c:pt idx="154">
                  <c:v>5.5578279000000004</c:v>
                </c:pt>
                <c:pt idx="155">
                  <c:v>5.6178037999999999</c:v>
                </c:pt>
                <c:pt idx="156">
                  <c:v>5.6821207999999999</c:v>
                </c:pt>
                <c:pt idx="157">
                  <c:v>5.7380497000000004</c:v>
                </c:pt>
                <c:pt idx="158">
                  <c:v>5.7758127999999997</c:v>
                </c:pt>
                <c:pt idx="159">
                  <c:v>5.7832762000000004</c:v>
                </c:pt>
                <c:pt idx="160">
                  <c:v>5.7703888000000001</c:v>
                </c:pt>
                <c:pt idx="161">
                  <c:v>5.7612154999999996</c:v>
                </c:pt>
                <c:pt idx="162">
                  <c:v>5.7733321999999996</c:v>
                </c:pt>
                <c:pt idx="163">
                  <c:v>5.8106213999999996</c:v>
                </c:pt>
                <c:pt idx="164">
                  <c:v>5.8756911000000001</c:v>
                </c:pt>
                <c:pt idx="165">
                  <c:v>5.9742074000000001</c:v>
                </c:pt>
                <c:pt idx="166">
                  <c:v>6.0967893000000002</c:v>
                </c:pt>
                <c:pt idx="167">
                  <c:v>6.2131594999999997</c:v>
                </c:pt>
                <c:pt idx="168">
                  <c:v>6.3040037</c:v>
                </c:pt>
                <c:pt idx="169">
                  <c:v>6.3608454999999999</c:v>
                </c:pt>
                <c:pt idx="170">
                  <c:v>6.4067993000000003</c:v>
                </c:pt>
                <c:pt idx="171">
                  <c:v>6.4598649999999997</c:v>
                </c:pt>
                <c:pt idx="172">
                  <c:v>6.5361853999999999</c:v>
                </c:pt>
                <c:pt idx="173">
                  <c:v>6.6341995000000002</c:v>
                </c:pt>
                <c:pt idx="174">
                  <c:v>6.7308611999999997</c:v>
                </c:pt>
                <c:pt idx="175">
                  <c:v>6.8006679999999999</c:v>
                </c:pt>
                <c:pt idx="176">
                  <c:v>6.8125764000000002</c:v>
                </c:pt>
                <c:pt idx="177">
                  <c:v>6.7503454999999999</c:v>
                </c:pt>
                <c:pt idx="178">
                  <c:v>6.6297290999999996</c:v>
                </c:pt>
                <c:pt idx="179">
                  <c:v>6.4845714000000001</c:v>
                </c:pt>
                <c:pt idx="180">
                  <c:v>6.3441472000000001</c:v>
                </c:pt>
                <c:pt idx="181">
                  <c:v>6.2325711000000004</c:v>
                </c:pt>
                <c:pt idx="182">
                  <c:v>6.1573497000000001</c:v>
                </c:pt>
                <c:pt idx="183">
                  <c:v>6.1312860999999996</c:v>
                </c:pt>
                <c:pt idx="184">
                  <c:v>6.1297585999999997</c:v>
                </c:pt>
                <c:pt idx="185">
                  <c:v>6.1291327999999998</c:v>
                </c:pt>
                <c:pt idx="186">
                  <c:v>6.1094833</c:v>
                </c:pt>
                <c:pt idx="187">
                  <c:v>6.0743042000000003</c:v>
                </c:pt>
                <c:pt idx="188">
                  <c:v>6.0402063000000004</c:v>
                </c:pt>
                <c:pt idx="189">
                  <c:v>6.0228764999999997</c:v>
                </c:pt>
                <c:pt idx="190">
                  <c:v>6.0076131999999998</c:v>
                </c:pt>
                <c:pt idx="191">
                  <c:v>6.0258893000000002</c:v>
                </c:pt>
                <c:pt idx="192">
                  <c:v>5.9685255000000002</c:v>
                </c:pt>
                <c:pt idx="193">
                  <c:v>5.8889293</c:v>
                </c:pt>
                <c:pt idx="194">
                  <c:v>5.7951287000000002</c:v>
                </c:pt>
                <c:pt idx="195">
                  <c:v>5.7163922999999999</c:v>
                </c:pt>
                <c:pt idx="196">
                  <c:v>5.6641260000000004</c:v>
                </c:pt>
                <c:pt idx="197">
                  <c:v>5.6565970999999999</c:v>
                </c:pt>
                <c:pt idx="198">
                  <c:v>5.6852758999999997</c:v>
                </c:pt>
                <c:pt idx="199">
                  <c:v>5.7354303</c:v>
                </c:pt>
                <c:pt idx="200">
                  <c:v>5.7831812999999999</c:v>
                </c:pt>
                <c:pt idx="201">
                  <c:v>5.8344629000000001</c:v>
                </c:pt>
                <c:pt idx="202">
                  <c:v>5.8925159999999996</c:v>
                </c:pt>
                <c:pt idx="203">
                  <c:v>5.9496373</c:v>
                </c:pt>
                <c:pt idx="204">
                  <c:v>5.9975674999999997</c:v>
                </c:pt>
                <c:pt idx="205">
                  <c:v>6.035196</c:v>
                </c:pt>
                <c:pt idx="206">
                  <c:v>6.0669377999999998</c:v>
                </c:pt>
                <c:pt idx="207">
                  <c:v>6.0963045999999999</c:v>
                </c:pt>
              </c:numCache>
            </c:numRef>
          </c:val>
          <c:smooth val="0"/>
        </c:ser>
        <c:dLbls>
          <c:showLegendKey val="0"/>
          <c:showVal val="0"/>
          <c:showCatName val="0"/>
          <c:showSerName val="0"/>
          <c:showPercent val="0"/>
          <c:showBubbleSize val="0"/>
        </c:dLbls>
        <c:smooth val="0"/>
        <c:axId val="207092176"/>
        <c:axId val="207092736"/>
      </c:lineChart>
      <c:dateAx>
        <c:axId val="207092176"/>
        <c:scaling>
          <c:orientation val="minMax"/>
          <c:max val="42917"/>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2736"/>
        <c:crosses val="autoZero"/>
        <c:auto val="1"/>
        <c:lblOffset val="100"/>
        <c:baseTimeUnit val="months"/>
        <c:majorUnit val="6"/>
        <c:majorTimeUnit val="months"/>
      </c:dateAx>
      <c:valAx>
        <c:axId val="20709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Unemployment</a:t>
                </a:r>
                <a:r>
                  <a:rPr lang="en-AU" baseline="0"/>
                  <a:t> Rate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2176"/>
        <c:crosses val="autoZero"/>
        <c:crossBetween val="between"/>
      </c:valAx>
      <c:spPr>
        <a:noFill/>
        <a:ln>
          <a:noFill/>
        </a:ln>
        <a:effectLst/>
      </c:spPr>
    </c:plotArea>
    <c:legend>
      <c:legendPos val="b"/>
      <c:layout>
        <c:manualLayout>
          <c:xMode val="edge"/>
          <c:yMode val="edge"/>
          <c:x val="0.43235252101124932"/>
          <c:y val="2.9303802394625418E-4"/>
          <c:w val="0.56764751602490837"/>
          <c:h val="8.1381665129696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Unemployment</a:t>
            </a:r>
            <a:r>
              <a:rPr lang="en-AU" baseline="0"/>
              <a:t> Rate (%) by LGA - December 2016</a:t>
            </a:r>
          </a:p>
          <a:p>
            <a:pPr algn="l">
              <a:defRPr/>
            </a:pPr>
            <a:r>
              <a:rPr lang="en-AU" baseline="0"/>
              <a:t>Metropolitan Melbourne</a:t>
            </a:r>
          </a:p>
          <a:p>
            <a:pPr algn="l">
              <a:defRPr/>
            </a:pPr>
            <a:r>
              <a:rPr lang="en-AU" sz="1050" baseline="0"/>
              <a:t>Source: Department of Employment Small Area Labour Market data</a:t>
            </a:r>
            <a:endParaRPr lang="en-AU"/>
          </a:p>
        </c:rich>
      </c:tx>
      <c:layout>
        <c:manualLayout>
          <c:xMode val="edge"/>
          <c:yMode val="edge"/>
          <c:x val="1.4518663890417952E-2"/>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03542110427686"/>
          <c:y val="0.1049836147076019"/>
          <c:w val="0.74534220456485512"/>
          <c:h val="0.88152579589939273"/>
        </c:manualLayout>
      </c:layout>
      <c:barChart>
        <c:barDir val="bar"/>
        <c:grouping val="clustered"/>
        <c:varyColors val="0"/>
        <c:ser>
          <c:idx val="0"/>
          <c:order val="0"/>
          <c:tx>
            <c:strRef>
              <c:f>'December 2016'!$B$1</c:f>
              <c:strCache>
                <c:ptCount val="1"/>
                <c:pt idx="0">
                  <c:v>Rate Dec 2015</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'December 2016'!$B$2:$B$44</c:f>
              <c:numCache>
                <c:formatCode>0.0%</c:formatCode>
                <c:ptCount val="43"/>
                <c:pt idx="1">
                  <c:v>4.2999999999999997E-2</c:v>
                </c:pt>
                <c:pt idx="2">
                  <c:v>4.5999999999999999E-2</c:v>
                </c:pt>
                <c:pt idx="3">
                  <c:v>6.6000000000000003E-2</c:v>
                </c:pt>
                <c:pt idx="6">
                  <c:v>4.7E-2</c:v>
                </c:pt>
                <c:pt idx="7">
                  <c:v>0.06</c:v>
                </c:pt>
                <c:pt idx="8">
                  <c:v>5.2999999999999999E-2</c:v>
                </c:pt>
                <c:pt idx="9">
                  <c:v>3.7999999999999999E-2</c:v>
                </c:pt>
                <c:pt idx="10">
                  <c:v>6.0999999999999999E-2</c:v>
                </c:pt>
                <c:pt idx="11">
                  <c:v>5.0999999999999997E-2</c:v>
                </c:pt>
                <c:pt idx="14">
                  <c:v>3.2000000000000001E-2</c:v>
                </c:pt>
                <c:pt idx="15">
                  <c:v>0.04</c:v>
                </c:pt>
                <c:pt idx="16">
                  <c:v>4.0999999999999995E-2</c:v>
                </c:pt>
                <c:pt idx="17">
                  <c:v>3.4000000000000002E-2</c:v>
                </c:pt>
                <c:pt idx="20">
                  <c:v>4.7E-2</c:v>
                </c:pt>
                <c:pt idx="21">
                  <c:v>7.4999999999999997E-2</c:v>
                </c:pt>
                <c:pt idx="22">
                  <c:v>8.6999999999999994E-2</c:v>
                </c:pt>
                <c:pt idx="23">
                  <c:v>7.400000000000001E-2</c:v>
                </c:pt>
                <c:pt idx="24">
                  <c:v>6.9000000000000006E-2</c:v>
                </c:pt>
                <c:pt idx="25">
                  <c:v>2.6000000000000002E-2</c:v>
                </c:pt>
                <c:pt idx="26">
                  <c:v>7.4999999999999997E-2</c:v>
                </c:pt>
                <c:pt idx="29">
                  <c:v>6.8000000000000005E-2</c:v>
                </c:pt>
                <c:pt idx="30">
                  <c:v>7.8E-2</c:v>
                </c:pt>
                <c:pt idx="31">
                  <c:v>7.0000000000000007E-2</c:v>
                </c:pt>
                <c:pt idx="32">
                  <c:v>0.12300000000000001</c:v>
                </c:pt>
                <c:pt idx="33">
                  <c:v>5.5999999999999994E-2</c:v>
                </c:pt>
                <c:pt idx="34">
                  <c:v>4.9000000000000002E-2</c:v>
                </c:pt>
                <c:pt idx="37">
                  <c:v>0.10099999999999999</c:v>
                </c:pt>
                <c:pt idx="38">
                  <c:v>5.9000000000000004E-2</c:v>
                </c:pt>
                <c:pt idx="39">
                  <c:v>7.400000000000001E-2</c:v>
                </c:pt>
                <c:pt idx="40">
                  <c:v>7.6999999999999999E-2</c:v>
                </c:pt>
                <c:pt idx="41">
                  <c:v>5.2000000000000005E-2</c:v>
                </c:pt>
                <c:pt idx="42">
                  <c:v>6.9000000000000006E-2</c:v>
                </c:pt>
              </c:numCache>
            </c:numRef>
          </c:val>
        </c:ser>
        <c:ser>
          <c:idx val="1"/>
          <c:order val="1"/>
          <c:tx>
            <c:strRef>
              <c:f>'December 2016'!$C$1</c:f>
              <c:strCache>
                <c:ptCount val="1"/>
                <c:pt idx="0">
                  <c:v>Rate Dec 2016</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'December 2016'!$C$2:$C$44</c:f>
              <c:numCache>
                <c:formatCode>0.0%</c:formatCode>
                <c:ptCount val="43"/>
                <c:pt idx="1">
                  <c:v>3.7999999999999999E-2</c:v>
                </c:pt>
                <c:pt idx="2">
                  <c:v>0.04</c:v>
                </c:pt>
                <c:pt idx="3">
                  <c:v>5.5E-2</c:v>
                </c:pt>
                <c:pt idx="6">
                  <c:v>4.2999999999999997E-2</c:v>
                </c:pt>
                <c:pt idx="7">
                  <c:v>6.0999999999999999E-2</c:v>
                </c:pt>
                <c:pt idx="8">
                  <c:v>4.9000000000000002E-2</c:v>
                </c:pt>
                <c:pt idx="9">
                  <c:v>3.5000000000000003E-2</c:v>
                </c:pt>
                <c:pt idx="10">
                  <c:v>6.0999999999999999E-2</c:v>
                </c:pt>
                <c:pt idx="11">
                  <c:v>4.5999999999999999E-2</c:v>
                </c:pt>
                <c:pt idx="14">
                  <c:v>3.2000000000000001E-2</c:v>
                </c:pt>
                <c:pt idx="15">
                  <c:v>4.0999999999999995E-2</c:v>
                </c:pt>
                <c:pt idx="16">
                  <c:v>0.04</c:v>
                </c:pt>
                <c:pt idx="17">
                  <c:v>2.8999999999999998E-2</c:v>
                </c:pt>
                <c:pt idx="20">
                  <c:v>3.6000000000000004E-2</c:v>
                </c:pt>
                <c:pt idx="21">
                  <c:v>0.06</c:v>
                </c:pt>
                <c:pt idx="22">
                  <c:v>9.8000000000000004E-2</c:v>
                </c:pt>
                <c:pt idx="23">
                  <c:v>0.06</c:v>
                </c:pt>
                <c:pt idx="24">
                  <c:v>6.4000000000000001E-2</c:v>
                </c:pt>
                <c:pt idx="25">
                  <c:v>2.1000000000000001E-2</c:v>
                </c:pt>
                <c:pt idx="26">
                  <c:v>6.2E-2</c:v>
                </c:pt>
                <c:pt idx="29">
                  <c:v>6.6000000000000003E-2</c:v>
                </c:pt>
                <c:pt idx="30">
                  <c:v>7.400000000000001E-2</c:v>
                </c:pt>
                <c:pt idx="31">
                  <c:v>6.0999999999999999E-2</c:v>
                </c:pt>
                <c:pt idx="32">
                  <c:v>0.111</c:v>
                </c:pt>
                <c:pt idx="33">
                  <c:v>5.5999999999999994E-2</c:v>
                </c:pt>
                <c:pt idx="34">
                  <c:v>4.4000000000000004E-2</c:v>
                </c:pt>
                <c:pt idx="37">
                  <c:v>0.10099999999999999</c:v>
                </c:pt>
                <c:pt idx="38">
                  <c:v>5.7999999999999996E-2</c:v>
                </c:pt>
                <c:pt idx="39">
                  <c:v>7.2000000000000008E-2</c:v>
                </c:pt>
                <c:pt idx="40">
                  <c:v>7.9000000000000001E-2</c:v>
                </c:pt>
                <c:pt idx="41">
                  <c:v>4.8000000000000001E-2</c:v>
                </c:pt>
                <c:pt idx="42">
                  <c:v>6.9000000000000006E-2</c:v>
                </c:pt>
              </c:numCache>
            </c:numRef>
          </c:val>
        </c:ser>
        <c:dLbls>
          <c:showLegendKey val="0"/>
          <c:showVal val="0"/>
          <c:showCatName val="0"/>
          <c:showSerName val="0"/>
          <c:showPercent val="0"/>
          <c:showBubbleSize val="0"/>
        </c:dLbls>
        <c:gapWidth val="25"/>
        <c:axId val="207095536"/>
        <c:axId val="207096096"/>
      </c:barChart>
      <c:catAx>
        <c:axId val="20709553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6096"/>
        <c:crosses val="autoZero"/>
        <c:auto val="1"/>
        <c:lblAlgn val="ctr"/>
        <c:lblOffset val="100"/>
        <c:noMultiLvlLbl val="0"/>
      </c:catAx>
      <c:valAx>
        <c:axId val="20709609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5536"/>
        <c:crosses val="autoZero"/>
        <c:crossBetween val="between"/>
      </c:valAx>
      <c:spPr>
        <a:noFill/>
        <a:ln>
          <a:noFill/>
        </a:ln>
        <a:effectLst/>
      </c:spPr>
    </c:plotArea>
    <c:legend>
      <c:legendPos val="b"/>
      <c:layout>
        <c:manualLayout>
          <c:xMode val="edge"/>
          <c:yMode val="edge"/>
          <c:x val="0.7597647236541476"/>
          <c:y val="1.456316087829845E-3"/>
          <c:w val="0.23826412885439685"/>
          <c:h val="5.30588732588201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Unemployment</a:t>
            </a:r>
            <a:r>
              <a:rPr lang="en-AU" baseline="0"/>
              <a:t> Rate (%) by LGA - December 2016</a:t>
            </a:r>
          </a:p>
          <a:p>
            <a:pPr algn="l">
              <a:defRPr/>
            </a:pPr>
            <a:r>
              <a:rPr lang="en-AU" baseline="0"/>
              <a:t>Regional Victoria</a:t>
            </a:r>
          </a:p>
          <a:p>
            <a:pPr algn="l">
              <a:defRPr/>
            </a:pPr>
            <a:r>
              <a:rPr lang="en-AU" sz="1050" baseline="0"/>
              <a:t>Source: Department of Employment Small Area Labour Market data</a:t>
            </a:r>
            <a:endParaRPr lang="en-AU"/>
          </a:p>
        </c:rich>
      </c:tx>
      <c:layout>
        <c:manualLayout>
          <c:xMode val="edge"/>
          <c:yMode val="edge"/>
          <c:x val="3.3426672729737299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361600279099578"/>
          <c:y val="0.1049836147076019"/>
          <c:w val="0.69176161326047536"/>
          <c:h val="0.88152579589939273"/>
        </c:manualLayout>
      </c:layout>
      <c:barChart>
        <c:barDir val="bar"/>
        <c:grouping val="clustered"/>
        <c:varyColors val="0"/>
        <c:ser>
          <c:idx val="0"/>
          <c:order val="0"/>
          <c:tx>
            <c:strRef>
              <c:f>'December 2016'!$B$1</c:f>
              <c:strCache>
                <c:ptCount val="1"/>
                <c:pt idx="0">
                  <c:v>Rate Dec 2015</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'December 2016'!$B$46:$B$98</c:f>
              <c:numCache>
                <c:formatCode>0.0%</c:formatCode>
                <c:ptCount val="53"/>
                <c:pt idx="1">
                  <c:v>5.2999999999999999E-2</c:v>
                </c:pt>
                <c:pt idx="2">
                  <c:v>7.4999999999999997E-2</c:v>
                </c:pt>
                <c:pt idx="3">
                  <c:v>6.4000000000000001E-2</c:v>
                </c:pt>
                <c:pt idx="4">
                  <c:v>6.5000000000000002E-2</c:v>
                </c:pt>
                <c:pt idx="5">
                  <c:v>4.8000000000000001E-2</c:v>
                </c:pt>
                <c:pt idx="6">
                  <c:v>8.3000000000000004E-2</c:v>
                </c:pt>
                <c:pt idx="7">
                  <c:v>8.5000000000000006E-2</c:v>
                </c:pt>
                <c:pt idx="8">
                  <c:v>6.0999999999999999E-2</c:v>
                </c:pt>
                <c:pt idx="9">
                  <c:v>2.8999999999999998E-2</c:v>
                </c:pt>
                <c:pt idx="10">
                  <c:v>7.2000000000000008E-2</c:v>
                </c:pt>
                <c:pt idx="13">
                  <c:v>6.4000000000000001E-2</c:v>
                </c:pt>
                <c:pt idx="14">
                  <c:v>4.2000000000000003E-2</c:v>
                </c:pt>
                <c:pt idx="15">
                  <c:v>3.4000000000000002E-2</c:v>
                </c:pt>
                <c:pt idx="16">
                  <c:v>3.3000000000000002E-2</c:v>
                </c:pt>
                <c:pt idx="17">
                  <c:v>0.06</c:v>
                </c:pt>
                <c:pt idx="18">
                  <c:v>4.8000000000000001E-2</c:v>
                </c:pt>
                <c:pt idx="19">
                  <c:v>0.03</c:v>
                </c:pt>
                <c:pt idx="20">
                  <c:v>3.9E-2</c:v>
                </c:pt>
                <c:pt idx="21">
                  <c:v>2.8999999999999998E-2</c:v>
                </c:pt>
                <c:pt idx="24">
                  <c:v>4.2000000000000003E-2</c:v>
                </c:pt>
                <c:pt idx="25">
                  <c:v>7.2999999999999995E-2</c:v>
                </c:pt>
                <c:pt idx="26">
                  <c:v>6.9000000000000006E-2</c:v>
                </c:pt>
                <c:pt idx="27">
                  <c:v>5.5E-2</c:v>
                </c:pt>
                <c:pt idx="28">
                  <c:v>5.2999999999999999E-2</c:v>
                </c:pt>
                <c:pt idx="29">
                  <c:v>9.6999999999999989E-2</c:v>
                </c:pt>
                <c:pt idx="30">
                  <c:v>3.2000000000000001E-2</c:v>
                </c:pt>
                <c:pt idx="31">
                  <c:v>2.1000000000000001E-2</c:v>
                </c:pt>
                <c:pt idx="32">
                  <c:v>6.9000000000000006E-2</c:v>
                </c:pt>
                <c:pt idx="33">
                  <c:v>4.7E-2</c:v>
                </c:pt>
                <c:pt idx="34">
                  <c:v>3.7999999999999999E-2</c:v>
                </c:pt>
                <c:pt idx="35">
                  <c:v>4.2000000000000003E-2</c:v>
                </c:pt>
                <c:pt idx="36">
                  <c:v>5.7000000000000002E-2</c:v>
                </c:pt>
                <c:pt idx="37">
                  <c:v>4.4999999999999998E-2</c:v>
                </c:pt>
                <c:pt idx="38">
                  <c:v>7.5999999999999998E-2</c:v>
                </c:pt>
                <c:pt idx="39">
                  <c:v>3.5000000000000003E-2</c:v>
                </c:pt>
                <c:pt idx="40">
                  <c:v>5.5E-2</c:v>
                </c:pt>
                <c:pt idx="41">
                  <c:v>6.8000000000000005E-2</c:v>
                </c:pt>
                <c:pt idx="42">
                  <c:v>1.8000000000000002E-2</c:v>
                </c:pt>
                <c:pt idx="43">
                  <c:v>6.0999999999999999E-2</c:v>
                </c:pt>
                <c:pt idx="44">
                  <c:v>5.7000000000000002E-2</c:v>
                </c:pt>
                <c:pt idx="45">
                  <c:v>3.1E-2</c:v>
                </c:pt>
                <c:pt idx="46">
                  <c:v>0.05</c:v>
                </c:pt>
                <c:pt idx="47">
                  <c:v>5.5E-2</c:v>
                </c:pt>
                <c:pt idx="48">
                  <c:v>5.9000000000000004E-2</c:v>
                </c:pt>
                <c:pt idx="49">
                  <c:v>5.4000000000000006E-2</c:v>
                </c:pt>
                <c:pt idx="50">
                  <c:v>0.04</c:v>
                </c:pt>
                <c:pt idx="51">
                  <c:v>6.4000000000000001E-2</c:v>
                </c:pt>
                <c:pt idx="52">
                  <c:v>3.7999999999999999E-2</c:v>
                </c:pt>
              </c:numCache>
            </c:numRef>
          </c:val>
        </c:ser>
        <c:ser>
          <c:idx val="1"/>
          <c:order val="1"/>
          <c:tx>
            <c:strRef>
              <c:f>'December 2016'!$C$1</c:f>
              <c:strCache>
                <c:ptCount val="1"/>
                <c:pt idx="0">
                  <c:v>Rate Dec 2016</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'December 2016'!$C$46:$C$98</c:f>
              <c:numCache>
                <c:formatCode>0.0%</c:formatCode>
                <c:ptCount val="53"/>
                <c:pt idx="1">
                  <c:v>5.2999999999999999E-2</c:v>
                </c:pt>
                <c:pt idx="2">
                  <c:v>4.4000000000000004E-2</c:v>
                </c:pt>
                <c:pt idx="3">
                  <c:v>6.5000000000000002E-2</c:v>
                </c:pt>
                <c:pt idx="4">
                  <c:v>5.7999999999999996E-2</c:v>
                </c:pt>
                <c:pt idx="5">
                  <c:v>3.2000000000000001E-2</c:v>
                </c:pt>
                <c:pt idx="6">
                  <c:v>0.11199999999999999</c:v>
                </c:pt>
                <c:pt idx="7">
                  <c:v>5.5999999999999994E-2</c:v>
                </c:pt>
                <c:pt idx="8">
                  <c:v>5.4000000000000006E-2</c:v>
                </c:pt>
                <c:pt idx="9">
                  <c:v>5.2000000000000005E-2</c:v>
                </c:pt>
                <c:pt idx="10">
                  <c:v>6.2E-2</c:v>
                </c:pt>
                <c:pt idx="13">
                  <c:v>8.4000000000000005E-2</c:v>
                </c:pt>
                <c:pt idx="14">
                  <c:v>5.4000000000000006E-2</c:v>
                </c:pt>
                <c:pt idx="15">
                  <c:v>3.6000000000000004E-2</c:v>
                </c:pt>
                <c:pt idx="16">
                  <c:v>2.5000000000000001E-2</c:v>
                </c:pt>
                <c:pt idx="17">
                  <c:v>0.06</c:v>
                </c:pt>
                <c:pt idx="18">
                  <c:v>4.4000000000000004E-2</c:v>
                </c:pt>
                <c:pt idx="19">
                  <c:v>0.03</c:v>
                </c:pt>
                <c:pt idx="20">
                  <c:v>5.2000000000000005E-2</c:v>
                </c:pt>
                <c:pt idx="21">
                  <c:v>3.1E-2</c:v>
                </c:pt>
                <c:pt idx="24">
                  <c:v>3.9E-2</c:v>
                </c:pt>
                <c:pt idx="25">
                  <c:v>5.2000000000000005E-2</c:v>
                </c:pt>
                <c:pt idx="26">
                  <c:v>5.9000000000000004E-2</c:v>
                </c:pt>
                <c:pt idx="27">
                  <c:v>3.7999999999999999E-2</c:v>
                </c:pt>
                <c:pt idx="28">
                  <c:v>0.05</c:v>
                </c:pt>
                <c:pt idx="29">
                  <c:v>9.8000000000000004E-2</c:v>
                </c:pt>
                <c:pt idx="30">
                  <c:v>4.9000000000000002E-2</c:v>
                </c:pt>
                <c:pt idx="31">
                  <c:v>3.7999999999999999E-2</c:v>
                </c:pt>
                <c:pt idx="32">
                  <c:v>9.4E-2</c:v>
                </c:pt>
                <c:pt idx="33">
                  <c:v>3.6000000000000004E-2</c:v>
                </c:pt>
                <c:pt idx="34">
                  <c:v>6.6000000000000003E-2</c:v>
                </c:pt>
                <c:pt idx="35">
                  <c:v>4.4999999999999998E-2</c:v>
                </c:pt>
                <c:pt idx="36">
                  <c:v>0.04</c:v>
                </c:pt>
                <c:pt idx="37">
                  <c:v>3.7999999999999999E-2</c:v>
                </c:pt>
                <c:pt idx="38">
                  <c:v>5.0999999999999997E-2</c:v>
                </c:pt>
                <c:pt idx="39">
                  <c:v>3.5000000000000003E-2</c:v>
                </c:pt>
                <c:pt idx="40">
                  <c:v>5.2000000000000005E-2</c:v>
                </c:pt>
                <c:pt idx="41">
                  <c:v>4.2000000000000003E-2</c:v>
                </c:pt>
                <c:pt idx="42">
                  <c:v>3.3000000000000002E-2</c:v>
                </c:pt>
                <c:pt idx="43">
                  <c:v>4.4000000000000004E-2</c:v>
                </c:pt>
                <c:pt idx="44">
                  <c:v>5.9000000000000004E-2</c:v>
                </c:pt>
                <c:pt idx="45">
                  <c:v>5.2999999999999999E-2</c:v>
                </c:pt>
                <c:pt idx="46">
                  <c:v>4.9000000000000002E-2</c:v>
                </c:pt>
                <c:pt idx="47">
                  <c:v>3.7999999999999999E-2</c:v>
                </c:pt>
                <c:pt idx="48">
                  <c:v>5.4000000000000006E-2</c:v>
                </c:pt>
                <c:pt idx="49">
                  <c:v>7.0999999999999994E-2</c:v>
                </c:pt>
                <c:pt idx="50">
                  <c:v>2.7000000000000003E-2</c:v>
                </c:pt>
                <c:pt idx="51">
                  <c:v>4.4000000000000004E-2</c:v>
                </c:pt>
                <c:pt idx="52">
                  <c:v>4.0999999999999995E-2</c:v>
                </c:pt>
              </c:numCache>
            </c:numRef>
          </c:val>
        </c:ser>
        <c:dLbls>
          <c:showLegendKey val="0"/>
          <c:showVal val="0"/>
          <c:showCatName val="0"/>
          <c:showSerName val="0"/>
          <c:showPercent val="0"/>
          <c:showBubbleSize val="0"/>
        </c:dLbls>
        <c:gapWidth val="25"/>
        <c:axId val="207098896"/>
        <c:axId val="207099456"/>
      </c:barChart>
      <c:catAx>
        <c:axId val="20709889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9456"/>
        <c:crosses val="autoZero"/>
        <c:auto val="1"/>
        <c:lblAlgn val="ctr"/>
        <c:lblOffset val="100"/>
        <c:noMultiLvlLbl val="0"/>
      </c:catAx>
      <c:valAx>
        <c:axId val="20709945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98896"/>
        <c:crosses val="autoZero"/>
        <c:crossBetween val="between"/>
      </c:valAx>
      <c:spPr>
        <a:noFill/>
        <a:ln>
          <a:noFill/>
        </a:ln>
        <a:effectLst/>
      </c:spPr>
    </c:plotArea>
    <c:legend>
      <c:legendPos val="b"/>
      <c:layout>
        <c:manualLayout>
          <c:xMode val="edge"/>
          <c:yMode val="edge"/>
          <c:x val="0.7597647236541476"/>
          <c:y val="1.456316087829845E-3"/>
          <c:w val="0.23826412885439685"/>
          <c:h val="5.30588732588201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Unemployment</a:t>
            </a:r>
            <a:r>
              <a:rPr lang="en-AU" baseline="0"/>
              <a:t> Persons by LGA - Dectember 2016</a:t>
            </a:r>
          </a:p>
          <a:p>
            <a:pPr algn="l">
              <a:defRPr/>
            </a:pPr>
            <a:r>
              <a:rPr lang="en-AU" baseline="0"/>
              <a:t>Metropolitan Melbourne</a:t>
            </a:r>
          </a:p>
          <a:p>
            <a:pPr algn="l">
              <a:defRPr/>
            </a:pPr>
            <a:r>
              <a:rPr lang="en-AU" sz="1050" baseline="0"/>
              <a:t>Source: Department of Employment Small Area Labour Market data</a:t>
            </a:r>
            <a:endParaRPr lang="en-AU"/>
          </a:p>
        </c:rich>
      </c:tx>
      <c:layout>
        <c:manualLayout>
          <c:xMode val="edge"/>
          <c:yMode val="edge"/>
          <c:x val="3.3426672729737299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03542110427686"/>
          <c:y val="0.1049836147076019"/>
          <c:w val="0.74534220456485512"/>
          <c:h val="0.88152579589939273"/>
        </c:manualLayout>
      </c:layout>
      <c:barChart>
        <c:barDir val="bar"/>
        <c:grouping val="clustered"/>
        <c:varyColors val="0"/>
        <c:ser>
          <c:idx val="0"/>
          <c:order val="0"/>
          <c:tx>
            <c:strRef>
              <c:f>'December 2016'!$E$1</c:f>
              <c:strCache>
                <c:ptCount val="1"/>
                <c:pt idx="0">
                  <c:v>Persons Dec 2015</c:v>
                </c:pt>
              </c:strCache>
            </c:strRef>
          </c:tx>
          <c:spPr>
            <a:solidFill>
              <a:schemeClr val="accent4">
                <a:lumMod val="40000"/>
                <a:lumOff val="60000"/>
              </a:schemeClr>
            </a:solidFill>
            <a:ln>
              <a:solidFill>
                <a:schemeClr val="tx1"/>
              </a:solidFill>
            </a:ln>
            <a:effectLst/>
          </c:spPr>
          <c:invertIfNegative val="0"/>
          <c:dLbls>
            <c:dLbl>
              <c:idx val="1"/>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'December 2016'!$A$2:$A$44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'December 2016'!$E$2:$E$44</c:f>
              <c:numCache>
                <c:formatCode>#,##0</c:formatCode>
                <c:ptCount val="43"/>
                <c:pt idx="1">
                  <c:v>3343</c:v>
                </c:pt>
                <c:pt idx="2">
                  <c:v>3184</c:v>
                </c:pt>
                <c:pt idx="3">
                  <c:v>3725</c:v>
                </c:pt>
                <c:pt idx="6">
                  <c:v>4122</c:v>
                </c:pt>
                <c:pt idx="7">
                  <c:v>3783</c:v>
                </c:pt>
                <c:pt idx="8">
                  <c:v>3245</c:v>
                </c:pt>
                <c:pt idx="9">
                  <c:v>3688</c:v>
                </c:pt>
                <c:pt idx="10">
                  <c:v>5311</c:v>
                </c:pt>
                <c:pt idx="11">
                  <c:v>4246</c:v>
                </c:pt>
                <c:pt idx="14">
                  <c:v>1699</c:v>
                </c:pt>
                <c:pt idx="15">
                  <c:v>3982</c:v>
                </c:pt>
                <c:pt idx="16">
                  <c:v>3309</c:v>
                </c:pt>
                <c:pt idx="17">
                  <c:v>2215</c:v>
                </c:pt>
                <c:pt idx="20">
                  <c:v>3153</c:v>
                </c:pt>
                <c:pt idx="21">
                  <c:v>5871</c:v>
                </c:pt>
                <c:pt idx="22">
                  <c:v>8018</c:v>
                </c:pt>
                <c:pt idx="23">
                  <c:v>1582</c:v>
                </c:pt>
                <c:pt idx="24">
                  <c:v>5936</c:v>
                </c:pt>
                <c:pt idx="25">
                  <c:v>958</c:v>
                </c:pt>
                <c:pt idx="26">
                  <c:v>7441</c:v>
                </c:pt>
                <c:pt idx="29">
                  <c:v>3321</c:v>
                </c:pt>
                <c:pt idx="30">
                  <c:v>12126</c:v>
                </c:pt>
                <c:pt idx="31">
                  <c:v>4940</c:v>
                </c:pt>
                <c:pt idx="32">
                  <c:v>8802</c:v>
                </c:pt>
                <c:pt idx="33">
                  <c:v>4692</c:v>
                </c:pt>
                <c:pt idx="34">
                  <c:v>3609</c:v>
                </c:pt>
                <c:pt idx="37">
                  <c:v>10288</c:v>
                </c:pt>
                <c:pt idx="38">
                  <c:v>3034</c:v>
                </c:pt>
                <c:pt idx="39">
                  <c:v>3615</c:v>
                </c:pt>
                <c:pt idx="40">
                  <c:v>5549</c:v>
                </c:pt>
                <c:pt idx="41">
                  <c:v>3297</c:v>
                </c:pt>
                <c:pt idx="42">
                  <c:v>8071</c:v>
                </c:pt>
              </c:numCache>
            </c:numRef>
          </c:val>
        </c:ser>
        <c:ser>
          <c:idx val="1"/>
          <c:order val="1"/>
          <c:tx>
            <c:strRef>
              <c:f>'December 2016'!$F$1</c:f>
              <c:strCache>
                <c:ptCount val="1"/>
                <c:pt idx="0">
                  <c:v>Persons Dec 2016</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'December 2016'!$F$2:$F$44</c:f>
              <c:numCache>
                <c:formatCode>#,##0</c:formatCode>
                <c:ptCount val="43"/>
                <c:pt idx="1">
                  <c:v>3039</c:v>
                </c:pt>
                <c:pt idx="2">
                  <c:v>2851</c:v>
                </c:pt>
                <c:pt idx="3">
                  <c:v>3162</c:v>
                </c:pt>
                <c:pt idx="6">
                  <c:v>3828</c:v>
                </c:pt>
                <c:pt idx="7">
                  <c:v>3956</c:v>
                </c:pt>
                <c:pt idx="8">
                  <c:v>3062</c:v>
                </c:pt>
                <c:pt idx="9">
                  <c:v>3462</c:v>
                </c:pt>
                <c:pt idx="10">
                  <c:v>5486</c:v>
                </c:pt>
                <c:pt idx="11">
                  <c:v>3897</c:v>
                </c:pt>
                <c:pt idx="14">
                  <c:v>1689</c:v>
                </c:pt>
                <c:pt idx="15">
                  <c:v>4215</c:v>
                </c:pt>
                <c:pt idx="16">
                  <c:v>3195</c:v>
                </c:pt>
                <c:pt idx="17">
                  <c:v>1891</c:v>
                </c:pt>
                <c:pt idx="20">
                  <c:v>2541</c:v>
                </c:pt>
                <c:pt idx="21">
                  <c:v>4826</c:v>
                </c:pt>
                <c:pt idx="22">
                  <c:v>9456</c:v>
                </c:pt>
                <c:pt idx="23">
                  <c:v>1283</c:v>
                </c:pt>
                <c:pt idx="24">
                  <c:v>5707</c:v>
                </c:pt>
                <c:pt idx="25" formatCode="General">
                  <c:v>824</c:v>
                </c:pt>
                <c:pt idx="26">
                  <c:v>6509</c:v>
                </c:pt>
                <c:pt idx="29">
                  <c:v>3358</c:v>
                </c:pt>
                <c:pt idx="30">
                  <c:v>11928</c:v>
                </c:pt>
                <c:pt idx="31">
                  <c:v>4596</c:v>
                </c:pt>
                <c:pt idx="32">
                  <c:v>8224</c:v>
                </c:pt>
                <c:pt idx="33">
                  <c:v>4708</c:v>
                </c:pt>
                <c:pt idx="34">
                  <c:v>3417</c:v>
                </c:pt>
                <c:pt idx="37">
                  <c:v>10581</c:v>
                </c:pt>
                <c:pt idx="38">
                  <c:v>3022</c:v>
                </c:pt>
                <c:pt idx="39">
                  <c:v>3593</c:v>
                </c:pt>
                <c:pt idx="40">
                  <c:v>5884</c:v>
                </c:pt>
                <c:pt idx="41">
                  <c:v>3148</c:v>
                </c:pt>
                <c:pt idx="42">
                  <c:v>8278</c:v>
                </c:pt>
              </c:numCache>
            </c:numRef>
          </c:val>
        </c:ser>
        <c:dLbls>
          <c:showLegendKey val="0"/>
          <c:showVal val="0"/>
          <c:showCatName val="0"/>
          <c:showSerName val="0"/>
          <c:showPercent val="0"/>
          <c:showBubbleSize val="0"/>
        </c:dLbls>
        <c:gapWidth val="25"/>
        <c:axId val="207974784"/>
        <c:axId val="207975344"/>
      </c:barChart>
      <c:catAx>
        <c:axId val="20797478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75344"/>
        <c:crosses val="autoZero"/>
        <c:auto val="1"/>
        <c:lblAlgn val="ctr"/>
        <c:lblOffset val="100"/>
        <c:noMultiLvlLbl val="0"/>
      </c:catAx>
      <c:valAx>
        <c:axId val="20797534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74784"/>
        <c:crosses val="autoZero"/>
        <c:crossBetween val="between"/>
      </c:valAx>
      <c:spPr>
        <a:noFill/>
        <a:ln>
          <a:noFill/>
        </a:ln>
        <a:effectLst/>
      </c:spPr>
    </c:plotArea>
    <c:legend>
      <c:legendPos val="b"/>
      <c:layout>
        <c:manualLayout>
          <c:xMode val="edge"/>
          <c:yMode val="edge"/>
          <c:x val="0.7597647236541476"/>
          <c:y val="1.456316087829845E-3"/>
          <c:w val="0.23826412885439685"/>
          <c:h val="5.305887325882017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Unemployment</a:t>
            </a:r>
            <a:r>
              <a:rPr lang="en-AU" baseline="0"/>
              <a:t> Persons by LGA - December 2016</a:t>
            </a:r>
          </a:p>
          <a:p>
            <a:pPr algn="l">
              <a:defRPr/>
            </a:pPr>
            <a:r>
              <a:rPr lang="en-AU" baseline="0"/>
              <a:t>Regional Victoria</a:t>
            </a:r>
          </a:p>
          <a:p>
            <a:pPr algn="l">
              <a:defRPr/>
            </a:pPr>
            <a:r>
              <a:rPr lang="en-AU" sz="1050" baseline="0"/>
              <a:t>Source: Department of Employment Small Area Labour Market data</a:t>
            </a:r>
            <a:endParaRPr lang="en-AU"/>
          </a:p>
        </c:rich>
      </c:tx>
      <c:layout>
        <c:manualLayout>
          <c:xMode val="edge"/>
          <c:yMode val="edge"/>
          <c:x val="3.3426672729737299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069398240113605"/>
          <c:y val="0.1049836147076019"/>
          <c:w val="0.69468364326799592"/>
          <c:h val="0.88152579589939273"/>
        </c:manualLayout>
      </c:layout>
      <c:barChart>
        <c:barDir val="bar"/>
        <c:grouping val="clustered"/>
        <c:varyColors val="0"/>
        <c:ser>
          <c:idx val="0"/>
          <c:order val="0"/>
          <c:tx>
            <c:strRef>
              <c:f>'December 2016'!$E$1</c:f>
              <c:strCache>
                <c:ptCount val="1"/>
                <c:pt idx="0">
                  <c:v>Persons Dec 2015</c:v>
                </c:pt>
              </c:strCache>
            </c:strRef>
          </c:tx>
          <c:spPr>
            <a:solidFill>
              <a:schemeClr val="accent4">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'December 2016'!$E$46:$E$98</c:f>
              <c:numCache>
                <c:formatCode>#,##0</c:formatCode>
                <c:ptCount val="53"/>
                <c:pt idx="1">
                  <c:v>2754</c:v>
                </c:pt>
                <c:pt idx="2">
                  <c:v>3961</c:v>
                </c:pt>
                <c:pt idx="3">
                  <c:v>6902</c:v>
                </c:pt>
                <c:pt idx="4">
                  <c:v>2155</c:v>
                </c:pt>
                <c:pt idx="5">
                  <c:v>495</c:v>
                </c:pt>
                <c:pt idx="6">
                  <c:v>3093</c:v>
                </c:pt>
                <c:pt idx="7">
                  <c:v>2186</c:v>
                </c:pt>
                <c:pt idx="8">
                  <c:v>930</c:v>
                </c:pt>
                <c:pt idx="9">
                  <c:v>536</c:v>
                </c:pt>
                <c:pt idx="10">
                  <c:v>1583</c:v>
                </c:pt>
                <c:pt idx="13">
                  <c:v>997</c:v>
                </c:pt>
                <c:pt idx="14">
                  <c:v>1042</c:v>
                </c:pt>
                <c:pt idx="15">
                  <c:v>356</c:v>
                </c:pt>
                <c:pt idx="16">
                  <c:v>790</c:v>
                </c:pt>
                <c:pt idx="17">
                  <c:v>1009</c:v>
                </c:pt>
                <c:pt idx="18">
                  <c:v>360</c:v>
                </c:pt>
                <c:pt idx="19">
                  <c:v>37</c:v>
                </c:pt>
                <c:pt idx="20">
                  <c:v>566</c:v>
                </c:pt>
                <c:pt idx="21">
                  <c:v>415</c:v>
                </c:pt>
                <c:pt idx="24">
                  <c:v>275</c:v>
                </c:pt>
                <c:pt idx="25">
                  <c:v>379</c:v>
                </c:pt>
                <c:pt idx="26">
                  <c:v>494</c:v>
                </c:pt>
                <c:pt idx="27">
                  <c:v>153</c:v>
                </c:pt>
                <c:pt idx="28">
                  <c:v>1009</c:v>
                </c:pt>
                <c:pt idx="29">
                  <c:v>490</c:v>
                </c:pt>
                <c:pt idx="30">
                  <c:v>348</c:v>
                </c:pt>
                <c:pt idx="31">
                  <c:v>176</c:v>
                </c:pt>
                <c:pt idx="32">
                  <c:v>1433</c:v>
                </c:pt>
                <c:pt idx="33">
                  <c:v>226</c:v>
                </c:pt>
                <c:pt idx="34">
                  <c:v>383</c:v>
                </c:pt>
                <c:pt idx="35">
                  <c:v>307</c:v>
                </c:pt>
                <c:pt idx="36">
                  <c:v>147</c:v>
                </c:pt>
                <c:pt idx="37">
                  <c:v>399</c:v>
                </c:pt>
                <c:pt idx="38">
                  <c:v>242</c:v>
                </c:pt>
                <c:pt idx="39">
                  <c:v>160</c:v>
                </c:pt>
                <c:pt idx="40">
                  <c:v>781</c:v>
                </c:pt>
                <c:pt idx="41">
                  <c:v>566</c:v>
                </c:pt>
                <c:pt idx="42">
                  <c:v>162</c:v>
                </c:pt>
                <c:pt idx="43">
                  <c:v>347</c:v>
                </c:pt>
                <c:pt idx="44">
                  <c:v>176</c:v>
                </c:pt>
                <c:pt idx="45">
                  <c:v>265</c:v>
                </c:pt>
                <c:pt idx="46">
                  <c:v>263</c:v>
                </c:pt>
                <c:pt idx="47">
                  <c:v>560</c:v>
                </c:pt>
                <c:pt idx="48">
                  <c:v>185</c:v>
                </c:pt>
                <c:pt idx="49">
                  <c:v>1148</c:v>
                </c:pt>
                <c:pt idx="50">
                  <c:v>80</c:v>
                </c:pt>
                <c:pt idx="51">
                  <c:v>196</c:v>
                </c:pt>
                <c:pt idx="52">
                  <c:v>16</c:v>
                </c:pt>
              </c:numCache>
            </c:numRef>
          </c:val>
        </c:ser>
        <c:ser>
          <c:idx val="1"/>
          <c:order val="1"/>
          <c:tx>
            <c:strRef>
              <c:f>'December 2016'!$F$1</c:f>
              <c:strCache>
                <c:ptCount val="1"/>
                <c:pt idx="0">
                  <c:v>Persons Dec 2016</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'December 2016'!$A$46:$A$98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'December 2016'!$F$46:$F$98</c:f>
              <c:numCache>
                <c:formatCode>#,##0</c:formatCode>
                <c:ptCount val="53"/>
                <c:pt idx="1">
                  <c:v>2797</c:v>
                </c:pt>
                <c:pt idx="2">
                  <c:v>2442</c:v>
                </c:pt>
                <c:pt idx="3">
                  <c:v>7937</c:v>
                </c:pt>
                <c:pt idx="4">
                  <c:v>1950</c:v>
                </c:pt>
                <c:pt idx="5" formatCode="General">
                  <c:v>323</c:v>
                </c:pt>
                <c:pt idx="6">
                  <c:v>4034</c:v>
                </c:pt>
                <c:pt idx="7">
                  <c:v>1412</c:v>
                </c:pt>
                <c:pt idx="8" formatCode="General">
                  <c:v>807</c:v>
                </c:pt>
                <c:pt idx="9" formatCode="General">
                  <c:v>985</c:v>
                </c:pt>
                <c:pt idx="10">
                  <c:v>1330</c:v>
                </c:pt>
                <c:pt idx="13">
                  <c:v>1259</c:v>
                </c:pt>
                <c:pt idx="14">
                  <c:v>1316</c:v>
                </c:pt>
                <c:pt idx="15" formatCode="General">
                  <c:v>404</c:v>
                </c:pt>
                <c:pt idx="16" formatCode="General">
                  <c:v>630</c:v>
                </c:pt>
                <c:pt idx="17">
                  <c:v>1037</c:v>
                </c:pt>
                <c:pt idx="18" formatCode="General">
                  <c:v>330</c:v>
                </c:pt>
                <c:pt idx="19" formatCode="General">
                  <c:v>41</c:v>
                </c:pt>
                <c:pt idx="20" formatCode="General">
                  <c:v>727</c:v>
                </c:pt>
                <c:pt idx="21" formatCode="General">
                  <c:v>493</c:v>
                </c:pt>
                <c:pt idx="24" formatCode="General">
                  <c:v>253</c:v>
                </c:pt>
                <c:pt idx="25" formatCode="General">
                  <c:v>266</c:v>
                </c:pt>
                <c:pt idx="26" formatCode="General">
                  <c:v>412</c:v>
                </c:pt>
                <c:pt idx="27" formatCode="General">
                  <c:v>102</c:v>
                </c:pt>
                <c:pt idx="28" formatCode="General">
                  <c:v>962</c:v>
                </c:pt>
                <c:pt idx="29" formatCode="General">
                  <c:v>502</c:v>
                </c:pt>
                <c:pt idx="30" formatCode="General">
                  <c:v>545</c:v>
                </c:pt>
                <c:pt idx="31" formatCode="General">
                  <c:v>321</c:v>
                </c:pt>
                <c:pt idx="32">
                  <c:v>1878</c:v>
                </c:pt>
                <c:pt idx="33" formatCode="General">
                  <c:v>166</c:v>
                </c:pt>
                <c:pt idx="34" formatCode="General">
                  <c:v>676</c:v>
                </c:pt>
                <c:pt idx="35" formatCode="General">
                  <c:v>336</c:v>
                </c:pt>
                <c:pt idx="36" formatCode="General">
                  <c:v>100</c:v>
                </c:pt>
                <c:pt idx="37" formatCode="General">
                  <c:v>333</c:v>
                </c:pt>
                <c:pt idx="38" formatCode="General">
                  <c:v>170</c:v>
                </c:pt>
                <c:pt idx="39" formatCode="General">
                  <c:v>156</c:v>
                </c:pt>
                <c:pt idx="40" formatCode="General">
                  <c:v>742</c:v>
                </c:pt>
                <c:pt idx="41" formatCode="General">
                  <c:v>368</c:v>
                </c:pt>
                <c:pt idx="42" formatCode="General">
                  <c:v>299</c:v>
                </c:pt>
                <c:pt idx="43" formatCode="General">
                  <c:v>245</c:v>
                </c:pt>
                <c:pt idx="44" formatCode="General">
                  <c:v>184</c:v>
                </c:pt>
                <c:pt idx="45" formatCode="General">
                  <c:v>451</c:v>
                </c:pt>
                <c:pt idx="46" formatCode="General">
                  <c:v>251</c:v>
                </c:pt>
                <c:pt idx="47" formatCode="General">
                  <c:v>373</c:v>
                </c:pt>
                <c:pt idx="48" formatCode="General">
                  <c:v>166</c:v>
                </c:pt>
                <c:pt idx="49">
                  <c:v>1453</c:v>
                </c:pt>
                <c:pt idx="50" formatCode="General">
                  <c:v>52</c:v>
                </c:pt>
                <c:pt idx="51" formatCode="General">
                  <c:v>131</c:v>
                </c:pt>
                <c:pt idx="52" formatCode="General">
                  <c:v>17</c:v>
                </c:pt>
              </c:numCache>
            </c:numRef>
          </c:val>
        </c:ser>
        <c:dLbls>
          <c:showLegendKey val="0"/>
          <c:showVal val="0"/>
          <c:showCatName val="0"/>
          <c:showSerName val="0"/>
          <c:showPercent val="0"/>
          <c:showBubbleSize val="0"/>
        </c:dLbls>
        <c:gapWidth val="25"/>
        <c:axId val="207978144"/>
        <c:axId val="207978704"/>
      </c:barChart>
      <c:catAx>
        <c:axId val="20797814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78704"/>
        <c:crosses val="autoZero"/>
        <c:auto val="1"/>
        <c:lblAlgn val="ctr"/>
        <c:lblOffset val="100"/>
        <c:noMultiLvlLbl val="0"/>
      </c:catAx>
      <c:valAx>
        <c:axId val="20797870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78144"/>
        <c:crosses val="autoZero"/>
        <c:crossBetween val="between"/>
      </c:valAx>
      <c:spPr>
        <a:noFill/>
        <a:ln>
          <a:noFill/>
        </a:ln>
        <a:effectLst/>
      </c:spPr>
    </c:plotArea>
    <c:legend>
      <c:legendPos val="b"/>
      <c:layout>
        <c:manualLayout>
          <c:xMode val="edge"/>
          <c:yMode val="edge"/>
          <c:x val="0.7597647236541476"/>
          <c:y val="1.456316087829845E-3"/>
          <c:w val="0.23826412885439685"/>
          <c:h val="5.305887325882017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b="0">
                <a:solidFill>
                  <a:sysClr val="windowText" lastClr="000000"/>
                </a:solidFill>
              </a:defRPr>
            </a:pPr>
            <a:r>
              <a:rPr lang="en-US" sz="1400" b="0">
                <a:solidFill>
                  <a:sysClr val="windowText" lastClr="000000"/>
                </a:solidFill>
              </a:rPr>
              <a:t>Number of births in Victoria since 1970</a:t>
            </a:r>
          </a:p>
          <a:p>
            <a:pPr algn="l">
              <a:defRPr b="0">
                <a:solidFill>
                  <a:sysClr val="windowText" lastClr="000000"/>
                </a:solidFill>
              </a:defRPr>
            </a:pPr>
            <a:r>
              <a:rPr lang="en-US" sz="1000" b="0">
                <a:solidFill>
                  <a:sysClr val="windowText" lastClr="000000"/>
                </a:solidFill>
              </a:rPr>
              <a:t>Source: VPA analysis of ABS</a:t>
            </a:r>
            <a:r>
              <a:rPr lang="en-US" sz="1000" b="0" baseline="0">
                <a:solidFill>
                  <a:sysClr val="windowText" lastClr="000000"/>
                </a:solidFill>
              </a:rPr>
              <a:t> Births and Historic data</a:t>
            </a:r>
            <a:endParaRPr lang="en-US" sz="1000" b="0">
              <a:solidFill>
                <a:sysClr val="windowText" lastClr="000000"/>
              </a:solidFill>
            </a:endParaRPr>
          </a:p>
        </c:rich>
      </c:tx>
      <c:layout>
        <c:manualLayout>
          <c:xMode val="edge"/>
          <c:yMode val="edge"/>
          <c:x val="1.3357519767700971E-3"/>
          <c:y val="0"/>
        </c:manualLayout>
      </c:layout>
      <c:overlay val="0"/>
      <c:spPr>
        <a:solidFill>
          <a:schemeClr val="bg1"/>
        </a:solidFill>
      </c:spPr>
    </c:title>
    <c:autoTitleDeleted val="0"/>
    <c:plotArea>
      <c:layout>
        <c:manualLayout>
          <c:layoutTarget val="inner"/>
          <c:xMode val="edge"/>
          <c:yMode val="edge"/>
          <c:x val="7.930814303187049E-2"/>
          <c:y val="0.1468925475224688"/>
          <c:w val="0.8950299251247853"/>
          <c:h val="0.74943247796504786"/>
        </c:manualLayout>
      </c:layout>
      <c:barChart>
        <c:barDir val="col"/>
        <c:grouping val="clustered"/>
        <c:varyColors val="0"/>
        <c:ser>
          <c:idx val="0"/>
          <c:order val="0"/>
          <c:tx>
            <c:strRef>
              <c:f>'Time Series of Victoria'!$A$3</c:f>
              <c:strCache>
                <c:ptCount val="1"/>
                <c:pt idx="0">
                  <c:v>Births</c:v>
                </c:pt>
              </c:strCache>
            </c:strRef>
          </c:tx>
          <c:spPr>
            <a:solidFill>
              <a:schemeClr val="accent1">
                <a:lumMod val="60000"/>
                <a:lumOff val="40000"/>
              </a:schemeClr>
            </a:solidFill>
            <a:ln>
              <a:solidFill>
                <a:prstClr val="black"/>
              </a:solidFill>
            </a:ln>
          </c:spPr>
          <c:invertIfNegative val="0"/>
          <c:dPt>
            <c:idx val="1"/>
            <c:invertIfNegative val="0"/>
            <c:bubble3D val="0"/>
            <c:spPr>
              <a:solidFill>
                <a:schemeClr val="tx2"/>
              </a:solidFill>
              <a:ln>
                <a:solidFill>
                  <a:prstClr val="black"/>
                </a:solidFill>
              </a:ln>
            </c:spPr>
          </c:dPt>
          <c:dPt>
            <c:idx val="42"/>
            <c:invertIfNegative val="0"/>
            <c:bubble3D val="0"/>
            <c:spPr>
              <a:solidFill>
                <a:schemeClr val="tx2"/>
              </a:solidFill>
              <a:ln>
                <a:solidFill>
                  <a:prstClr val="black"/>
                </a:solidFill>
              </a:ln>
            </c:spPr>
          </c:dPt>
          <c:dLbls>
            <c:numFmt formatCode="#,##0" sourceLinked="0"/>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'Time Series of Victoria'!$BT$2:$DM$2</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'Time Series of Victoria'!$BT$3:$DM$3</c:f>
              <c:numCache>
                <c:formatCode>General</c:formatCode>
                <c:ptCount val="46"/>
                <c:pt idx="0">
                  <c:v>73469</c:v>
                </c:pt>
                <c:pt idx="1">
                  <c:v>75394</c:v>
                </c:pt>
                <c:pt idx="2">
                  <c:v>71713</c:v>
                </c:pt>
                <c:pt idx="3">
                  <c:v>66910</c:v>
                </c:pt>
                <c:pt idx="4">
                  <c:v>66017</c:v>
                </c:pt>
                <c:pt idx="5">
                  <c:v>61778</c:v>
                </c:pt>
                <c:pt idx="6">
                  <c:v>60413</c:v>
                </c:pt>
                <c:pt idx="7">
                  <c:v>59244</c:v>
                </c:pt>
                <c:pt idx="8">
                  <c:v>58687</c:v>
                </c:pt>
                <c:pt idx="9">
                  <c:v>57628</c:v>
                </c:pt>
                <c:pt idx="10">
                  <c:v>58022</c:v>
                </c:pt>
                <c:pt idx="11">
                  <c:v>59284</c:v>
                </c:pt>
                <c:pt idx="12">
                  <c:v>59876</c:v>
                </c:pt>
                <c:pt idx="13">
                  <c:v>59928</c:v>
                </c:pt>
                <c:pt idx="14">
                  <c:v>59485</c:v>
                </c:pt>
                <c:pt idx="15">
                  <c:v>61555</c:v>
                </c:pt>
                <c:pt idx="16">
                  <c:v>60162</c:v>
                </c:pt>
                <c:pt idx="17">
                  <c:v>61507</c:v>
                </c:pt>
                <c:pt idx="18">
                  <c:v>62134</c:v>
                </c:pt>
                <c:pt idx="19">
                  <c:v>64002</c:v>
                </c:pt>
                <c:pt idx="20">
                  <c:v>66970</c:v>
                </c:pt>
                <c:pt idx="21">
                  <c:v>65438</c:v>
                </c:pt>
                <c:pt idx="22">
                  <c:v>65766</c:v>
                </c:pt>
                <c:pt idx="23">
                  <c:v>64049</c:v>
                </c:pt>
                <c:pt idx="24">
                  <c:v>63974</c:v>
                </c:pt>
                <c:pt idx="25">
                  <c:v>62591</c:v>
                </c:pt>
                <c:pt idx="26">
                  <c:v>61143</c:v>
                </c:pt>
                <c:pt idx="27">
                  <c:v>60732</c:v>
                </c:pt>
                <c:pt idx="28">
                  <c:v>60492</c:v>
                </c:pt>
                <c:pt idx="29">
                  <c:v>58875</c:v>
                </c:pt>
                <c:pt idx="30">
                  <c:v>59171</c:v>
                </c:pt>
                <c:pt idx="31" formatCode="#,##0">
                  <c:v>58626</c:v>
                </c:pt>
                <c:pt idx="32" formatCode="#,##0">
                  <c:v>61478</c:v>
                </c:pt>
                <c:pt idx="33" formatCode="#,##0">
                  <c:v>61058</c:v>
                </c:pt>
                <c:pt idx="34" formatCode="#,##0">
                  <c:v>62417</c:v>
                </c:pt>
                <c:pt idx="35" formatCode="#,##0">
                  <c:v>63287</c:v>
                </c:pt>
                <c:pt idx="36" formatCode="#,##0">
                  <c:v>65236</c:v>
                </c:pt>
                <c:pt idx="37" formatCode="#,##0">
                  <c:v>70313</c:v>
                </c:pt>
                <c:pt idx="38" formatCode="#,##0">
                  <c:v>71175</c:v>
                </c:pt>
                <c:pt idx="39" formatCode="#,##0">
                  <c:v>70920</c:v>
                </c:pt>
                <c:pt idx="40" formatCode="#,##0">
                  <c:v>70568</c:v>
                </c:pt>
                <c:pt idx="41" formatCode="#,##0">
                  <c:v>71444</c:v>
                </c:pt>
                <c:pt idx="42" formatCode="#,##0">
                  <c:v>77278</c:v>
                </c:pt>
                <c:pt idx="43" formatCode="#,##0">
                  <c:v>73969</c:v>
                </c:pt>
                <c:pt idx="44" formatCode="#,##0">
                  <c:v>74224</c:v>
                </c:pt>
                <c:pt idx="45" formatCode="#,##0">
                  <c:v>73568</c:v>
                </c:pt>
              </c:numCache>
            </c:numRef>
          </c:val>
        </c:ser>
        <c:dLbls>
          <c:showLegendKey val="0"/>
          <c:showVal val="0"/>
          <c:showCatName val="0"/>
          <c:showSerName val="0"/>
          <c:showPercent val="0"/>
          <c:showBubbleSize val="0"/>
        </c:dLbls>
        <c:gapWidth val="0"/>
        <c:axId val="201969184"/>
        <c:axId val="201969744"/>
      </c:barChart>
      <c:catAx>
        <c:axId val="201969184"/>
        <c:scaling>
          <c:orientation val="minMax"/>
        </c:scaling>
        <c:delete val="0"/>
        <c:axPos val="b"/>
        <c:numFmt formatCode="General" sourceLinked="1"/>
        <c:majorTickMark val="out"/>
        <c:minorTickMark val="none"/>
        <c:tickLblPos val="low"/>
        <c:txPr>
          <a:bodyPr rot="-5400000" vert="horz"/>
          <a:lstStyle/>
          <a:p>
            <a:pPr>
              <a:defRPr sz="700"/>
            </a:pPr>
            <a:endParaRPr lang="en-US"/>
          </a:p>
        </c:txPr>
        <c:crossAx val="201969744"/>
        <c:crosses val="autoZero"/>
        <c:auto val="1"/>
        <c:lblAlgn val="ctr"/>
        <c:lblOffset val="100"/>
        <c:noMultiLvlLbl val="0"/>
      </c:catAx>
      <c:valAx>
        <c:axId val="201969744"/>
        <c:scaling>
          <c:orientation val="minMax"/>
        </c:scaling>
        <c:delete val="0"/>
        <c:axPos val="l"/>
        <c:majorGridlines/>
        <c:numFmt formatCode="#,##0" sourceLinked="0"/>
        <c:majorTickMark val="out"/>
        <c:minorTickMark val="none"/>
        <c:tickLblPos val="nextTo"/>
        <c:txPr>
          <a:bodyPr/>
          <a:lstStyle/>
          <a:p>
            <a:pPr>
              <a:defRPr sz="900"/>
            </a:pPr>
            <a:endParaRPr lang="en-US"/>
          </a:p>
        </c:txPr>
        <c:crossAx val="201969184"/>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Labour Force </a:t>
            </a:r>
            <a:r>
              <a:rPr lang="en-AU" baseline="0"/>
              <a:t>by LGA - December 2016</a:t>
            </a:r>
          </a:p>
          <a:p>
            <a:pPr algn="l">
              <a:defRPr/>
            </a:pPr>
            <a:r>
              <a:rPr lang="en-AU" baseline="0"/>
              <a:t>Metropolitan Melbourne</a:t>
            </a:r>
          </a:p>
          <a:p>
            <a:pPr algn="l">
              <a:defRPr/>
            </a:pPr>
            <a:r>
              <a:rPr lang="en-AU" sz="1050" baseline="0"/>
              <a:t>Source: Department of Employment Small Area Labour Market data</a:t>
            </a:r>
            <a:endParaRPr lang="en-AU"/>
          </a:p>
        </c:rich>
      </c:tx>
      <c:layout>
        <c:manualLayout>
          <c:xMode val="edge"/>
          <c:yMode val="edge"/>
          <c:x val="3.3426672729737299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03542110427686"/>
          <c:y val="0.1049836147076019"/>
          <c:w val="0.74534220456485512"/>
          <c:h val="0.88152579589939273"/>
        </c:manualLayout>
      </c:layout>
      <c:barChart>
        <c:barDir val="bar"/>
        <c:grouping val="stacked"/>
        <c:varyColors val="0"/>
        <c:ser>
          <c:idx val="0"/>
          <c:order val="0"/>
          <c:tx>
            <c:strRef>
              <c:f>'December 2016'!$J$1</c:f>
              <c:strCache>
                <c:ptCount val="1"/>
                <c:pt idx="0">
                  <c:v>Employed Persons</c:v>
                </c:pt>
              </c:strCache>
            </c:strRef>
          </c:tx>
          <c:spPr>
            <a:solidFill>
              <a:schemeClr val="accent6">
                <a:lumMod val="75000"/>
              </a:schemeClr>
            </a:solidFill>
            <a:ln>
              <a:solidFill>
                <a:schemeClr val="tx1"/>
              </a:solidFill>
            </a:ln>
            <a:effectLst/>
          </c:spPr>
          <c:invertIfNegative val="0"/>
          <c:cat>
            <c:strRef>
              <c:f>'December 2016'!$A$2:$A$44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'December 2016'!$J$2:$J$44</c:f>
              <c:numCache>
                <c:formatCode>#,##0</c:formatCode>
                <c:ptCount val="43"/>
                <c:pt idx="1">
                  <c:v>76694</c:v>
                </c:pt>
                <c:pt idx="2">
                  <c:v>67860</c:v>
                </c:pt>
                <c:pt idx="3">
                  <c:v>53934</c:v>
                </c:pt>
                <c:pt idx="6">
                  <c:v>84504</c:v>
                </c:pt>
                <c:pt idx="7">
                  <c:v>60654</c:v>
                </c:pt>
                <c:pt idx="8">
                  <c:v>59060</c:v>
                </c:pt>
                <c:pt idx="9">
                  <c:v>96695</c:v>
                </c:pt>
                <c:pt idx="10">
                  <c:v>83764</c:v>
                </c:pt>
                <c:pt idx="11">
                  <c:v>80013</c:v>
                </c:pt>
                <c:pt idx="14">
                  <c:v>50498</c:v>
                </c:pt>
                <c:pt idx="15">
                  <c:v>97742</c:v>
                </c:pt>
                <c:pt idx="16">
                  <c:v>76875</c:v>
                </c:pt>
                <c:pt idx="17">
                  <c:v>63357</c:v>
                </c:pt>
                <c:pt idx="20">
                  <c:v>67911</c:v>
                </c:pt>
                <c:pt idx="21">
                  <c:v>76212</c:v>
                </c:pt>
                <c:pt idx="22">
                  <c:v>87126</c:v>
                </c:pt>
                <c:pt idx="23">
                  <c:v>20193</c:v>
                </c:pt>
                <c:pt idx="24">
                  <c:v>83065</c:v>
                </c:pt>
                <c:pt idx="25">
                  <c:v>37627</c:v>
                </c:pt>
                <c:pt idx="26">
                  <c:v>97778</c:v>
                </c:pt>
                <c:pt idx="29">
                  <c:v>47492</c:v>
                </c:pt>
                <c:pt idx="30">
                  <c:v>149770</c:v>
                </c:pt>
                <c:pt idx="31">
                  <c:v>71139</c:v>
                </c:pt>
                <c:pt idx="32">
                  <c:v>65726</c:v>
                </c:pt>
                <c:pt idx="33">
                  <c:v>79225</c:v>
                </c:pt>
                <c:pt idx="34">
                  <c:v>74784</c:v>
                </c:pt>
                <c:pt idx="37">
                  <c:v>93730</c:v>
                </c:pt>
                <c:pt idx="38">
                  <c:v>49330</c:v>
                </c:pt>
                <c:pt idx="39">
                  <c:v>46646</c:v>
                </c:pt>
                <c:pt idx="40">
                  <c:v>68295</c:v>
                </c:pt>
                <c:pt idx="41">
                  <c:v>61901</c:v>
                </c:pt>
                <c:pt idx="42">
                  <c:v>111828</c:v>
                </c:pt>
              </c:numCache>
            </c:numRef>
          </c:val>
        </c:ser>
        <c:ser>
          <c:idx val="1"/>
          <c:order val="1"/>
          <c:tx>
            <c:strRef>
              <c:f>'December 2016'!$K$1</c:f>
              <c:strCache>
                <c:ptCount val="1"/>
                <c:pt idx="0">
                  <c:v>Unemployed Persons</c:v>
                </c:pt>
              </c:strCache>
            </c:strRef>
          </c:tx>
          <c:spPr>
            <a:solidFill>
              <a:schemeClr val="accent4"/>
            </a:solidFill>
            <a:ln>
              <a:solidFill>
                <a:schemeClr val="tx1"/>
              </a:solidFill>
            </a:ln>
            <a:effectLst/>
          </c:spPr>
          <c:invertIfNegative val="0"/>
          <c:cat>
            <c:strRef>
              <c:f>'December 2016'!$A$2:$A$44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'December 2016'!$K$2:$K$44</c:f>
              <c:numCache>
                <c:formatCode>#,##0</c:formatCode>
                <c:ptCount val="43"/>
                <c:pt idx="1">
                  <c:v>3039</c:v>
                </c:pt>
                <c:pt idx="2">
                  <c:v>2851</c:v>
                </c:pt>
                <c:pt idx="3">
                  <c:v>3162</c:v>
                </c:pt>
                <c:pt idx="6">
                  <c:v>3828</c:v>
                </c:pt>
                <c:pt idx="7">
                  <c:v>3956</c:v>
                </c:pt>
                <c:pt idx="8">
                  <c:v>3062</c:v>
                </c:pt>
                <c:pt idx="9">
                  <c:v>3462</c:v>
                </c:pt>
                <c:pt idx="10">
                  <c:v>5486</c:v>
                </c:pt>
                <c:pt idx="11">
                  <c:v>3897</c:v>
                </c:pt>
                <c:pt idx="14">
                  <c:v>1689</c:v>
                </c:pt>
                <c:pt idx="15">
                  <c:v>4215</c:v>
                </c:pt>
                <c:pt idx="16">
                  <c:v>3195</c:v>
                </c:pt>
                <c:pt idx="17">
                  <c:v>1891</c:v>
                </c:pt>
                <c:pt idx="20">
                  <c:v>2541</c:v>
                </c:pt>
                <c:pt idx="21">
                  <c:v>4826</c:v>
                </c:pt>
                <c:pt idx="22">
                  <c:v>9456</c:v>
                </c:pt>
                <c:pt idx="23">
                  <c:v>1283</c:v>
                </c:pt>
                <c:pt idx="24">
                  <c:v>5707</c:v>
                </c:pt>
                <c:pt idx="25">
                  <c:v>824</c:v>
                </c:pt>
                <c:pt idx="26">
                  <c:v>6509</c:v>
                </c:pt>
                <c:pt idx="29">
                  <c:v>3358</c:v>
                </c:pt>
                <c:pt idx="30">
                  <c:v>11928</c:v>
                </c:pt>
                <c:pt idx="31">
                  <c:v>4596</c:v>
                </c:pt>
                <c:pt idx="32">
                  <c:v>8224</c:v>
                </c:pt>
                <c:pt idx="33">
                  <c:v>4708</c:v>
                </c:pt>
                <c:pt idx="34">
                  <c:v>3417</c:v>
                </c:pt>
                <c:pt idx="37">
                  <c:v>10581</c:v>
                </c:pt>
                <c:pt idx="38">
                  <c:v>3022</c:v>
                </c:pt>
                <c:pt idx="39">
                  <c:v>3593</c:v>
                </c:pt>
                <c:pt idx="40">
                  <c:v>5884</c:v>
                </c:pt>
                <c:pt idx="41">
                  <c:v>3148</c:v>
                </c:pt>
                <c:pt idx="42">
                  <c:v>8278</c:v>
                </c:pt>
              </c:numCache>
            </c:numRef>
          </c:val>
        </c:ser>
        <c:dLbls>
          <c:showLegendKey val="0"/>
          <c:showVal val="0"/>
          <c:showCatName val="0"/>
          <c:showSerName val="0"/>
          <c:showPercent val="0"/>
          <c:showBubbleSize val="0"/>
        </c:dLbls>
        <c:gapWidth val="25"/>
        <c:overlap val="100"/>
        <c:axId val="207981504"/>
        <c:axId val="207982064"/>
      </c:barChart>
      <c:catAx>
        <c:axId val="20798150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82064"/>
        <c:crosses val="autoZero"/>
        <c:auto val="1"/>
        <c:lblAlgn val="ctr"/>
        <c:lblOffset val="100"/>
        <c:noMultiLvlLbl val="0"/>
      </c:catAx>
      <c:valAx>
        <c:axId val="20798206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81504"/>
        <c:crosses val="autoZero"/>
        <c:crossBetween val="between"/>
      </c:valAx>
      <c:spPr>
        <a:noFill/>
        <a:ln>
          <a:noFill/>
        </a:ln>
        <a:effectLst/>
      </c:spPr>
    </c:plotArea>
    <c:legend>
      <c:legendPos val="b"/>
      <c:layout>
        <c:manualLayout>
          <c:xMode val="edge"/>
          <c:yMode val="edge"/>
          <c:x val="0.64223679486872642"/>
          <c:y val="1.456316087829845E-3"/>
          <c:w val="0.35776320513127347"/>
          <c:h val="6.031272912748254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Labour Force </a:t>
            </a:r>
            <a:r>
              <a:rPr lang="en-AU" baseline="0"/>
              <a:t>by LGA - December 2016</a:t>
            </a:r>
          </a:p>
          <a:p>
            <a:pPr algn="l">
              <a:defRPr/>
            </a:pPr>
            <a:r>
              <a:rPr lang="en-AU" baseline="0"/>
              <a:t>Regional Victoria</a:t>
            </a:r>
          </a:p>
          <a:p>
            <a:pPr algn="l">
              <a:defRPr/>
            </a:pPr>
            <a:r>
              <a:rPr lang="en-AU" sz="1050" baseline="0"/>
              <a:t>Source: Department of Employment Small Area Labour Market data</a:t>
            </a:r>
            <a:endParaRPr lang="en-AU"/>
          </a:p>
        </c:rich>
      </c:tx>
      <c:layout>
        <c:manualLayout>
          <c:xMode val="edge"/>
          <c:yMode val="edge"/>
          <c:x val="3.3426672729737299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03542110427686"/>
          <c:y val="0.1049836147076019"/>
          <c:w val="0.74534220456485512"/>
          <c:h val="0.88152579589939273"/>
        </c:manualLayout>
      </c:layout>
      <c:barChart>
        <c:barDir val="bar"/>
        <c:grouping val="stacked"/>
        <c:varyColors val="0"/>
        <c:ser>
          <c:idx val="0"/>
          <c:order val="0"/>
          <c:tx>
            <c:strRef>
              <c:f>'December 2016'!$J$1</c:f>
              <c:strCache>
                <c:ptCount val="1"/>
                <c:pt idx="0">
                  <c:v>Employed Persons</c:v>
                </c:pt>
              </c:strCache>
            </c:strRef>
          </c:tx>
          <c:spPr>
            <a:solidFill>
              <a:schemeClr val="accent6">
                <a:lumMod val="75000"/>
              </a:schemeClr>
            </a:solidFill>
            <a:ln>
              <a:solidFill>
                <a:schemeClr val="tx1"/>
              </a:solidFill>
            </a:ln>
            <a:effectLst/>
          </c:spPr>
          <c:invertIfNegative val="0"/>
          <c:cat>
            <c:strRef>
              <c:f>'December 2016'!$A$46:$A$98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'December 2016'!$J$46:$J$98</c:f>
              <c:numCache>
                <c:formatCode>#,##0</c:formatCode>
                <c:ptCount val="53"/>
                <c:pt idx="1">
                  <c:v>50422</c:v>
                </c:pt>
                <c:pt idx="2">
                  <c:v>53103</c:v>
                </c:pt>
                <c:pt idx="3">
                  <c:v>113869</c:v>
                </c:pt>
                <c:pt idx="4">
                  <c:v>31963</c:v>
                </c:pt>
                <c:pt idx="5">
                  <c:v>9735</c:v>
                </c:pt>
                <c:pt idx="6">
                  <c:v>32076</c:v>
                </c:pt>
                <c:pt idx="7">
                  <c:v>23661</c:v>
                </c:pt>
                <c:pt idx="8">
                  <c:v>14113</c:v>
                </c:pt>
                <c:pt idx="9">
                  <c:v>17938</c:v>
                </c:pt>
                <c:pt idx="10">
                  <c:v>20223</c:v>
                </c:pt>
                <c:pt idx="13">
                  <c:v>13670</c:v>
                </c:pt>
                <c:pt idx="14">
                  <c:v>22898</c:v>
                </c:pt>
                <c:pt idx="15">
                  <c:v>10952</c:v>
                </c:pt>
                <c:pt idx="16">
                  <c:v>24245</c:v>
                </c:pt>
                <c:pt idx="17">
                  <c:v>16244</c:v>
                </c:pt>
                <c:pt idx="18">
                  <c:v>7088</c:v>
                </c:pt>
                <c:pt idx="19">
                  <c:v>1346</c:v>
                </c:pt>
                <c:pt idx="20">
                  <c:v>13232</c:v>
                </c:pt>
                <c:pt idx="21">
                  <c:v>15573</c:v>
                </c:pt>
                <c:pt idx="24">
                  <c:v>6154</c:v>
                </c:pt>
                <c:pt idx="25">
                  <c:v>4819</c:v>
                </c:pt>
                <c:pt idx="26">
                  <c:v>6590</c:v>
                </c:pt>
                <c:pt idx="27">
                  <c:v>2595</c:v>
                </c:pt>
                <c:pt idx="28">
                  <c:v>18366</c:v>
                </c:pt>
                <c:pt idx="29">
                  <c:v>4622</c:v>
                </c:pt>
                <c:pt idx="30">
                  <c:v>10516</c:v>
                </c:pt>
                <c:pt idx="31">
                  <c:v>8075</c:v>
                </c:pt>
                <c:pt idx="32">
                  <c:v>18068</c:v>
                </c:pt>
                <c:pt idx="33">
                  <c:v>4479</c:v>
                </c:pt>
                <c:pt idx="34">
                  <c:v>9603</c:v>
                </c:pt>
                <c:pt idx="35">
                  <c:v>7126</c:v>
                </c:pt>
                <c:pt idx="36">
                  <c:v>2407</c:v>
                </c:pt>
                <c:pt idx="37">
                  <c:v>8358</c:v>
                </c:pt>
                <c:pt idx="38">
                  <c:v>3141</c:v>
                </c:pt>
                <c:pt idx="39">
                  <c:v>4336</c:v>
                </c:pt>
                <c:pt idx="40">
                  <c:v>13627</c:v>
                </c:pt>
                <c:pt idx="41">
                  <c:v>8351</c:v>
                </c:pt>
                <c:pt idx="42">
                  <c:v>8888</c:v>
                </c:pt>
                <c:pt idx="43">
                  <c:v>5323</c:v>
                </c:pt>
                <c:pt idx="44">
                  <c:v>2954</c:v>
                </c:pt>
                <c:pt idx="45">
                  <c:v>8080</c:v>
                </c:pt>
                <c:pt idx="46">
                  <c:v>4846</c:v>
                </c:pt>
                <c:pt idx="47">
                  <c:v>9571</c:v>
                </c:pt>
                <c:pt idx="48">
                  <c:v>2912</c:v>
                </c:pt>
                <c:pt idx="49">
                  <c:v>19012</c:v>
                </c:pt>
                <c:pt idx="50">
                  <c:v>1895</c:v>
                </c:pt>
                <c:pt idx="51">
                  <c:v>2860</c:v>
                </c:pt>
                <c:pt idx="52">
                  <c:v>395</c:v>
                </c:pt>
              </c:numCache>
            </c:numRef>
          </c:val>
        </c:ser>
        <c:ser>
          <c:idx val="1"/>
          <c:order val="1"/>
          <c:tx>
            <c:strRef>
              <c:f>'December 2016'!$K$1</c:f>
              <c:strCache>
                <c:ptCount val="1"/>
                <c:pt idx="0">
                  <c:v>Unemployed Persons</c:v>
                </c:pt>
              </c:strCache>
            </c:strRef>
          </c:tx>
          <c:spPr>
            <a:solidFill>
              <a:schemeClr val="accent4"/>
            </a:solidFill>
            <a:ln>
              <a:solidFill>
                <a:schemeClr val="tx1"/>
              </a:solidFill>
            </a:ln>
            <a:effectLst/>
          </c:spPr>
          <c:invertIfNegative val="0"/>
          <c:cat>
            <c:strRef>
              <c:f>'December 2016'!$A$46:$A$98</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'December 2016'!$K$46:$K$98</c:f>
              <c:numCache>
                <c:formatCode>#,##0</c:formatCode>
                <c:ptCount val="53"/>
                <c:pt idx="1">
                  <c:v>2797</c:v>
                </c:pt>
                <c:pt idx="2">
                  <c:v>2442</c:v>
                </c:pt>
                <c:pt idx="3">
                  <c:v>7937</c:v>
                </c:pt>
                <c:pt idx="4">
                  <c:v>1950</c:v>
                </c:pt>
                <c:pt idx="5">
                  <c:v>323</c:v>
                </c:pt>
                <c:pt idx="6">
                  <c:v>4034</c:v>
                </c:pt>
                <c:pt idx="7">
                  <c:v>1412</c:v>
                </c:pt>
                <c:pt idx="8">
                  <c:v>807</c:v>
                </c:pt>
                <c:pt idx="9">
                  <c:v>985</c:v>
                </c:pt>
                <c:pt idx="10">
                  <c:v>1330</c:v>
                </c:pt>
                <c:pt idx="13">
                  <c:v>1259</c:v>
                </c:pt>
                <c:pt idx="14">
                  <c:v>1316</c:v>
                </c:pt>
                <c:pt idx="15">
                  <c:v>404</c:v>
                </c:pt>
                <c:pt idx="16">
                  <c:v>630</c:v>
                </c:pt>
                <c:pt idx="17">
                  <c:v>1037</c:v>
                </c:pt>
                <c:pt idx="18">
                  <c:v>330</c:v>
                </c:pt>
                <c:pt idx="19">
                  <c:v>41</c:v>
                </c:pt>
                <c:pt idx="20">
                  <c:v>727</c:v>
                </c:pt>
                <c:pt idx="21">
                  <c:v>493</c:v>
                </c:pt>
                <c:pt idx="24">
                  <c:v>253</c:v>
                </c:pt>
                <c:pt idx="25">
                  <c:v>266</c:v>
                </c:pt>
                <c:pt idx="26">
                  <c:v>412</c:v>
                </c:pt>
                <c:pt idx="27">
                  <c:v>102</c:v>
                </c:pt>
                <c:pt idx="28">
                  <c:v>962</c:v>
                </c:pt>
                <c:pt idx="29">
                  <c:v>502</c:v>
                </c:pt>
                <c:pt idx="30">
                  <c:v>545</c:v>
                </c:pt>
                <c:pt idx="31">
                  <c:v>321</c:v>
                </c:pt>
                <c:pt idx="32">
                  <c:v>1878</c:v>
                </c:pt>
                <c:pt idx="33">
                  <c:v>166</c:v>
                </c:pt>
                <c:pt idx="34">
                  <c:v>676</c:v>
                </c:pt>
                <c:pt idx="35">
                  <c:v>336</c:v>
                </c:pt>
                <c:pt idx="36">
                  <c:v>100</c:v>
                </c:pt>
                <c:pt idx="37">
                  <c:v>333</c:v>
                </c:pt>
                <c:pt idx="38">
                  <c:v>170</c:v>
                </c:pt>
                <c:pt idx="39">
                  <c:v>156</c:v>
                </c:pt>
                <c:pt idx="40">
                  <c:v>742</c:v>
                </c:pt>
                <c:pt idx="41">
                  <c:v>368</c:v>
                </c:pt>
                <c:pt idx="42">
                  <c:v>299</c:v>
                </c:pt>
                <c:pt idx="43">
                  <c:v>245</c:v>
                </c:pt>
                <c:pt idx="44">
                  <c:v>184</c:v>
                </c:pt>
                <c:pt idx="45">
                  <c:v>451</c:v>
                </c:pt>
                <c:pt idx="46">
                  <c:v>251</c:v>
                </c:pt>
                <c:pt idx="47">
                  <c:v>373</c:v>
                </c:pt>
                <c:pt idx="48">
                  <c:v>166</c:v>
                </c:pt>
                <c:pt idx="49">
                  <c:v>1453</c:v>
                </c:pt>
                <c:pt idx="50">
                  <c:v>52</c:v>
                </c:pt>
                <c:pt idx="51">
                  <c:v>131</c:v>
                </c:pt>
                <c:pt idx="52">
                  <c:v>17</c:v>
                </c:pt>
              </c:numCache>
            </c:numRef>
          </c:val>
        </c:ser>
        <c:dLbls>
          <c:showLegendKey val="0"/>
          <c:showVal val="0"/>
          <c:showCatName val="0"/>
          <c:showSerName val="0"/>
          <c:showPercent val="0"/>
          <c:showBubbleSize val="0"/>
        </c:dLbls>
        <c:gapWidth val="25"/>
        <c:overlap val="100"/>
        <c:axId val="207984304"/>
        <c:axId val="207984864"/>
      </c:barChart>
      <c:catAx>
        <c:axId val="20798430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84864"/>
        <c:crosses val="autoZero"/>
        <c:auto val="1"/>
        <c:lblAlgn val="ctr"/>
        <c:lblOffset val="100"/>
        <c:noMultiLvlLbl val="0"/>
      </c:catAx>
      <c:valAx>
        <c:axId val="2079848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84304"/>
        <c:crosses val="autoZero"/>
        <c:crossBetween val="between"/>
      </c:valAx>
      <c:spPr>
        <a:noFill/>
        <a:ln>
          <a:noFill/>
        </a:ln>
        <a:effectLst/>
      </c:spPr>
    </c:plotArea>
    <c:legend>
      <c:legendPos val="b"/>
      <c:layout>
        <c:manualLayout>
          <c:xMode val="edge"/>
          <c:yMode val="edge"/>
          <c:x val="0.64223679486872642"/>
          <c:y val="1.067933309955689E-4"/>
          <c:w val="0.35776320513127347"/>
          <c:h val="6.031272912748254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Employment Mix</a:t>
            </a:r>
            <a:r>
              <a:rPr lang="en-US" baseline="0"/>
              <a:t> - Whole of Victoria February 2017  (000's)</a:t>
            </a:r>
          </a:p>
          <a:p>
            <a:pPr>
              <a:defRPr/>
            </a:pPr>
            <a:r>
              <a:rPr lang="en-US" sz="1050" baseline="0"/>
              <a:t>Source: ABS Labour Force</a:t>
            </a:r>
            <a:endParaRPr lang="en-US" sz="105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Sheet1!$CZ$2</c:f>
              <c:strCache>
                <c:ptCount val="1"/>
                <c:pt idx="0">
                  <c:v>Feb-17</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Lbls>
            <c:dLbl>
              <c:idx val="0"/>
              <c:layout>
                <c:manualLayout>
                  <c:x val="9.5346545993880941E-2"/>
                  <c:y val="-6.860641558849483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22252681907961203"/>
                  <c:y val="1.4138318917031922E-4"/>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2.637309944245135E-2"/>
                  <c:y val="2.2981414882330411E-4"/>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3.0578786749289474E-2"/>
                  <c:y val="6.8071990355488814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8.1071689263694114E-3"/>
                  <c:y val="9.8106010532583564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4.5016229480190718E-2"/>
                  <c:y val="-3.0770464927355454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11110325597274556"/>
                  <c:y val="-9.0891741980528393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22066713743817098"/>
                  <c:y val="-4.8074938908498503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170697775161784"/>
                  <c:y val="7.428435669679040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4007559183949535"/>
                      <c:h val="5.1576354679802941E-2"/>
                    </c:manualLayout>
                  </c15:layout>
                </c:ext>
              </c:extLst>
            </c:dLbl>
            <c:dLbl>
              <c:idx val="10"/>
              <c:layout>
                <c:manualLayout>
                  <c:x val="-0.13389748078197458"/>
                  <c:y val="9.1185369070245527E-3"/>
                </c:manualLayout>
              </c:layout>
              <c:showLegendKey val="0"/>
              <c:showVal val="1"/>
              <c:showCatName val="1"/>
              <c:showSerName val="0"/>
              <c:showPercent val="0"/>
              <c:showBubbleSize val="0"/>
              <c:extLst>
                <c:ext xmlns:c15="http://schemas.microsoft.com/office/drawing/2012/chart" uri="{CE6537A1-D6FC-4f65-9D91-7224C49458BB}">
                  <c15:layout>
                    <c:manualLayout>
                      <c:w val="0.26055833929849676"/>
                      <c:h val="6.150246305418719E-2"/>
                    </c:manualLayout>
                  </c15:layout>
                </c:ext>
              </c:extLst>
            </c:dLbl>
            <c:dLbl>
              <c:idx val="11"/>
              <c:layout>
                <c:manualLayout>
                  <c:x val="-0.23928827078433379"/>
                  <c:y val="-2.2783251231527094E-2"/>
                </c:manualLayout>
              </c:layout>
              <c:showLegendKey val="0"/>
              <c:showVal val="1"/>
              <c:showCatName val="1"/>
              <c:showSerName val="0"/>
              <c:showPercent val="0"/>
              <c:showBubbleSize val="0"/>
              <c:extLst>
                <c:ext xmlns:c15="http://schemas.microsoft.com/office/drawing/2012/chart" uri="{CE6537A1-D6FC-4f65-9D91-7224C49458BB}">
                  <c15:layout>
                    <c:manualLayout>
                      <c:w val="0.17435320584926883"/>
                      <c:h val="8.8669950738916259E-2"/>
                    </c:manualLayout>
                  </c15:layout>
                </c:ext>
              </c:extLst>
            </c:dLbl>
            <c:dLbl>
              <c:idx val="12"/>
              <c:layout>
                <c:manualLayout>
                  <c:x val="-5.6131933043086862E-2"/>
                  <c:y val="-8.03220394864435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590559233066512"/>
                      <c:h val="9.3485318645514126E-2"/>
                    </c:manualLayout>
                  </c15:layout>
                </c:ext>
              </c:extLst>
            </c:dLbl>
            <c:dLbl>
              <c:idx val="13"/>
              <c:layout>
                <c:manualLayout>
                  <c:x val="-3.8986885765979327E-2"/>
                  <c:y val="-4.350917342228773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4"/>
              <c:layout>
                <c:manualLayout>
                  <c:x val="-3.5255041938655307E-2"/>
                  <c:y val="-7.416275551762935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5487663183118575"/>
                      <c:h val="0.13736123501803654"/>
                    </c:manualLayout>
                  </c15:layout>
                </c:ext>
              </c:extLst>
            </c:dLbl>
            <c:dLbl>
              <c:idx val="15"/>
              <c:layout>
                <c:manualLayout>
                  <c:x val="2.9339250493096648E-3"/>
                  <c:y val="-1.218150572332139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6"/>
              <c:layout>
                <c:manualLayout>
                  <c:x val="-5.451523163894454E-2"/>
                  <c:y val="6.0467446950104115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7"/>
              <c:layout>
                <c:manualLayout>
                  <c:x val="-0.2085794933917284"/>
                  <c:y val="5.9612705536216063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18"/>
              <c:layout>
                <c:manualLayout>
                  <c:x val="-8.471633353523117E-2"/>
                  <c:y val="-1.7230185873773958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Sheet1!$A$3:$A$21</c:f>
              <c:strCache>
                <c:ptCount val="19"/>
                <c:pt idx="0">
                  <c:v>     Agriculture, Forestry and Fishing</c:v>
                </c:pt>
                <c:pt idx="1">
                  <c:v>     Mining</c:v>
                </c:pt>
                <c:pt idx="2">
                  <c:v>     Manufacturing</c:v>
                </c:pt>
                <c:pt idx="3">
                  <c:v>     Electricity, Gas, Water and Waste Services</c:v>
                </c:pt>
                <c:pt idx="4">
                  <c:v>     Construction</c:v>
                </c:pt>
                <c:pt idx="5">
                  <c:v>     Wholesale Trade</c:v>
                </c:pt>
                <c:pt idx="6">
                  <c:v>     Retail Trade</c:v>
                </c:pt>
                <c:pt idx="7">
                  <c:v>     Accommodation and Food Services</c:v>
                </c:pt>
                <c:pt idx="8">
                  <c:v>     Transport, Postal and Warehousing</c:v>
                </c:pt>
                <c:pt idx="9">
                  <c:v>     Information Media and Telecommunications</c:v>
                </c:pt>
                <c:pt idx="10">
                  <c:v>     Financial and Insurance Services</c:v>
                </c:pt>
                <c:pt idx="11">
                  <c:v>     Rental, Hiring and Real Estate Services</c:v>
                </c:pt>
                <c:pt idx="12">
                  <c:v>     Professional, Scientific and Technical Services</c:v>
                </c:pt>
                <c:pt idx="13">
                  <c:v>     Administrative and Support Services</c:v>
                </c:pt>
                <c:pt idx="14">
                  <c:v>     Public Administration and Safety</c:v>
                </c:pt>
                <c:pt idx="15">
                  <c:v>     Education and Training</c:v>
                </c:pt>
                <c:pt idx="16">
                  <c:v>     Health Care and Social Assistance</c:v>
                </c:pt>
                <c:pt idx="17">
                  <c:v>     Arts and Recreation Services</c:v>
                </c:pt>
                <c:pt idx="18">
                  <c:v>     Other Services</c:v>
                </c:pt>
              </c:strCache>
            </c:strRef>
          </c:cat>
          <c:val>
            <c:numRef>
              <c:f>Sheet1!$CZ$3:$CZ$21</c:f>
              <c:numCache>
                <c:formatCode>General</c:formatCode>
                <c:ptCount val="19"/>
                <c:pt idx="0">
                  <c:v>96.5</c:v>
                </c:pt>
                <c:pt idx="1">
                  <c:v>12.2</c:v>
                </c:pt>
                <c:pt idx="2">
                  <c:v>278.5</c:v>
                </c:pt>
                <c:pt idx="3">
                  <c:v>40</c:v>
                </c:pt>
                <c:pt idx="4">
                  <c:v>259.8</c:v>
                </c:pt>
                <c:pt idx="5">
                  <c:v>99.9</c:v>
                </c:pt>
                <c:pt idx="6">
                  <c:v>339</c:v>
                </c:pt>
                <c:pt idx="7">
                  <c:v>219.2</c:v>
                </c:pt>
                <c:pt idx="8">
                  <c:v>146.19999999999999</c:v>
                </c:pt>
                <c:pt idx="9">
                  <c:v>56.6</c:v>
                </c:pt>
                <c:pt idx="10">
                  <c:v>129</c:v>
                </c:pt>
                <c:pt idx="11">
                  <c:v>52.3</c:v>
                </c:pt>
                <c:pt idx="12">
                  <c:v>276.3</c:v>
                </c:pt>
                <c:pt idx="13">
                  <c:v>117.1</c:v>
                </c:pt>
                <c:pt idx="14">
                  <c:v>162.6</c:v>
                </c:pt>
                <c:pt idx="15">
                  <c:v>251.9</c:v>
                </c:pt>
                <c:pt idx="16">
                  <c:v>412</c:v>
                </c:pt>
                <c:pt idx="17">
                  <c:v>52.6</c:v>
                </c:pt>
                <c:pt idx="18">
                  <c:v>127.7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Building</a:t>
            </a:r>
            <a:r>
              <a:rPr lang="en-AU" baseline="0"/>
              <a:t> Approvals - New Dwellings 2015/16</a:t>
            </a:r>
          </a:p>
          <a:p>
            <a:pPr algn="l">
              <a:defRPr/>
            </a:pPr>
            <a:r>
              <a:rPr lang="en-AU"/>
              <a:t>Metropolitan Melbourne</a:t>
            </a:r>
          </a:p>
          <a:p>
            <a:pPr algn="l">
              <a:defRPr/>
            </a:pPr>
            <a:r>
              <a:rPr lang="en-AU" sz="1000"/>
              <a:t>Source:</a:t>
            </a:r>
            <a:r>
              <a:rPr lang="en-AU" sz="1000" baseline="0"/>
              <a:t> ABS building approvals</a:t>
            </a:r>
            <a:endParaRPr lang="en-AU" sz="1000"/>
          </a:p>
        </c:rich>
      </c:tx>
      <c:layout>
        <c:manualLayout>
          <c:xMode val="edge"/>
          <c:yMode val="edge"/>
          <c:x val="9.0121963594677146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056122512245022"/>
          <c:y val="0.16675586963930192"/>
          <c:w val="0.72727335854671726"/>
          <c:h val="0.82220603973478257"/>
        </c:manualLayout>
      </c:layout>
      <c:barChart>
        <c:barDir val="bar"/>
        <c:grouping val="stacked"/>
        <c:varyColors val="0"/>
        <c:ser>
          <c:idx val="0"/>
          <c:order val="0"/>
          <c:tx>
            <c:strRef>
              <c:f>Dwellings!$B$1</c:f>
              <c:strCache>
                <c:ptCount val="1"/>
                <c:pt idx="0">
                  <c:v>Houses</c:v>
                </c:pt>
              </c:strCache>
            </c:strRef>
          </c:tx>
          <c:spPr>
            <a:solidFill>
              <a:schemeClr val="accent1">
                <a:lumMod val="50000"/>
              </a:schemeClr>
            </a:solidFill>
            <a:ln>
              <a:solidFill>
                <a:schemeClr val="tx1"/>
              </a:solidFill>
            </a:ln>
            <a:effectLst/>
          </c:spPr>
          <c:invertIfNegative val="0"/>
          <c:cat>
            <c:strRef>
              <c:f>Dwellings!$A$2:$A$42</c:f>
              <c:strCache>
                <c:ptCount val="41"/>
                <c:pt idx="0">
                  <c:v>Central Subregion</c:v>
                </c:pt>
                <c:pt idx="1">
                  <c:v>Maribyrnong </c:v>
                </c:pt>
                <c:pt idx="2">
                  <c:v>Melbourne </c:v>
                </c:pt>
                <c:pt idx="3">
                  <c:v>Port Phillip </c:v>
                </c:pt>
                <c:pt idx="4">
                  <c:v>Stonnington </c:v>
                </c:pt>
                <c:pt idx="5">
                  <c:v>Yarra </c:v>
                </c:pt>
                <c:pt idx="7">
                  <c:v>Eastern Subregion</c:v>
                </c:pt>
                <c:pt idx="8">
                  <c:v>Boroondara </c:v>
                </c:pt>
                <c:pt idx="9">
                  <c:v>Knox </c:v>
                </c:pt>
                <c:pt idx="10">
                  <c:v>Manningham </c:v>
                </c:pt>
                <c:pt idx="11">
                  <c:v>Maroondah </c:v>
                </c:pt>
                <c:pt idx="12">
                  <c:v>Monash </c:v>
                </c:pt>
                <c:pt idx="13">
                  <c:v>Whitehorse </c:v>
                </c:pt>
                <c:pt idx="14">
                  <c:v>Yarra Ranges </c:v>
                </c:pt>
                <c:pt idx="16">
                  <c:v>Northern Subregion</c:v>
                </c:pt>
                <c:pt idx="17">
                  <c:v>Banyule </c:v>
                </c:pt>
                <c:pt idx="18">
                  <c:v>Darebin </c:v>
                </c:pt>
                <c:pt idx="19">
                  <c:v>Hume </c:v>
                </c:pt>
                <c:pt idx="20">
                  <c:v>Mitchell </c:v>
                </c:pt>
                <c:pt idx="21">
                  <c:v>Moreland </c:v>
                </c:pt>
                <c:pt idx="22">
                  <c:v>Nillumbik </c:v>
                </c:pt>
                <c:pt idx="23">
                  <c:v>Whittlesea </c:v>
                </c:pt>
                <c:pt idx="25">
                  <c:v>Southern Subregion</c:v>
                </c:pt>
                <c:pt idx="26">
                  <c:v>Bayside </c:v>
                </c:pt>
                <c:pt idx="27">
                  <c:v>Cardinia </c:v>
                </c:pt>
                <c:pt idx="28">
                  <c:v>Casey </c:v>
                </c:pt>
                <c:pt idx="29">
                  <c:v>Frankston </c:v>
                </c:pt>
                <c:pt idx="30">
                  <c:v>Glen Eira </c:v>
                </c:pt>
                <c:pt idx="31">
                  <c:v>Greater Dandenong </c:v>
                </c:pt>
                <c:pt idx="32">
                  <c:v>Kingston </c:v>
                </c:pt>
                <c:pt idx="33">
                  <c:v>Mornington Peninsula </c:v>
                </c:pt>
                <c:pt idx="35">
                  <c:v>Western Subregion</c:v>
                </c:pt>
                <c:pt idx="36">
                  <c:v>Brimbank </c:v>
                </c:pt>
                <c:pt idx="37">
                  <c:v>Hobsons Bay </c:v>
                </c:pt>
                <c:pt idx="38">
                  <c:v>Melton </c:v>
                </c:pt>
                <c:pt idx="39">
                  <c:v>Moonee Valley </c:v>
                </c:pt>
                <c:pt idx="40">
                  <c:v>Wyndham </c:v>
                </c:pt>
              </c:strCache>
            </c:strRef>
          </c:cat>
          <c:val>
            <c:numRef>
              <c:f>Dwellings!$B$2:$B$42</c:f>
              <c:numCache>
                <c:formatCode>0</c:formatCode>
                <c:ptCount val="41"/>
                <c:pt idx="1">
                  <c:v>189</c:v>
                </c:pt>
                <c:pt idx="2">
                  <c:v>19</c:v>
                </c:pt>
                <c:pt idx="3">
                  <c:v>57</c:v>
                </c:pt>
                <c:pt idx="4">
                  <c:v>111</c:v>
                </c:pt>
                <c:pt idx="5">
                  <c:v>53</c:v>
                </c:pt>
                <c:pt idx="8">
                  <c:v>564</c:v>
                </c:pt>
                <c:pt idx="9">
                  <c:v>471</c:v>
                </c:pt>
                <c:pt idx="10">
                  <c:v>362</c:v>
                </c:pt>
                <c:pt idx="11">
                  <c:v>382</c:v>
                </c:pt>
                <c:pt idx="12">
                  <c:v>747</c:v>
                </c:pt>
                <c:pt idx="13">
                  <c:v>588</c:v>
                </c:pt>
                <c:pt idx="14">
                  <c:v>686</c:v>
                </c:pt>
                <c:pt idx="17">
                  <c:v>337</c:v>
                </c:pt>
                <c:pt idx="18">
                  <c:v>321</c:v>
                </c:pt>
                <c:pt idx="19">
                  <c:v>2225</c:v>
                </c:pt>
                <c:pt idx="20">
                  <c:v>437</c:v>
                </c:pt>
                <c:pt idx="21">
                  <c:v>541</c:v>
                </c:pt>
                <c:pt idx="22">
                  <c:v>150</c:v>
                </c:pt>
                <c:pt idx="23">
                  <c:v>2233</c:v>
                </c:pt>
                <c:pt idx="26">
                  <c:v>401</c:v>
                </c:pt>
                <c:pt idx="27">
                  <c:v>1587</c:v>
                </c:pt>
                <c:pt idx="28">
                  <c:v>3649</c:v>
                </c:pt>
                <c:pt idx="29">
                  <c:v>289</c:v>
                </c:pt>
                <c:pt idx="30">
                  <c:v>354</c:v>
                </c:pt>
                <c:pt idx="31">
                  <c:v>615</c:v>
                </c:pt>
                <c:pt idx="32">
                  <c:v>378</c:v>
                </c:pt>
                <c:pt idx="33">
                  <c:v>988</c:v>
                </c:pt>
                <c:pt idx="36">
                  <c:v>436</c:v>
                </c:pt>
                <c:pt idx="37">
                  <c:v>245</c:v>
                </c:pt>
                <c:pt idx="38">
                  <c:v>1893</c:v>
                </c:pt>
                <c:pt idx="39">
                  <c:v>373</c:v>
                </c:pt>
                <c:pt idx="40">
                  <c:v>3836</c:v>
                </c:pt>
              </c:numCache>
            </c:numRef>
          </c:val>
        </c:ser>
        <c:ser>
          <c:idx val="1"/>
          <c:order val="1"/>
          <c:tx>
            <c:strRef>
              <c:f>Dwellings!$C$1</c:f>
              <c:strCache>
                <c:ptCount val="1"/>
                <c:pt idx="0">
                  <c:v>Semi-detached, row or terrace houses, townhouses - One storey</c:v>
                </c:pt>
              </c:strCache>
            </c:strRef>
          </c:tx>
          <c:spPr>
            <a:solidFill>
              <a:srgbClr val="FF5B5F"/>
            </a:solidFill>
            <a:ln>
              <a:solidFill>
                <a:schemeClr val="tx1"/>
              </a:solidFill>
            </a:ln>
            <a:effectLst/>
          </c:spPr>
          <c:invertIfNegative val="0"/>
          <c:cat>
            <c:strRef>
              <c:f>Dwellings!$A$2:$A$42</c:f>
              <c:strCache>
                <c:ptCount val="41"/>
                <c:pt idx="0">
                  <c:v>Central Subregion</c:v>
                </c:pt>
                <c:pt idx="1">
                  <c:v>Maribyrnong </c:v>
                </c:pt>
                <c:pt idx="2">
                  <c:v>Melbourne </c:v>
                </c:pt>
                <c:pt idx="3">
                  <c:v>Port Phillip </c:v>
                </c:pt>
                <c:pt idx="4">
                  <c:v>Stonnington </c:v>
                </c:pt>
                <c:pt idx="5">
                  <c:v>Yarra </c:v>
                </c:pt>
                <c:pt idx="7">
                  <c:v>Eastern Subregion</c:v>
                </c:pt>
                <c:pt idx="8">
                  <c:v>Boroondara </c:v>
                </c:pt>
                <c:pt idx="9">
                  <c:v>Knox </c:v>
                </c:pt>
                <c:pt idx="10">
                  <c:v>Manningham </c:v>
                </c:pt>
                <c:pt idx="11">
                  <c:v>Maroondah </c:v>
                </c:pt>
                <c:pt idx="12">
                  <c:v>Monash </c:v>
                </c:pt>
                <c:pt idx="13">
                  <c:v>Whitehorse </c:v>
                </c:pt>
                <c:pt idx="14">
                  <c:v>Yarra Ranges </c:v>
                </c:pt>
                <c:pt idx="16">
                  <c:v>Northern Subregion</c:v>
                </c:pt>
                <c:pt idx="17">
                  <c:v>Banyule </c:v>
                </c:pt>
                <c:pt idx="18">
                  <c:v>Darebin </c:v>
                </c:pt>
                <c:pt idx="19">
                  <c:v>Hume </c:v>
                </c:pt>
                <c:pt idx="20">
                  <c:v>Mitchell </c:v>
                </c:pt>
                <c:pt idx="21">
                  <c:v>Moreland </c:v>
                </c:pt>
                <c:pt idx="22">
                  <c:v>Nillumbik </c:v>
                </c:pt>
                <c:pt idx="23">
                  <c:v>Whittlesea </c:v>
                </c:pt>
                <c:pt idx="25">
                  <c:v>Southern Subregion</c:v>
                </c:pt>
                <c:pt idx="26">
                  <c:v>Bayside </c:v>
                </c:pt>
                <c:pt idx="27">
                  <c:v>Cardinia </c:v>
                </c:pt>
                <c:pt idx="28">
                  <c:v>Casey </c:v>
                </c:pt>
                <c:pt idx="29">
                  <c:v>Frankston </c:v>
                </c:pt>
                <c:pt idx="30">
                  <c:v>Glen Eira </c:v>
                </c:pt>
                <c:pt idx="31">
                  <c:v>Greater Dandenong </c:v>
                </c:pt>
                <c:pt idx="32">
                  <c:v>Kingston </c:v>
                </c:pt>
                <c:pt idx="33">
                  <c:v>Mornington Peninsula </c:v>
                </c:pt>
                <c:pt idx="35">
                  <c:v>Western Subregion</c:v>
                </c:pt>
                <c:pt idx="36">
                  <c:v>Brimbank </c:v>
                </c:pt>
                <c:pt idx="37">
                  <c:v>Hobsons Bay </c:v>
                </c:pt>
                <c:pt idx="38">
                  <c:v>Melton </c:v>
                </c:pt>
                <c:pt idx="39">
                  <c:v>Moonee Valley </c:v>
                </c:pt>
                <c:pt idx="40">
                  <c:v>Wyndham </c:v>
                </c:pt>
              </c:strCache>
            </c:strRef>
          </c:cat>
          <c:val>
            <c:numRef>
              <c:f>Dwellings!$C$2:$C$42</c:f>
              <c:numCache>
                <c:formatCode>0</c:formatCode>
                <c:ptCount val="41"/>
                <c:pt idx="1">
                  <c:v>16</c:v>
                </c:pt>
                <c:pt idx="2">
                  <c:v>9</c:v>
                </c:pt>
                <c:pt idx="3" formatCode="General">
                  <c:v>0</c:v>
                </c:pt>
                <c:pt idx="4">
                  <c:v>6</c:v>
                </c:pt>
                <c:pt idx="5">
                  <c:v>4</c:v>
                </c:pt>
                <c:pt idx="8">
                  <c:v>21</c:v>
                </c:pt>
                <c:pt idx="9">
                  <c:v>15</c:v>
                </c:pt>
                <c:pt idx="10">
                  <c:v>6</c:v>
                </c:pt>
                <c:pt idx="11">
                  <c:v>12</c:v>
                </c:pt>
                <c:pt idx="12">
                  <c:v>18</c:v>
                </c:pt>
                <c:pt idx="13">
                  <c:v>23</c:v>
                </c:pt>
                <c:pt idx="14">
                  <c:v>22</c:v>
                </c:pt>
                <c:pt idx="17">
                  <c:v>39</c:v>
                </c:pt>
                <c:pt idx="18">
                  <c:v>39</c:v>
                </c:pt>
                <c:pt idx="19">
                  <c:v>31</c:v>
                </c:pt>
                <c:pt idx="20">
                  <c:v>11</c:v>
                </c:pt>
                <c:pt idx="21">
                  <c:v>52</c:v>
                </c:pt>
                <c:pt idx="22" formatCode="General">
                  <c:v>0</c:v>
                </c:pt>
                <c:pt idx="23">
                  <c:v>125</c:v>
                </c:pt>
                <c:pt idx="26">
                  <c:v>16</c:v>
                </c:pt>
                <c:pt idx="27">
                  <c:v>28</c:v>
                </c:pt>
                <c:pt idx="28">
                  <c:v>150</c:v>
                </c:pt>
                <c:pt idx="29">
                  <c:v>51</c:v>
                </c:pt>
                <c:pt idx="30">
                  <c:v>11</c:v>
                </c:pt>
                <c:pt idx="31">
                  <c:v>15</c:v>
                </c:pt>
                <c:pt idx="32">
                  <c:v>22</c:v>
                </c:pt>
                <c:pt idx="33">
                  <c:v>182</c:v>
                </c:pt>
                <c:pt idx="36">
                  <c:v>56</c:v>
                </c:pt>
                <c:pt idx="37">
                  <c:v>52</c:v>
                </c:pt>
                <c:pt idx="38">
                  <c:v>30</c:v>
                </c:pt>
                <c:pt idx="39">
                  <c:v>61</c:v>
                </c:pt>
                <c:pt idx="40">
                  <c:v>71</c:v>
                </c:pt>
              </c:numCache>
            </c:numRef>
          </c:val>
        </c:ser>
        <c:ser>
          <c:idx val="2"/>
          <c:order val="2"/>
          <c:tx>
            <c:strRef>
              <c:f>Dwellings!$D$1</c:f>
              <c:strCache>
                <c:ptCount val="1"/>
                <c:pt idx="0">
                  <c:v>Semi-detached, row or terrace houses, townhouses - Two or more storeys</c:v>
                </c:pt>
              </c:strCache>
            </c:strRef>
          </c:tx>
          <c:spPr>
            <a:solidFill>
              <a:srgbClr val="C00000"/>
            </a:solidFill>
            <a:ln>
              <a:solidFill>
                <a:schemeClr val="tx1"/>
              </a:solidFill>
            </a:ln>
            <a:effectLst/>
          </c:spPr>
          <c:invertIfNegative val="0"/>
          <c:cat>
            <c:strRef>
              <c:f>Dwellings!$A$2:$A$42</c:f>
              <c:strCache>
                <c:ptCount val="41"/>
                <c:pt idx="0">
                  <c:v>Central Subregion</c:v>
                </c:pt>
                <c:pt idx="1">
                  <c:v>Maribyrnong </c:v>
                </c:pt>
                <c:pt idx="2">
                  <c:v>Melbourne </c:v>
                </c:pt>
                <c:pt idx="3">
                  <c:v>Port Phillip </c:v>
                </c:pt>
                <c:pt idx="4">
                  <c:v>Stonnington </c:v>
                </c:pt>
                <c:pt idx="5">
                  <c:v>Yarra </c:v>
                </c:pt>
                <c:pt idx="7">
                  <c:v>Eastern Subregion</c:v>
                </c:pt>
                <c:pt idx="8">
                  <c:v>Boroondara </c:v>
                </c:pt>
                <c:pt idx="9">
                  <c:v>Knox </c:v>
                </c:pt>
                <c:pt idx="10">
                  <c:v>Manningham </c:v>
                </c:pt>
                <c:pt idx="11">
                  <c:v>Maroondah </c:v>
                </c:pt>
                <c:pt idx="12">
                  <c:v>Monash </c:v>
                </c:pt>
                <c:pt idx="13">
                  <c:v>Whitehorse </c:v>
                </c:pt>
                <c:pt idx="14">
                  <c:v>Yarra Ranges </c:v>
                </c:pt>
                <c:pt idx="16">
                  <c:v>Northern Subregion</c:v>
                </c:pt>
                <c:pt idx="17">
                  <c:v>Banyule </c:v>
                </c:pt>
                <c:pt idx="18">
                  <c:v>Darebin </c:v>
                </c:pt>
                <c:pt idx="19">
                  <c:v>Hume </c:v>
                </c:pt>
                <c:pt idx="20">
                  <c:v>Mitchell </c:v>
                </c:pt>
                <c:pt idx="21">
                  <c:v>Moreland </c:v>
                </c:pt>
                <c:pt idx="22">
                  <c:v>Nillumbik </c:v>
                </c:pt>
                <c:pt idx="23">
                  <c:v>Whittlesea </c:v>
                </c:pt>
                <c:pt idx="25">
                  <c:v>Southern Subregion</c:v>
                </c:pt>
                <c:pt idx="26">
                  <c:v>Bayside </c:v>
                </c:pt>
                <c:pt idx="27">
                  <c:v>Cardinia </c:v>
                </c:pt>
                <c:pt idx="28">
                  <c:v>Casey </c:v>
                </c:pt>
                <c:pt idx="29">
                  <c:v>Frankston </c:v>
                </c:pt>
                <c:pt idx="30">
                  <c:v>Glen Eira </c:v>
                </c:pt>
                <c:pt idx="31">
                  <c:v>Greater Dandenong </c:v>
                </c:pt>
                <c:pt idx="32">
                  <c:v>Kingston </c:v>
                </c:pt>
                <c:pt idx="33">
                  <c:v>Mornington Peninsula </c:v>
                </c:pt>
                <c:pt idx="35">
                  <c:v>Western Subregion</c:v>
                </c:pt>
                <c:pt idx="36">
                  <c:v>Brimbank </c:v>
                </c:pt>
                <c:pt idx="37">
                  <c:v>Hobsons Bay </c:v>
                </c:pt>
                <c:pt idx="38">
                  <c:v>Melton </c:v>
                </c:pt>
                <c:pt idx="39">
                  <c:v>Moonee Valley </c:v>
                </c:pt>
                <c:pt idx="40">
                  <c:v>Wyndham </c:v>
                </c:pt>
              </c:strCache>
            </c:strRef>
          </c:cat>
          <c:val>
            <c:numRef>
              <c:f>Dwellings!$D$2:$D$42</c:f>
              <c:numCache>
                <c:formatCode>0</c:formatCode>
                <c:ptCount val="41"/>
                <c:pt idx="1">
                  <c:v>307</c:v>
                </c:pt>
                <c:pt idx="2">
                  <c:v>42</c:v>
                </c:pt>
                <c:pt idx="3">
                  <c:v>321</c:v>
                </c:pt>
                <c:pt idx="4">
                  <c:v>173</c:v>
                </c:pt>
                <c:pt idx="5">
                  <c:v>67</c:v>
                </c:pt>
                <c:pt idx="8">
                  <c:v>192</c:v>
                </c:pt>
                <c:pt idx="9">
                  <c:v>321</c:v>
                </c:pt>
                <c:pt idx="10">
                  <c:v>401</c:v>
                </c:pt>
                <c:pt idx="11">
                  <c:v>183</c:v>
                </c:pt>
                <c:pt idx="12">
                  <c:v>464</c:v>
                </c:pt>
                <c:pt idx="13">
                  <c:v>325</c:v>
                </c:pt>
                <c:pt idx="14">
                  <c:v>79</c:v>
                </c:pt>
                <c:pt idx="17">
                  <c:v>404</c:v>
                </c:pt>
                <c:pt idx="18">
                  <c:v>502</c:v>
                </c:pt>
                <c:pt idx="19">
                  <c:v>379</c:v>
                </c:pt>
                <c:pt idx="20">
                  <c:v>13</c:v>
                </c:pt>
                <c:pt idx="21">
                  <c:v>951</c:v>
                </c:pt>
                <c:pt idx="22">
                  <c:v>27</c:v>
                </c:pt>
                <c:pt idx="23">
                  <c:v>384</c:v>
                </c:pt>
                <c:pt idx="26">
                  <c:v>244</c:v>
                </c:pt>
                <c:pt idx="27">
                  <c:v>193</c:v>
                </c:pt>
                <c:pt idx="28">
                  <c:v>181</c:v>
                </c:pt>
                <c:pt idx="29">
                  <c:v>134</c:v>
                </c:pt>
                <c:pt idx="30">
                  <c:v>278</c:v>
                </c:pt>
                <c:pt idx="31">
                  <c:v>351</c:v>
                </c:pt>
                <c:pt idx="32">
                  <c:v>239</c:v>
                </c:pt>
                <c:pt idx="33">
                  <c:v>287</c:v>
                </c:pt>
                <c:pt idx="36">
                  <c:v>410</c:v>
                </c:pt>
                <c:pt idx="37">
                  <c:v>355</c:v>
                </c:pt>
                <c:pt idx="38">
                  <c:v>46</c:v>
                </c:pt>
                <c:pt idx="39">
                  <c:v>342</c:v>
                </c:pt>
                <c:pt idx="40">
                  <c:v>182</c:v>
                </c:pt>
              </c:numCache>
            </c:numRef>
          </c:val>
        </c:ser>
        <c:ser>
          <c:idx val="3"/>
          <c:order val="3"/>
          <c:tx>
            <c:strRef>
              <c:f>Dwellings!$E$1</c:f>
              <c:strCache>
                <c:ptCount val="1"/>
                <c:pt idx="0">
                  <c:v>Flats units or apartments - In a one or two storey block</c:v>
                </c:pt>
              </c:strCache>
            </c:strRef>
          </c:tx>
          <c:spPr>
            <a:solidFill>
              <a:schemeClr val="accent6">
                <a:lumMod val="20000"/>
                <a:lumOff val="80000"/>
              </a:schemeClr>
            </a:solidFill>
            <a:ln>
              <a:solidFill>
                <a:schemeClr val="tx1"/>
              </a:solidFill>
            </a:ln>
            <a:effectLst/>
          </c:spPr>
          <c:invertIfNegative val="0"/>
          <c:cat>
            <c:strRef>
              <c:f>Dwellings!$A$2:$A$42</c:f>
              <c:strCache>
                <c:ptCount val="41"/>
                <c:pt idx="0">
                  <c:v>Central Subregion</c:v>
                </c:pt>
                <c:pt idx="1">
                  <c:v>Maribyrnong </c:v>
                </c:pt>
                <c:pt idx="2">
                  <c:v>Melbourne </c:v>
                </c:pt>
                <c:pt idx="3">
                  <c:v>Port Phillip </c:v>
                </c:pt>
                <c:pt idx="4">
                  <c:v>Stonnington </c:v>
                </c:pt>
                <c:pt idx="5">
                  <c:v>Yarra </c:v>
                </c:pt>
                <c:pt idx="7">
                  <c:v>Eastern Subregion</c:v>
                </c:pt>
                <c:pt idx="8">
                  <c:v>Boroondara </c:v>
                </c:pt>
                <c:pt idx="9">
                  <c:v>Knox </c:v>
                </c:pt>
                <c:pt idx="10">
                  <c:v>Manningham </c:v>
                </c:pt>
                <c:pt idx="11">
                  <c:v>Maroondah </c:v>
                </c:pt>
                <c:pt idx="12">
                  <c:v>Monash </c:v>
                </c:pt>
                <c:pt idx="13">
                  <c:v>Whitehorse </c:v>
                </c:pt>
                <c:pt idx="14">
                  <c:v>Yarra Ranges </c:v>
                </c:pt>
                <c:pt idx="16">
                  <c:v>Northern Subregion</c:v>
                </c:pt>
                <c:pt idx="17">
                  <c:v>Banyule </c:v>
                </c:pt>
                <c:pt idx="18">
                  <c:v>Darebin </c:v>
                </c:pt>
                <c:pt idx="19">
                  <c:v>Hume </c:v>
                </c:pt>
                <c:pt idx="20">
                  <c:v>Mitchell </c:v>
                </c:pt>
                <c:pt idx="21">
                  <c:v>Moreland </c:v>
                </c:pt>
                <c:pt idx="22">
                  <c:v>Nillumbik </c:v>
                </c:pt>
                <c:pt idx="23">
                  <c:v>Whittlesea </c:v>
                </c:pt>
                <c:pt idx="25">
                  <c:v>Southern Subregion</c:v>
                </c:pt>
                <c:pt idx="26">
                  <c:v>Bayside </c:v>
                </c:pt>
                <c:pt idx="27">
                  <c:v>Cardinia </c:v>
                </c:pt>
                <c:pt idx="28">
                  <c:v>Casey </c:v>
                </c:pt>
                <c:pt idx="29">
                  <c:v>Frankston </c:v>
                </c:pt>
                <c:pt idx="30">
                  <c:v>Glen Eira </c:v>
                </c:pt>
                <c:pt idx="31">
                  <c:v>Greater Dandenong </c:v>
                </c:pt>
                <c:pt idx="32">
                  <c:v>Kingston </c:v>
                </c:pt>
                <c:pt idx="33">
                  <c:v>Mornington Peninsula </c:v>
                </c:pt>
                <c:pt idx="35">
                  <c:v>Western Subregion</c:v>
                </c:pt>
                <c:pt idx="36">
                  <c:v>Brimbank </c:v>
                </c:pt>
                <c:pt idx="37">
                  <c:v>Hobsons Bay </c:v>
                </c:pt>
                <c:pt idx="38">
                  <c:v>Melton </c:v>
                </c:pt>
                <c:pt idx="39">
                  <c:v>Moonee Valley </c:v>
                </c:pt>
                <c:pt idx="40">
                  <c:v>Wyndham </c:v>
                </c:pt>
              </c:strCache>
            </c:strRef>
          </c:cat>
          <c:val>
            <c:numRef>
              <c:f>Dwellings!$E$2:$E$42</c:f>
              <c:numCache>
                <c:formatCode>General</c:formatCode>
                <c:ptCount val="41"/>
                <c:pt idx="1">
                  <c:v>0</c:v>
                </c:pt>
                <c:pt idx="2">
                  <c:v>0</c:v>
                </c:pt>
                <c:pt idx="3" formatCode="0">
                  <c:v>4</c:v>
                </c:pt>
                <c:pt idx="4" formatCode="0">
                  <c:v>10</c:v>
                </c:pt>
                <c:pt idx="5">
                  <c:v>2</c:v>
                </c:pt>
                <c:pt idx="8" formatCode="0">
                  <c:v>37</c:v>
                </c:pt>
                <c:pt idx="9" formatCode="0">
                  <c:v>53</c:v>
                </c:pt>
                <c:pt idx="10" formatCode="0">
                  <c:v>17</c:v>
                </c:pt>
                <c:pt idx="11" formatCode="0">
                  <c:v>19</c:v>
                </c:pt>
                <c:pt idx="12" formatCode="0">
                  <c:v>17</c:v>
                </c:pt>
                <c:pt idx="13" formatCode="0">
                  <c:v>35</c:v>
                </c:pt>
                <c:pt idx="14" formatCode="0">
                  <c:v>9</c:v>
                </c:pt>
                <c:pt idx="17" formatCode="0">
                  <c:v>84</c:v>
                </c:pt>
                <c:pt idx="18" formatCode="0">
                  <c:v>59</c:v>
                </c:pt>
                <c:pt idx="19" formatCode="0">
                  <c:v>27</c:v>
                </c:pt>
                <c:pt idx="20">
                  <c:v>0</c:v>
                </c:pt>
                <c:pt idx="21" formatCode="0">
                  <c:v>43</c:v>
                </c:pt>
                <c:pt idx="22" formatCode="0">
                  <c:v>21</c:v>
                </c:pt>
                <c:pt idx="23" formatCode="0">
                  <c:v>39</c:v>
                </c:pt>
                <c:pt idx="26" formatCode="0">
                  <c:v>7</c:v>
                </c:pt>
                <c:pt idx="27" formatCode="0">
                  <c:v>38</c:v>
                </c:pt>
                <c:pt idx="28" formatCode="0">
                  <c:v>11</c:v>
                </c:pt>
                <c:pt idx="29" formatCode="0">
                  <c:v>25</c:v>
                </c:pt>
                <c:pt idx="30" formatCode="0">
                  <c:v>6</c:v>
                </c:pt>
                <c:pt idx="31" formatCode="0">
                  <c:v>29</c:v>
                </c:pt>
                <c:pt idx="32" formatCode="0">
                  <c:v>108</c:v>
                </c:pt>
                <c:pt idx="33" formatCode="0">
                  <c:v>46</c:v>
                </c:pt>
                <c:pt idx="36" formatCode="0">
                  <c:v>14</c:v>
                </c:pt>
                <c:pt idx="37" formatCode="0">
                  <c:v>26</c:v>
                </c:pt>
                <c:pt idx="38" formatCode="0">
                  <c:v>27</c:v>
                </c:pt>
                <c:pt idx="39" formatCode="0">
                  <c:v>11</c:v>
                </c:pt>
                <c:pt idx="40">
                  <c:v>4</c:v>
                </c:pt>
              </c:numCache>
            </c:numRef>
          </c:val>
        </c:ser>
        <c:ser>
          <c:idx val="4"/>
          <c:order val="4"/>
          <c:tx>
            <c:strRef>
              <c:f>Dwellings!$F$1</c:f>
              <c:strCache>
                <c:ptCount val="1"/>
                <c:pt idx="0">
                  <c:v>Flats units or apartments - In a three storey block</c:v>
                </c:pt>
              </c:strCache>
            </c:strRef>
          </c:tx>
          <c:spPr>
            <a:solidFill>
              <a:schemeClr val="accent6">
                <a:lumMod val="60000"/>
                <a:lumOff val="40000"/>
              </a:schemeClr>
            </a:solidFill>
            <a:ln>
              <a:solidFill>
                <a:schemeClr val="tx1"/>
              </a:solidFill>
            </a:ln>
            <a:effectLst/>
          </c:spPr>
          <c:invertIfNegative val="0"/>
          <c:cat>
            <c:strRef>
              <c:f>Dwellings!$A$2:$A$42</c:f>
              <c:strCache>
                <c:ptCount val="41"/>
                <c:pt idx="0">
                  <c:v>Central Subregion</c:v>
                </c:pt>
                <c:pt idx="1">
                  <c:v>Maribyrnong </c:v>
                </c:pt>
                <c:pt idx="2">
                  <c:v>Melbourne </c:v>
                </c:pt>
                <c:pt idx="3">
                  <c:v>Port Phillip </c:v>
                </c:pt>
                <c:pt idx="4">
                  <c:v>Stonnington </c:v>
                </c:pt>
                <c:pt idx="5">
                  <c:v>Yarra </c:v>
                </c:pt>
                <c:pt idx="7">
                  <c:v>Eastern Subregion</c:v>
                </c:pt>
                <c:pt idx="8">
                  <c:v>Boroondara </c:v>
                </c:pt>
                <c:pt idx="9">
                  <c:v>Knox </c:v>
                </c:pt>
                <c:pt idx="10">
                  <c:v>Manningham </c:v>
                </c:pt>
                <c:pt idx="11">
                  <c:v>Maroondah </c:v>
                </c:pt>
                <c:pt idx="12">
                  <c:v>Monash </c:v>
                </c:pt>
                <c:pt idx="13">
                  <c:v>Whitehorse </c:v>
                </c:pt>
                <c:pt idx="14">
                  <c:v>Yarra Ranges </c:v>
                </c:pt>
                <c:pt idx="16">
                  <c:v>Northern Subregion</c:v>
                </c:pt>
                <c:pt idx="17">
                  <c:v>Banyule </c:v>
                </c:pt>
                <c:pt idx="18">
                  <c:v>Darebin </c:v>
                </c:pt>
                <c:pt idx="19">
                  <c:v>Hume </c:v>
                </c:pt>
                <c:pt idx="20">
                  <c:v>Mitchell </c:v>
                </c:pt>
                <c:pt idx="21">
                  <c:v>Moreland </c:v>
                </c:pt>
                <c:pt idx="22">
                  <c:v>Nillumbik </c:v>
                </c:pt>
                <c:pt idx="23">
                  <c:v>Whittlesea </c:v>
                </c:pt>
                <c:pt idx="25">
                  <c:v>Southern Subregion</c:v>
                </c:pt>
                <c:pt idx="26">
                  <c:v>Bayside </c:v>
                </c:pt>
                <c:pt idx="27">
                  <c:v>Cardinia </c:v>
                </c:pt>
                <c:pt idx="28">
                  <c:v>Casey </c:v>
                </c:pt>
                <c:pt idx="29">
                  <c:v>Frankston </c:v>
                </c:pt>
                <c:pt idx="30">
                  <c:v>Glen Eira </c:v>
                </c:pt>
                <c:pt idx="31">
                  <c:v>Greater Dandenong </c:v>
                </c:pt>
                <c:pt idx="32">
                  <c:v>Kingston </c:v>
                </c:pt>
                <c:pt idx="33">
                  <c:v>Mornington Peninsula </c:v>
                </c:pt>
                <c:pt idx="35">
                  <c:v>Western Subregion</c:v>
                </c:pt>
                <c:pt idx="36">
                  <c:v>Brimbank </c:v>
                </c:pt>
                <c:pt idx="37">
                  <c:v>Hobsons Bay </c:v>
                </c:pt>
                <c:pt idx="38">
                  <c:v>Melton </c:v>
                </c:pt>
                <c:pt idx="39">
                  <c:v>Moonee Valley </c:v>
                </c:pt>
                <c:pt idx="40">
                  <c:v>Wyndham </c:v>
                </c:pt>
              </c:strCache>
            </c:strRef>
          </c:cat>
          <c:val>
            <c:numRef>
              <c:f>Dwellings!$F$2:$F$42</c:f>
              <c:numCache>
                <c:formatCode>0</c:formatCode>
                <c:ptCount val="41"/>
                <c:pt idx="1">
                  <c:v>103</c:v>
                </c:pt>
                <c:pt idx="2">
                  <c:v>11</c:v>
                </c:pt>
                <c:pt idx="3">
                  <c:v>65</c:v>
                </c:pt>
                <c:pt idx="4">
                  <c:v>137</c:v>
                </c:pt>
                <c:pt idx="5">
                  <c:v>35</c:v>
                </c:pt>
                <c:pt idx="8">
                  <c:v>114</c:v>
                </c:pt>
                <c:pt idx="9">
                  <c:v>58</c:v>
                </c:pt>
                <c:pt idx="10">
                  <c:v>59</c:v>
                </c:pt>
                <c:pt idx="11">
                  <c:v>22</c:v>
                </c:pt>
                <c:pt idx="12">
                  <c:v>65</c:v>
                </c:pt>
                <c:pt idx="13">
                  <c:v>118</c:v>
                </c:pt>
                <c:pt idx="14">
                  <c:v>8</c:v>
                </c:pt>
                <c:pt idx="17">
                  <c:v>57</c:v>
                </c:pt>
                <c:pt idx="18">
                  <c:v>95</c:v>
                </c:pt>
                <c:pt idx="19">
                  <c:v>18</c:v>
                </c:pt>
                <c:pt idx="20" formatCode="General">
                  <c:v>0</c:v>
                </c:pt>
                <c:pt idx="21">
                  <c:v>93</c:v>
                </c:pt>
                <c:pt idx="22" formatCode="General">
                  <c:v>0</c:v>
                </c:pt>
                <c:pt idx="23">
                  <c:v>47</c:v>
                </c:pt>
                <c:pt idx="26">
                  <c:v>147</c:v>
                </c:pt>
                <c:pt idx="27">
                  <c:v>14</c:v>
                </c:pt>
                <c:pt idx="28" formatCode="General">
                  <c:v>0</c:v>
                </c:pt>
                <c:pt idx="29">
                  <c:v>36</c:v>
                </c:pt>
                <c:pt idx="30">
                  <c:v>357</c:v>
                </c:pt>
                <c:pt idx="31">
                  <c:v>29</c:v>
                </c:pt>
                <c:pt idx="32">
                  <c:v>37</c:v>
                </c:pt>
                <c:pt idx="33">
                  <c:v>47</c:v>
                </c:pt>
                <c:pt idx="36">
                  <c:v>8</c:v>
                </c:pt>
                <c:pt idx="37">
                  <c:v>17</c:v>
                </c:pt>
                <c:pt idx="38" formatCode="General">
                  <c:v>0</c:v>
                </c:pt>
                <c:pt idx="39">
                  <c:v>67</c:v>
                </c:pt>
                <c:pt idx="40" formatCode="General">
                  <c:v>0</c:v>
                </c:pt>
              </c:numCache>
            </c:numRef>
          </c:val>
        </c:ser>
        <c:ser>
          <c:idx val="5"/>
          <c:order val="5"/>
          <c:tx>
            <c:strRef>
              <c:f>Dwellings!$G$1</c:f>
              <c:strCache>
                <c:ptCount val="1"/>
                <c:pt idx="0">
                  <c:v>Flats units or apartments - In a four or more storey block</c:v>
                </c:pt>
              </c:strCache>
            </c:strRef>
          </c:tx>
          <c:spPr>
            <a:solidFill>
              <a:schemeClr val="accent6">
                <a:lumMod val="75000"/>
              </a:schemeClr>
            </a:solidFill>
            <a:ln>
              <a:solidFill>
                <a:schemeClr val="tx1"/>
              </a:solidFill>
            </a:ln>
            <a:effectLst/>
          </c:spPr>
          <c:invertIfNegative val="0"/>
          <c:cat>
            <c:strRef>
              <c:f>Dwellings!$A$2:$A$42</c:f>
              <c:strCache>
                <c:ptCount val="41"/>
                <c:pt idx="0">
                  <c:v>Central Subregion</c:v>
                </c:pt>
                <c:pt idx="1">
                  <c:v>Maribyrnong </c:v>
                </c:pt>
                <c:pt idx="2">
                  <c:v>Melbourne </c:v>
                </c:pt>
                <c:pt idx="3">
                  <c:v>Port Phillip </c:v>
                </c:pt>
                <c:pt idx="4">
                  <c:v>Stonnington </c:v>
                </c:pt>
                <c:pt idx="5">
                  <c:v>Yarra </c:v>
                </c:pt>
                <c:pt idx="7">
                  <c:v>Eastern Subregion</c:v>
                </c:pt>
                <c:pt idx="8">
                  <c:v>Boroondara </c:v>
                </c:pt>
                <c:pt idx="9">
                  <c:v>Knox </c:v>
                </c:pt>
                <c:pt idx="10">
                  <c:v>Manningham </c:v>
                </c:pt>
                <c:pt idx="11">
                  <c:v>Maroondah </c:v>
                </c:pt>
                <c:pt idx="12">
                  <c:v>Monash </c:v>
                </c:pt>
                <c:pt idx="13">
                  <c:v>Whitehorse </c:v>
                </c:pt>
                <c:pt idx="14">
                  <c:v>Yarra Ranges </c:v>
                </c:pt>
                <c:pt idx="16">
                  <c:v>Northern Subregion</c:v>
                </c:pt>
                <c:pt idx="17">
                  <c:v>Banyule </c:v>
                </c:pt>
                <c:pt idx="18">
                  <c:v>Darebin </c:v>
                </c:pt>
                <c:pt idx="19">
                  <c:v>Hume </c:v>
                </c:pt>
                <c:pt idx="20">
                  <c:v>Mitchell </c:v>
                </c:pt>
                <c:pt idx="21">
                  <c:v>Moreland </c:v>
                </c:pt>
                <c:pt idx="22">
                  <c:v>Nillumbik </c:v>
                </c:pt>
                <c:pt idx="23">
                  <c:v>Whittlesea </c:v>
                </c:pt>
                <c:pt idx="25">
                  <c:v>Southern Subregion</c:v>
                </c:pt>
                <c:pt idx="26">
                  <c:v>Bayside </c:v>
                </c:pt>
                <c:pt idx="27">
                  <c:v>Cardinia </c:v>
                </c:pt>
                <c:pt idx="28">
                  <c:v>Casey </c:v>
                </c:pt>
                <c:pt idx="29">
                  <c:v>Frankston </c:v>
                </c:pt>
                <c:pt idx="30">
                  <c:v>Glen Eira </c:v>
                </c:pt>
                <c:pt idx="31">
                  <c:v>Greater Dandenong </c:v>
                </c:pt>
                <c:pt idx="32">
                  <c:v>Kingston </c:v>
                </c:pt>
                <c:pt idx="33">
                  <c:v>Mornington Peninsula </c:v>
                </c:pt>
                <c:pt idx="35">
                  <c:v>Western Subregion</c:v>
                </c:pt>
                <c:pt idx="36">
                  <c:v>Brimbank </c:v>
                </c:pt>
                <c:pt idx="37">
                  <c:v>Hobsons Bay </c:v>
                </c:pt>
                <c:pt idx="38">
                  <c:v>Melton </c:v>
                </c:pt>
                <c:pt idx="39">
                  <c:v>Moonee Valley </c:v>
                </c:pt>
                <c:pt idx="40">
                  <c:v>Wyndham </c:v>
                </c:pt>
              </c:strCache>
            </c:strRef>
          </c:cat>
          <c:val>
            <c:numRef>
              <c:f>Dwellings!$G$2:$G$42</c:f>
              <c:numCache>
                <c:formatCode>0</c:formatCode>
                <c:ptCount val="41"/>
                <c:pt idx="1">
                  <c:v>1282</c:v>
                </c:pt>
                <c:pt idx="2">
                  <c:v>6681</c:v>
                </c:pt>
                <c:pt idx="3">
                  <c:v>1594</c:v>
                </c:pt>
                <c:pt idx="4">
                  <c:v>1187</c:v>
                </c:pt>
                <c:pt idx="5">
                  <c:v>592</c:v>
                </c:pt>
                <c:pt idx="8">
                  <c:v>258</c:v>
                </c:pt>
                <c:pt idx="10">
                  <c:v>607</c:v>
                </c:pt>
                <c:pt idx="11">
                  <c:v>203</c:v>
                </c:pt>
                <c:pt idx="12">
                  <c:v>161</c:v>
                </c:pt>
                <c:pt idx="13">
                  <c:v>1182</c:v>
                </c:pt>
                <c:pt idx="17">
                  <c:v>644</c:v>
                </c:pt>
                <c:pt idx="18">
                  <c:v>676</c:v>
                </c:pt>
                <c:pt idx="21">
                  <c:v>729</c:v>
                </c:pt>
                <c:pt idx="26">
                  <c:v>78</c:v>
                </c:pt>
                <c:pt idx="30">
                  <c:v>671</c:v>
                </c:pt>
                <c:pt idx="31">
                  <c:v>34</c:v>
                </c:pt>
                <c:pt idx="32">
                  <c:v>427</c:v>
                </c:pt>
                <c:pt idx="36">
                  <c:v>20</c:v>
                </c:pt>
                <c:pt idx="37" formatCode="General">
                  <c:v>83</c:v>
                </c:pt>
                <c:pt idx="38">
                  <c:v>81</c:v>
                </c:pt>
                <c:pt idx="39">
                  <c:v>521</c:v>
                </c:pt>
                <c:pt idx="40" formatCode="General">
                  <c:v>57</c:v>
                </c:pt>
              </c:numCache>
            </c:numRef>
          </c:val>
        </c:ser>
        <c:dLbls>
          <c:showLegendKey val="0"/>
          <c:showVal val="0"/>
          <c:showCatName val="0"/>
          <c:showSerName val="0"/>
          <c:showPercent val="0"/>
          <c:showBubbleSize val="0"/>
        </c:dLbls>
        <c:gapWidth val="20"/>
        <c:overlap val="100"/>
        <c:axId val="208315392"/>
        <c:axId val="208315952"/>
      </c:barChart>
      <c:catAx>
        <c:axId val="208315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15952"/>
        <c:crosses val="autoZero"/>
        <c:auto val="1"/>
        <c:lblAlgn val="ctr"/>
        <c:lblOffset val="100"/>
        <c:noMultiLvlLbl val="0"/>
      </c:catAx>
      <c:valAx>
        <c:axId val="2083159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15392"/>
        <c:crosses val="autoZero"/>
        <c:crossBetween val="between"/>
      </c:valAx>
      <c:spPr>
        <a:noFill/>
        <a:ln>
          <a:noFill/>
        </a:ln>
        <a:effectLst/>
      </c:spPr>
    </c:plotArea>
    <c:legend>
      <c:legendPos val="b"/>
      <c:layout>
        <c:manualLayout>
          <c:xMode val="edge"/>
          <c:yMode val="edge"/>
          <c:x val="0.45198900531134395"/>
          <c:y val="2.5190273767031968E-2"/>
          <c:w val="0.54472531878397079"/>
          <c:h val="0.110622806545537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Building</a:t>
            </a:r>
            <a:r>
              <a:rPr lang="en-AU" baseline="0"/>
              <a:t> Approvals - New Dwellings 2015/16</a:t>
            </a:r>
          </a:p>
          <a:p>
            <a:pPr algn="l">
              <a:defRPr/>
            </a:pPr>
            <a:r>
              <a:rPr lang="en-AU"/>
              <a:t>Regional Victoria</a:t>
            </a:r>
          </a:p>
          <a:p>
            <a:pPr algn="l">
              <a:defRPr/>
            </a:pPr>
            <a:r>
              <a:rPr lang="en-AU" sz="1000"/>
              <a:t>Source:</a:t>
            </a:r>
            <a:r>
              <a:rPr lang="en-AU" sz="1000" baseline="0"/>
              <a:t> ABS building approvals</a:t>
            </a:r>
            <a:endParaRPr lang="en-AU" sz="1000"/>
          </a:p>
        </c:rich>
      </c:tx>
      <c:layout>
        <c:manualLayout>
          <c:xMode val="edge"/>
          <c:yMode val="edge"/>
          <c:x val="9.0121963594677146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08346840657456"/>
          <c:y val="0.15534851710311456"/>
          <c:w val="0.76588379038827048"/>
          <c:h val="0.83384971829661358"/>
        </c:manualLayout>
      </c:layout>
      <c:barChart>
        <c:barDir val="bar"/>
        <c:grouping val="stacked"/>
        <c:varyColors val="0"/>
        <c:ser>
          <c:idx val="0"/>
          <c:order val="0"/>
          <c:tx>
            <c:strRef>
              <c:f>Dwellings!$B$1</c:f>
              <c:strCache>
                <c:ptCount val="1"/>
                <c:pt idx="0">
                  <c:v>Houses</c:v>
                </c:pt>
              </c:strCache>
            </c:strRef>
          </c:tx>
          <c:spPr>
            <a:solidFill>
              <a:schemeClr val="accent1">
                <a:lumMod val="50000"/>
              </a:schemeClr>
            </a:solidFill>
            <a:ln>
              <a:solidFill>
                <a:schemeClr val="tx1"/>
              </a:solidFill>
            </a:ln>
            <a:effectLst/>
          </c:spPr>
          <c:invertIfNegative val="0"/>
          <c:cat>
            <c:strRef>
              <c:f>Dwellings!$A$44:$A$95</c:f>
              <c:strCache>
                <c:ptCount val="52"/>
                <c:pt idx="0">
                  <c:v>Key 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 Urban and Coastal LGAs</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strCache>
            </c:strRef>
          </c:cat>
          <c:val>
            <c:numRef>
              <c:f>Dwellings!$B$44:$B$95</c:f>
              <c:numCache>
                <c:formatCode>0</c:formatCode>
                <c:ptCount val="52"/>
                <c:pt idx="1">
                  <c:v>782</c:v>
                </c:pt>
                <c:pt idx="2">
                  <c:v>832</c:v>
                </c:pt>
                <c:pt idx="3">
                  <c:v>2386</c:v>
                </c:pt>
                <c:pt idx="4">
                  <c:v>309</c:v>
                </c:pt>
                <c:pt idx="5">
                  <c:v>123</c:v>
                </c:pt>
                <c:pt idx="6">
                  <c:v>329</c:v>
                </c:pt>
                <c:pt idx="7">
                  <c:v>306</c:v>
                </c:pt>
                <c:pt idx="8">
                  <c:v>135</c:v>
                </c:pt>
                <c:pt idx="9">
                  <c:v>180</c:v>
                </c:pt>
                <c:pt idx="10">
                  <c:v>379</c:v>
                </c:pt>
                <c:pt idx="13">
                  <c:v>426</c:v>
                </c:pt>
                <c:pt idx="14">
                  <c:v>540</c:v>
                </c:pt>
                <c:pt idx="15">
                  <c:v>195</c:v>
                </c:pt>
                <c:pt idx="16">
                  <c:v>307</c:v>
                </c:pt>
                <c:pt idx="17">
                  <c:v>338</c:v>
                </c:pt>
                <c:pt idx="18">
                  <c:v>122</c:v>
                </c:pt>
                <c:pt idx="19">
                  <c:v>27</c:v>
                </c:pt>
                <c:pt idx="20">
                  <c:v>150</c:v>
                </c:pt>
                <c:pt idx="21">
                  <c:v>387</c:v>
                </c:pt>
                <c:pt idx="24">
                  <c:v>76</c:v>
                </c:pt>
                <c:pt idx="25">
                  <c:v>41</c:v>
                </c:pt>
                <c:pt idx="26">
                  <c:v>45</c:v>
                </c:pt>
                <c:pt idx="27">
                  <c:v>13</c:v>
                </c:pt>
                <c:pt idx="28">
                  <c:v>148</c:v>
                </c:pt>
                <c:pt idx="29">
                  <c:v>67</c:v>
                </c:pt>
                <c:pt idx="30">
                  <c:v>102</c:v>
                </c:pt>
                <c:pt idx="31">
                  <c:v>49</c:v>
                </c:pt>
                <c:pt idx="32">
                  <c:v>301</c:v>
                </c:pt>
                <c:pt idx="33">
                  <c:v>25</c:v>
                </c:pt>
                <c:pt idx="34">
                  <c:v>27</c:v>
                </c:pt>
                <c:pt idx="35">
                  <c:v>110</c:v>
                </c:pt>
                <c:pt idx="36">
                  <c:v>4</c:v>
                </c:pt>
                <c:pt idx="37">
                  <c:v>113</c:v>
                </c:pt>
                <c:pt idx="38">
                  <c:v>25</c:v>
                </c:pt>
                <c:pt idx="39">
                  <c:v>99</c:v>
                </c:pt>
                <c:pt idx="40">
                  <c:v>155</c:v>
                </c:pt>
                <c:pt idx="41">
                  <c:v>109</c:v>
                </c:pt>
                <c:pt idx="42">
                  <c:v>81</c:v>
                </c:pt>
                <c:pt idx="43">
                  <c:v>29</c:v>
                </c:pt>
                <c:pt idx="44">
                  <c:v>43</c:v>
                </c:pt>
                <c:pt idx="45">
                  <c:v>30</c:v>
                </c:pt>
                <c:pt idx="46">
                  <c:v>76</c:v>
                </c:pt>
                <c:pt idx="47">
                  <c:v>60</c:v>
                </c:pt>
                <c:pt idx="48">
                  <c:v>16</c:v>
                </c:pt>
                <c:pt idx="49">
                  <c:v>235</c:v>
                </c:pt>
                <c:pt idx="50">
                  <c:v>8</c:v>
                </c:pt>
                <c:pt idx="51">
                  <c:v>7</c:v>
                </c:pt>
              </c:numCache>
            </c:numRef>
          </c:val>
        </c:ser>
        <c:ser>
          <c:idx val="1"/>
          <c:order val="1"/>
          <c:tx>
            <c:strRef>
              <c:f>Dwellings!$C$1</c:f>
              <c:strCache>
                <c:ptCount val="1"/>
                <c:pt idx="0">
                  <c:v>Semi-detached, row or terrace houses, townhouses - One storey</c:v>
                </c:pt>
              </c:strCache>
            </c:strRef>
          </c:tx>
          <c:spPr>
            <a:solidFill>
              <a:srgbClr val="FF5B5F"/>
            </a:solidFill>
            <a:ln>
              <a:solidFill>
                <a:schemeClr val="tx1"/>
              </a:solidFill>
            </a:ln>
            <a:effectLst/>
          </c:spPr>
          <c:invertIfNegative val="0"/>
          <c:cat>
            <c:strRef>
              <c:f>Dwellings!$A$44:$A$95</c:f>
              <c:strCache>
                <c:ptCount val="52"/>
                <c:pt idx="0">
                  <c:v>Key 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 Urban and Coastal LGAs</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strCache>
            </c:strRef>
          </c:cat>
          <c:val>
            <c:numRef>
              <c:f>Dwellings!$C$44:$C$95</c:f>
              <c:numCache>
                <c:formatCode>0</c:formatCode>
                <c:ptCount val="52"/>
                <c:pt idx="1">
                  <c:v>31</c:v>
                </c:pt>
                <c:pt idx="2">
                  <c:v>8</c:v>
                </c:pt>
                <c:pt idx="3">
                  <c:v>128</c:v>
                </c:pt>
                <c:pt idx="4">
                  <c:v>4</c:v>
                </c:pt>
                <c:pt idx="5" formatCode="General">
                  <c:v>0</c:v>
                </c:pt>
                <c:pt idx="6">
                  <c:v>18</c:v>
                </c:pt>
                <c:pt idx="7" formatCode="General">
                  <c:v>0</c:v>
                </c:pt>
                <c:pt idx="8">
                  <c:v>7</c:v>
                </c:pt>
                <c:pt idx="9">
                  <c:v>18</c:v>
                </c:pt>
                <c:pt idx="10" formatCode="General">
                  <c:v>0</c:v>
                </c:pt>
                <c:pt idx="13">
                  <c:v>11</c:v>
                </c:pt>
                <c:pt idx="14">
                  <c:v>23</c:v>
                </c:pt>
                <c:pt idx="15" formatCode="General">
                  <c:v>0</c:v>
                </c:pt>
                <c:pt idx="16">
                  <c:v>33</c:v>
                </c:pt>
                <c:pt idx="17">
                  <c:v>43</c:v>
                </c:pt>
                <c:pt idx="18" formatCode="General">
                  <c:v>0</c:v>
                </c:pt>
                <c:pt idx="19" formatCode="General">
                  <c:v>0</c:v>
                </c:pt>
                <c:pt idx="20" formatCode="General">
                  <c:v>0</c:v>
                </c:pt>
                <c:pt idx="21">
                  <c:v>6</c:v>
                </c:pt>
                <c:pt idx="24" formatCode="General">
                  <c:v>0</c:v>
                </c:pt>
                <c:pt idx="25" formatCode="General">
                  <c:v>0</c:v>
                </c:pt>
                <c:pt idx="26">
                  <c:v>2</c:v>
                </c:pt>
                <c:pt idx="27" formatCode="General">
                  <c:v>0</c:v>
                </c:pt>
                <c:pt idx="28" formatCode="General">
                  <c:v>2</c:v>
                </c:pt>
                <c:pt idx="29">
                  <c:v>4</c:v>
                </c:pt>
                <c:pt idx="30">
                  <c:v>3</c:v>
                </c:pt>
                <c:pt idx="31" formatCode="General">
                  <c:v>0</c:v>
                </c:pt>
                <c:pt idx="32">
                  <c:v>12</c:v>
                </c:pt>
                <c:pt idx="33" formatCode="General">
                  <c:v>0</c:v>
                </c:pt>
                <c:pt idx="34" formatCode="General">
                  <c:v>0</c:v>
                </c:pt>
                <c:pt idx="35">
                  <c:v>4</c:v>
                </c:pt>
                <c:pt idx="36" formatCode="General">
                  <c:v>0</c:v>
                </c:pt>
                <c:pt idx="37" formatCode="General">
                  <c:v>0</c:v>
                </c:pt>
                <c:pt idx="38" formatCode="General">
                  <c:v>0</c:v>
                </c:pt>
                <c:pt idx="39" formatCode="General">
                  <c:v>0</c:v>
                </c:pt>
                <c:pt idx="40">
                  <c:v>4</c:v>
                </c:pt>
                <c:pt idx="41" formatCode="General">
                  <c:v>0</c:v>
                </c:pt>
                <c:pt idx="42" formatCode="General">
                  <c:v>0</c:v>
                </c:pt>
                <c:pt idx="43" formatCode="General">
                  <c:v>0</c:v>
                </c:pt>
                <c:pt idx="44" formatCode="General">
                  <c:v>0</c:v>
                </c:pt>
                <c:pt idx="45" formatCode="General">
                  <c:v>0</c:v>
                </c:pt>
                <c:pt idx="46" formatCode="General">
                  <c:v>3</c:v>
                </c:pt>
                <c:pt idx="47" formatCode="General">
                  <c:v>0</c:v>
                </c:pt>
                <c:pt idx="48" formatCode="General">
                  <c:v>0</c:v>
                </c:pt>
                <c:pt idx="49">
                  <c:v>8</c:v>
                </c:pt>
                <c:pt idx="50" formatCode="General">
                  <c:v>0</c:v>
                </c:pt>
                <c:pt idx="51" formatCode="General">
                  <c:v>0</c:v>
                </c:pt>
              </c:numCache>
            </c:numRef>
          </c:val>
        </c:ser>
        <c:ser>
          <c:idx val="2"/>
          <c:order val="2"/>
          <c:tx>
            <c:strRef>
              <c:f>Dwellings!$D$1</c:f>
              <c:strCache>
                <c:ptCount val="1"/>
                <c:pt idx="0">
                  <c:v>Semi-detached, row or terrace houses, townhouses - Two or more storeys</c:v>
                </c:pt>
              </c:strCache>
            </c:strRef>
          </c:tx>
          <c:spPr>
            <a:solidFill>
              <a:srgbClr val="C00000"/>
            </a:solidFill>
            <a:ln>
              <a:solidFill>
                <a:schemeClr val="tx1"/>
              </a:solidFill>
            </a:ln>
            <a:effectLst/>
          </c:spPr>
          <c:invertIfNegative val="0"/>
          <c:cat>
            <c:strRef>
              <c:f>Dwellings!$A$44:$A$95</c:f>
              <c:strCache>
                <c:ptCount val="52"/>
                <c:pt idx="0">
                  <c:v>Key 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 Urban and Coastal LGAs</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strCache>
            </c:strRef>
          </c:cat>
          <c:val>
            <c:numRef>
              <c:f>Dwellings!$D$44:$D$95</c:f>
              <c:numCache>
                <c:formatCode>0</c:formatCode>
                <c:ptCount val="52"/>
                <c:pt idx="1">
                  <c:v>51</c:v>
                </c:pt>
                <c:pt idx="2">
                  <c:v>14</c:v>
                </c:pt>
                <c:pt idx="3">
                  <c:v>94</c:v>
                </c:pt>
                <c:pt idx="4" formatCode="General">
                  <c:v>0</c:v>
                </c:pt>
                <c:pt idx="5" formatCode="General">
                  <c:v>0</c:v>
                </c:pt>
                <c:pt idx="6" formatCode="General">
                  <c:v>2</c:v>
                </c:pt>
                <c:pt idx="7">
                  <c:v>3</c:v>
                </c:pt>
                <c:pt idx="8" formatCode="General">
                  <c:v>0</c:v>
                </c:pt>
                <c:pt idx="9" formatCode="General">
                  <c:v>5</c:v>
                </c:pt>
                <c:pt idx="10">
                  <c:v>3</c:v>
                </c:pt>
                <c:pt idx="13">
                  <c:v>10</c:v>
                </c:pt>
                <c:pt idx="14">
                  <c:v>2</c:v>
                </c:pt>
                <c:pt idx="15" formatCode="General">
                  <c:v>0</c:v>
                </c:pt>
                <c:pt idx="16">
                  <c:v>6</c:v>
                </c:pt>
                <c:pt idx="17">
                  <c:v>3</c:v>
                </c:pt>
                <c:pt idx="18" formatCode="General">
                  <c:v>0</c:v>
                </c:pt>
                <c:pt idx="19" formatCode="General">
                  <c:v>0</c:v>
                </c:pt>
                <c:pt idx="20" formatCode="General">
                  <c:v>0</c:v>
                </c:pt>
                <c:pt idx="21">
                  <c:v>16</c:v>
                </c:pt>
                <c:pt idx="24">
                  <c:v>2</c:v>
                </c:pt>
                <c:pt idx="25" formatCode="General">
                  <c:v>0</c:v>
                </c:pt>
                <c:pt idx="26" formatCode="General">
                  <c:v>0</c:v>
                </c:pt>
                <c:pt idx="27" formatCode="General">
                  <c:v>0</c:v>
                </c:pt>
                <c:pt idx="28" formatCode="General">
                  <c:v>6</c:v>
                </c:pt>
                <c:pt idx="29" formatCode="General">
                  <c:v>0</c:v>
                </c:pt>
                <c:pt idx="30">
                  <c:v>7</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4</c:v>
                </c:pt>
                <c:pt idx="50" formatCode="General">
                  <c:v>0</c:v>
                </c:pt>
                <c:pt idx="51" formatCode="General">
                  <c:v>0</c:v>
                </c:pt>
              </c:numCache>
            </c:numRef>
          </c:val>
        </c:ser>
        <c:ser>
          <c:idx val="3"/>
          <c:order val="3"/>
          <c:tx>
            <c:strRef>
              <c:f>Dwellings!$E$1</c:f>
              <c:strCache>
                <c:ptCount val="1"/>
                <c:pt idx="0">
                  <c:v>Flats units or apartments - In a one or two storey block</c:v>
                </c:pt>
              </c:strCache>
            </c:strRef>
          </c:tx>
          <c:spPr>
            <a:solidFill>
              <a:schemeClr val="accent6">
                <a:lumMod val="20000"/>
                <a:lumOff val="80000"/>
              </a:schemeClr>
            </a:solidFill>
            <a:ln>
              <a:solidFill>
                <a:schemeClr val="tx1"/>
              </a:solidFill>
            </a:ln>
            <a:effectLst/>
          </c:spPr>
          <c:invertIfNegative val="0"/>
          <c:cat>
            <c:strRef>
              <c:f>Dwellings!$A$44:$A$95</c:f>
              <c:strCache>
                <c:ptCount val="52"/>
                <c:pt idx="0">
                  <c:v>Key 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 Urban and Coastal LGAs</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strCache>
            </c:strRef>
          </c:cat>
          <c:val>
            <c:numRef>
              <c:f>Dwellings!$E$44:$E$95</c:f>
              <c:numCache>
                <c:formatCode>General</c:formatCode>
                <c:ptCount val="52"/>
                <c:pt idx="1">
                  <c:v>0</c:v>
                </c:pt>
                <c:pt idx="2">
                  <c:v>0</c:v>
                </c:pt>
                <c:pt idx="3" formatCode="0">
                  <c:v>18</c:v>
                </c:pt>
                <c:pt idx="4">
                  <c:v>0</c:v>
                </c:pt>
                <c:pt idx="5" formatCode="0">
                  <c:v>10</c:v>
                </c:pt>
                <c:pt idx="6" formatCode="0">
                  <c:v>40</c:v>
                </c:pt>
                <c:pt idx="7">
                  <c:v>0</c:v>
                </c:pt>
                <c:pt idx="8">
                  <c:v>0</c:v>
                </c:pt>
                <c:pt idx="9">
                  <c:v>0</c:v>
                </c:pt>
                <c:pt idx="10">
                  <c:v>0</c:v>
                </c:pt>
                <c:pt idx="13" formatCode="0">
                  <c:v>3</c:v>
                </c:pt>
                <c:pt idx="14" formatCode="0">
                  <c:v>6</c:v>
                </c:pt>
                <c:pt idx="15">
                  <c:v>0</c:v>
                </c:pt>
                <c:pt idx="16">
                  <c:v>0</c:v>
                </c:pt>
                <c:pt idx="17">
                  <c:v>0</c:v>
                </c:pt>
                <c:pt idx="18">
                  <c:v>0</c:v>
                </c:pt>
                <c:pt idx="19">
                  <c:v>0</c:v>
                </c:pt>
                <c:pt idx="20">
                  <c:v>0</c:v>
                </c:pt>
                <c:pt idx="21">
                  <c:v>0</c:v>
                </c:pt>
                <c:pt idx="24">
                  <c:v>0</c:v>
                </c:pt>
                <c:pt idx="25">
                  <c:v>0</c:v>
                </c:pt>
                <c:pt idx="26">
                  <c:v>0</c:v>
                </c:pt>
                <c:pt idx="27">
                  <c:v>0</c:v>
                </c:pt>
                <c:pt idx="28">
                  <c:v>0</c:v>
                </c:pt>
                <c:pt idx="29">
                  <c:v>0</c:v>
                </c:pt>
                <c:pt idx="30">
                  <c:v>0</c:v>
                </c:pt>
                <c:pt idx="31">
                  <c:v>0</c:v>
                </c:pt>
                <c:pt idx="32">
                  <c:v>0</c:v>
                </c:pt>
                <c:pt idx="33">
                  <c:v>0</c:v>
                </c:pt>
                <c:pt idx="34">
                  <c:v>0</c:v>
                </c:pt>
                <c:pt idx="35" formatCode="0">
                  <c:v>3</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numCache>
            </c:numRef>
          </c:val>
        </c:ser>
        <c:ser>
          <c:idx val="4"/>
          <c:order val="4"/>
          <c:tx>
            <c:strRef>
              <c:f>Dwellings!$F$1</c:f>
              <c:strCache>
                <c:ptCount val="1"/>
                <c:pt idx="0">
                  <c:v>Flats units or apartments - In a three storey block</c:v>
                </c:pt>
              </c:strCache>
            </c:strRef>
          </c:tx>
          <c:spPr>
            <a:solidFill>
              <a:schemeClr val="accent6">
                <a:lumMod val="60000"/>
                <a:lumOff val="40000"/>
              </a:schemeClr>
            </a:solidFill>
            <a:ln>
              <a:solidFill>
                <a:schemeClr val="tx1"/>
              </a:solidFill>
            </a:ln>
            <a:effectLst/>
          </c:spPr>
          <c:invertIfNegative val="0"/>
          <c:cat>
            <c:strRef>
              <c:f>Dwellings!$A$44:$A$95</c:f>
              <c:strCache>
                <c:ptCount val="52"/>
                <c:pt idx="0">
                  <c:v>Key 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 Urban and Coastal LGAs</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strCache>
            </c:strRef>
          </c:cat>
          <c:val>
            <c:numRef>
              <c:f>Dwellings!$F$44:$F$95</c:f>
              <c:numCache>
                <c:formatCode>General</c:formatCode>
                <c:ptCount val="52"/>
                <c:pt idx="1">
                  <c:v>0</c:v>
                </c:pt>
                <c:pt idx="2" formatCode="0">
                  <c:v>4</c:v>
                </c:pt>
                <c:pt idx="3" formatCode="0">
                  <c:v>16</c:v>
                </c:pt>
                <c:pt idx="4">
                  <c:v>0</c:v>
                </c:pt>
                <c:pt idx="5">
                  <c:v>0</c:v>
                </c:pt>
                <c:pt idx="6">
                  <c:v>0</c:v>
                </c:pt>
                <c:pt idx="7">
                  <c:v>0</c:v>
                </c:pt>
                <c:pt idx="8">
                  <c:v>0</c:v>
                </c:pt>
                <c:pt idx="9">
                  <c:v>0</c:v>
                </c:pt>
                <c:pt idx="10">
                  <c:v>0</c:v>
                </c:pt>
                <c:pt idx="13">
                  <c:v>0</c:v>
                </c:pt>
                <c:pt idx="14">
                  <c:v>0</c:v>
                </c:pt>
                <c:pt idx="15">
                  <c:v>0</c:v>
                </c:pt>
                <c:pt idx="16">
                  <c:v>0</c:v>
                </c:pt>
                <c:pt idx="17">
                  <c:v>0</c:v>
                </c:pt>
                <c:pt idx="18">
                  <c:v>0</c:v>
                </c:pt>
                <c:pt idx="19">
                  <c:v>0</c:v>
                </c:pt>
                <c:pt idx="20">
                  <c:v>0</c:v>
                </c:pt>
                <c:pt idx="21">
                  <c:v>6</c:v>
                </c:pt>
                <c:pt idx="24">
                  <c:v>0</c:v>
                </c:pt>
                <c:pt idx="25">
                  <c:v>0</c:v>
                </c:pt>
                <c:pt idx="26">
                  <c:v>0</c:v>
                </c:pt>
                <c:pt idx="27">
                  <c:v>0</c:v>
                </c:pt>
                <c:pt idx="28">
                  <c:v>0</c:v>
                </c:pt>
                <c:pt idx="29">
                  <c:v>0</c:v>
                </c:pt>
                <c:pt idx="30">
                  <c:v>0</c:v>
                </c:pt>
                <c:pt idx="31">
                  <c:v>0</c:v>
                </c:pt>
                <c:pt idx="32" formatCode="0">
                  <c:v>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numCache>
            </c:numRef>
          </c:val>
        </c:ser>
        <c:ser>
          <c:idx val="5"/>
          <c:order val="5"/>
          <c:tx>
            <c:strRef>
              <c:f>Dwellings!$G$1</c:f>
              <c:strCache>
                <c:ptCount val="1"/>
                <c:pt idx="0">
                  <c:v>Flats units or apartments - In a four or more storey block</c:v>
                </c:pt>
              </c:strCache>
            </c:strRef>
          </c:tx>
          <c:spPr>
            <a:solidFill>
              <a:schemeClr val="accent6">
                <a:lumMod val="75000"/>
              </a:schemeClr>
            </a:solidFill>
            <a:ln>
              <a:solidFill>
                <a:schemeClr val="tx1"/>
              </a:solidFill>
            </a:ln>
            <a:effectLst/>
          </c:spPr>
          <c:invertIfNegative val="0"/>
          <c:cat>
            <c:strRef>
              <c:f>Dwellings!$A$44:$A$95</c:f>
              <c:strCache>
                <c:ptCount val="52"/>
                <c:pt idx="0">
                  <c:v>Key Regional Cities</c:v>
                </c:pt>
                <c:pt idx="1">
                  <c:v>Ballarat </c:v>
                </c:pt>
                <c:pt idx="2">
                  <c:v>Greater Bendigo </c:v>
                </c:pt>
                <c:pt idx="3">
                  <c:v>Greater Geelong </c:v>
                </c:pt>
                <c:pt idx="4">
                  <c:v>Greater Shepparton </c:v>
                </c:pt>
                <c:pt idx="5">
                  <c:v>Horsham </c:v>
                </c:pt>
                <c:pt idx="6">
                  <c:v>Latrobe </c:v>
                </c:pt>
                <c:pt idx="7">
                  <c:v>Mildura </c:v>
                </c:pt>
                <c:pt idx="8">
                  <c:v>Wangaratta </c:v>
                </c:pt>
                <c:pt idx="9">
                  <c:v>Warrnambool </c:v>
                </c:pt>
                <c:pt idx="10">
                  <c:v>Wodonga </c:v>
                </c:pt>
                <c:pt idx="12">
                  <c:v>Peri Urban and Coastal LGAs</c:v>
                </c:pt>
                <c:pt idx="13">
                  <c:v>Bass Coast </c:v>
                </c:pt>
                <c:pt idx="14">
                  <c:v>Baw Baw </c:v>
                </c:pt>
                <c:pt idx="15">
                  <c:v>Golden Plains </c:v>
                </c:pt>
                <c:pt idx="16">
                  <c:v>Macedon Ranges </c:v>
                </c:pt>
                <c:pt idx="17">
                  <c:v>Moorabool </c:v>
                </c:pt>
                <c:pt idx="18">
                  <c:v>Murrindindi </c:v>
                </c:pt>
                <c:pt idx="19">
                  <c:v>Queenscliffe </c:v>
                </c:pt>
                <c:pt idx="20">
                  <c:v>South Gippsland </c:v>
                </c:pt>
                <c:pt idx="21">
                  <c:v>Surf Coast </c:v>
                </c:pt>
                <c:pt idx="23">
                  <c:v>Other Regional LGAs</c:v>
                </c:pt>
                <c:pt idx="24">
                  <c:v>Alpine </c:v>
                </c:pt>
                <c:pt idx="25">
                  <c:v>Ararat </c:v>
                </c:pt>
                <c:pt idx="26">
                  <c:v>Benalla </c:v>
                </c:pt>
                <c:pt idx="27">
                  <c:v>Buloke </c:v>
                </c:pt>
                <c:pt idx="28">
                  <c:v>Campaspe </c:v>
                </c:pt>
                <c:pt idx="29">
                  <c:v>Central Goldfields </c:v>
                </c:pt>
                <c:pt idx="30">
                  <c:v>Colac-Otway </c:v>
                </c:pt>
                <c:pt idx="31">
                  <c:v>Corangamite </c:v>
                </c:pt>
                <c:pt idx="32">
                  <c:v>East Gippsland </c:v>
                </c:pt>
                <c:pt idx="33">
                  <c:v>Gannawarra </c:v>
                </c:pt>
                <c:pt idx="34">
                  <c:v>Glenelg </c:v>
                </c:pt>
                <c:pt idx="35">
                  <c:v>Hepburn </c:v>
                </c:pt>
                <c:pt idx="36">
                  <c:v>Hindmarsh </c:v>
                </c:pt>
                <c:pt idx="37">
                  <c:v>Indigo </c:v>
                </c:pt>
                <c:pt idx="38">
                  <c:v>Loddon </c:v>
                </c:pt>
                <c:pt idx="39">
                  <c:v>Mansfield </c:v>
                </c:pt>
                <c:pt idx="40">
                  <c:v>Moira </c:v>
                </c:pt>
                <c:pt idx="41">
                  <c:v>Mount Alexander </c:v>
                </c:pt>
                <c:pt idx="42">
                  <c:v>Moyne </c:v>
                </c:pt>
                <c:pt idx="43">
                  <c:v>Northern Grampians </c:v>
                </c:pt>
                <c:pt idx="44">
                  <c:v>Pyrenees </c:v>
                </c:pt>
                <c:pt idx="45">
                  <c:v>Southern Grampians </c:v>
                </c:pt>
                <c:pt idx="46">
                  <c:v>Strathbogie </c:v>
                </c:pt>
                <c:pt idx="47">
                  <c:v>Swan Hill </c:v>
                </c:pt>
                <c:pt idx="48">
                  <c:v>Towong </c:v>
                </c:pt>
                <c:pt idx="49">
                  <c:v>Wellington </c:v>
                </c:pt>
                <c:pt idx="50">
                  <c:v>West Wimmera </c:v>
                </c:pt>
                <c:pt idx="51">
                  <c:v>Yarriambiack </c:v>
                </c:pt>
              </c:strCache>
            </c:strRef>
          </c:cat>
          <c:val>
            <c:numRef>
              <c:f>Dwellings!$G$44:$G$95</c:f>
              <c:numCache>
                <c:formatCode>General</c:formatCode>
                <c:ptCount val="52"/>
                <c:pt idx="1">
                  <c:v>0</c:v>
                </c:pt>
                <c:pt idx="2">
                  <c:v>0</c:v>
                </c:pt>
                <c:pt idx="3">
                  <c:v>0</c:v>
                </c:pt>
                <c:pt idx="4">
                  <c:v>0</c:v>
                </c:pt>
                <c:pt idx="5">
                  <c:v>0</c:v>
                </c:pt>
                <c:pt idx="6">
                  <c:v>0</c:v>
                </c:pt>
                <c:pt idx="7">
                  <c:v>0</c:v>
                </c:pt>
                <c:pt idx="8">
                  <c:v>0</c:v>
                </c:pt>
                <c:pt idx="9">
                  <c:v>0</c:v>
                </c:pt>
                <c:pt idx="10">
                  <c:v>0</c:v>
                </c:pt>
                <c:pt idx="13">
                  <c:v>0</c:v>
                </c:pt>
                <c:pt idx="14">
                  <c:v>0</c:v>
                </c:pt>
                <c:pt idx="15">
                  <c:v>0</c:v>
                </c:pt>
                <c:pt idx="16">
                  <c:v>0</c:v>
                </c:pt>
                <c:pt idx="17">
                  <c:v>0</c:v>
                </c:pt>
                <c:pt idx="18">
                  <c:v>0</c:v>
                </c:pt>
                <c:pt idx="19">
                  <c:v>0</c:v>
                </c:pt>
                <c:pt idx="20">
                  <c:v>0</c:v>
                </c:pt>
                <c:pt idx="21">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numCache>
            </c:numRef>
          </c:val>
        </c:ser>
        <c:dLbls>
          <c:showLegendKey val="0"/>
          <c:showVal val="0"/>
          <c:showCatName val="0"/>
          <c:showSerName val="0"/>
          <c:showPercent val="0"/>
          <c:showBubbleSize val="0"/>
        </c:dLbls>
        <c:gapWidth val="20"/>
        <c:overlap val="100"/>
        <c:axId val="208320992"/>
        <c:axId val="208321552"/>
      </c:barChart>
      <c:catAx>
        <c:axId val="208320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21552"/>
        <c:crosses val="autoZero"/>
        <c:auto val="1"/>
        <c:lblAlgn val="ctr"/>
        <c:lblOffset val="100"/>
        <c:noMultiLvlLbl val="0"/>
      </c:catAx>
      <c:valAx>
        <c:axId val="2083215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20992"/>
        <c:crosses val="autoZero"/>
        <c:crossBetween val="between"/>
      </c:valAx>
      <c:spPr>
        <a:noFill/>
        <a:ln>
          <a:noFill/>
        </a:ln>
        <a:effectLst/>
      </c:spPr>
    </c:plotArea>
    <c:legend>
      <c:legendPos val="b"/>
      <c:layout>
        <c:manualLayout>
          <c:xMode val="edge"/>
          <c:yMode val="edge"/>
          <c:x val="0.40036813580120667"/>
          <c:y val="2.3125742992957533E-2"/>
          <c:w val="0.58103037764517096"/>
          <c:h val="9.689279182629786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a:t>
            </a:r>
          </a:p>
          <a:p>
            <a:pPr algn="l">
              <a:defRPr/>
            </a:pPr>
            <a:r>
              <a:rPr lang="en-AU" baseline="0"/>
              <a:t>Metropolitan Melbourne </a:t>
            </a:r>
          </a:p>
          <a:p>
            <a:pPr algn="l">
              <a:defRPr/>
            </a:pPr>
            <a:r>
              <a:rPr lang="en-AU" baseline="0"/>
              <a:t>2015/16 </a:t>
            </a: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6076970747246339"/>
          <c:w val="0.73539170574389501"/>
          <c:h val="0.8256362586086996"/>
        </c:manualLayout>
      </c:layout>
      <c:barChart>
        <c:barDir val="bar"/>
        <c:grouping val="stacked"/>
        <c:varyColors val="0"/>
        <c:ser>
          <c:idx val="0"/>
          <c:order val="0"/>
          <c:tx>
            <c:strRef>
              <c:f>Value!$AD$7</c:f>
              <c:strCache>
                <c:ptCount val="1"/>
                <c:pt idx="0">
                  <c:v>Residential</c:v>
                </c:pt>
              </c:strCache>
            </c:strRef>
          </c:tx>
          <c:spPr>
            <a:solidFill>
              <a:schemeClr val="accent1"/>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Value!$AD$8:$AD$48</c:f>
              <c:numCache>
                <c:formatCode>_-"$"* #,##0_-;\-"$"* #,##0_-;_-"$"* "-"??_-;_-@_-</c:formatCode>
                <c:ptCount val="41"/>
                <c:pt idx="1">
                  <c:v>565.53399999999999</c:v>
                </c:pt>
                <c:pt idx="2">
                  <c:v>2509.9369999999999</c:v>
                </c:pt>
                <c:pt idx="3">
                  <c:v>813.80499999999995</c:v>
                </c:pt>
                <c:pt idx="4">
                  <c:v>883.57100000000003</c:v>
                </c:pt>
                <c:pt idx="5">
                  <c:v>338.459</c:v>
                </c:pt>
                <c:pt idx="6">
                  <c:v>0</c:v>
                </c:pt>
                <c:pt idx="7">
                  <c:v>0</c:v>
                </c:pt>
                <c:pt idx="8">
                  <c:v>947.44899999999996</c:v>
                </c:pt>
                <c:pt idx="9">
                  <c:v>265.58999999999997</c:v>
                </c:pt>
                <c:pt idx="10">
                  <c:v>543.50800000000004</c:v>
                </c:pt>
                <c:pt idx="11">
                  <c:v>259.69099999999997</c:v>
                </c:pt>
                <c:pt idx="12">
                  <c:v>596.18899999999996</c:v>
                </c:pt>
                <c:pt idx="13">
                  <c:v>763.72299999999996</c:v>
                </c:pt>
                <c:pt idx="14">
                  <c:v>254.08799999999999</c:v>
                </c:pt>
                <c:pt idx="15">
                  <c:v>0</c:v>
                </c:pt>
                <c:pt idx="16">
                  <c:v>0</c:v>
                </c:pt>
                <c:pt idx="17">
                  <c:v>566.71299999999997</c:v>
                </c:pt>
                <c:pt idx="18">
                  <c:v>458.73099999999999</c:v>
                </c:pt>
                <c:pt idx="19">
                  <c:v>653.553</c:v>
                </c:pt>
                <c:pt idx="20">
                  <c:v>118.999</c:v>
                </c:pt>
                <c:pt idx="21">
                  <c:v>614.755</c:v>
                </c:pt>
                <c:pt idx="22">
                  <c:v>103.739</c:v>
                </c:pt>
                <c:pt idx="23">
                  <c:v>663.30700000000002</c:v>
                </c:pt>
                <c:pt idx="24">
                  <c:v>0</c:v>
                </c:pt>
                <c:pt idx="25">
                  <c:v>0</c:v>
                </c:pt>
                <c:pt idx="26">
                  <c:v>577.12099999999998</c:v>
                </c:pt>
                <c:pt idx="27">
                  <c:v>436.18400000000003</c:v>
                </c:pt>
                <c:pt idx="28">
                  <c:v>1028.4449999999999</c:v>
                </c:pt>
                <c:pt idx="29">
                  <c:v>152.65299999999999</c:v>
                </c:pt>
                <c:pt idx="30">
                  <c:v>606.17600000000004</c:v>
                </c:pt>
                <c:pt idx="31">
                  <c:v>294.34500000000003</c:v>
                </c:pt>
                <c:pt idx="32">
                  <c:v>394.73</c:v>
                </c:pt>
                <c:pt idx="33">
                  <c:v>696.60900000000004</c:v>
                </c:pt>
                <c:pt idx="34">
                  <c:v>0</c:v>
                </c:pt>
                <c:pt idx="35">
                  <c:v>0</c:v>
                </c:pt>
                <c:pt idx="36">
                  <c:v>224.00800000000001</c:v>
                </c:pt>
                <c:pt idx="37">
                  <c:v>231.535</c:v>
                </c:pt>
                <c:pt idx="38">
                  <c:v>502.279</c:v>
                </c:pt>
                <c:pt idx="39">
                  <c:v>454.91699999999997</c:v>
                </c:pt>
                <c:pt idx="40">
                  <c:v>1107.2239999999999</c:v>
                </c:pt>
              </c:numCache>
            </c:numRef>
          </c:val>
        </c:ser>
        <c:ser>
          <c:idx val="1"/>
          <c:order val="1"/>
          <c:tx>
            <c:strRef>
              <c:f>Value!$AE$7</c:f>
              <c:strCache>
                <c:ptCount val="1"/>
                <c:pt idx="0">
                  <c:v>Commercial Buildings </c:v>
                </c:pt>
              </c:strCache>
            </c:strRef>
          </c:tx>
          <c:spPr>
            <a:solidFill>
              <a:schemeClr val="accent2"/>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Value!$AE$8:$AE$48</c:f>
              <c:numCache>
                <c:formatCode>_-"$"* #,##0_-;\-"$"* #,##0_-;_-"$"* "-"??_-;_-@_-</c:formatCode>
                <c:ptCount val="41"/>
                <c:pt idx="1">
                  <c:v>37.655000000000001</c:v>
                </c:pt>
                <c:pt idx="2">
                  <c:v>732.077</c:v>
                </c:pt>
                <c:pt idx="3">
                  <c:v>87.567999999999998</c:v>
                </c:pt>
                <c:pt idx="4">
                  <c:v>65.183999999999997</c:v>
                </c:pt>
                <c:pt idx="5">
                  <c:v>83.488</c:v>
                </c:pt>
                <c:pt idx="6">
                  <c:v>0</c:v>
                </c:pt>
                <c:pt idx="7">
                  <c:v>0</c:v>
                </c:pt>
                <c:pt idx="8">
                  <c:v>39.109000000000002</c:v>
                </c:pt>
                <c:pt idx="9">
                  <c:v>51.576000000000001</c:v>
                </c:pt>
                <c:pt idx="10">
                  <c:v>53.616999999999997</c:v>
                </c:pt>
                <c:pt idx="11">
                  <c:v>63.466000000000001</c:v>
                </c:pt>
                <c:pt idx="12">
                  <c:v>126.926</c:v>
                </c:pt>
                <c:pt idx="13">
                  <c:v>57.944000000000003</c:v>
                </c:pt>
                <c:pt idx="14">
                  <c:v>15.452999999999999</c:v>
                </c:pt>
                <c:pt idx="15">
                  <c:v>0</c:v>
                </c:pt>
                <c:pt idx="16">
                  <c:v>0</c:v>
                </c:pt>
                <c:pt idx="17">
                  <c:v>27.628</c:v>
                </c:pt>
                <c:pt idx="18">
                  <c:v>41.521999999999998</c:v>
                </c:pt>
                <c:pt idx="19">
                  <c:v>73.006</c:v>
                </c:pt>
                <c:pt idx="20">
                  <c:v>12.949</c:v>
                </c:pt>
                <c:pt idx="21">
                  <c:v>12.561</c:v>
                </c:pt>
                <c:pt idx="22">
                  <c:v>5.0060000000000002</c:v>
                </c:pt>
                <c:pt idx="23">
                  <c:v>52.408999999999999</c:v>
                </c:pt>
                <c:pt idx="24">
                  <c:v>0</c:v>
                </c:pt>
                <c:pt idx="25">
                  <c:v>0</c:v>
                </c:pt>
                <c:pt idx="26">
                  <c:v>8.5579999999999998</c:v>
                </c:pt>
                <c:pt idx="27">
                  <c:v>28.992000000000001</c:v>
                </c:pt>
                <c:pt idx="28">
                  <c:v>65.027000000000001</c:v>
                </c:pt>
                <c:pt idx="29">
                  <c:v>11.766</c:v>
                </c:pt>
                <c:pt idx="30">
                  <c:v>11.385999999999999</c:v>
                </c:pt>
                <c:pt idx="31">
                  <c:v>76.27</c:v>
                </c:pt>
                <c:pt idx="32">
                  <c:v>32.805</c:v>
                </c:pt>
                <c:pt idx="33">
                  <c:v>51.372</c:v>
                </c:pt>
                <c:pt idx="34">
                  <c:v>0</c:v>
                </c:pt>
                <c:pt idx="35">
                  <c:v>0</c:v>
                </c:pt>
                <c:pt idx="36">
                  <c:v>65.682000000000002</c:v>
                </c:pt>
                <c:pt idx="37">
                  <c:v>9.3330000000000002</c:v>
                </c:pt>
                <c:pt idx="38">
                  <c:v>17.513000000000002</c:v>
                </c:pt>
                <c:pt idx="39">
                  <c:v>40.786000000000001</c:v>
                </c:pt>
                <c:pt idx="40">
                  <c:v>80.468000000000004</c:v>
                </c:pt>
              </c:numCache>
            </c:numRef>
          </c:val>
        </c:ser>
        <c:ser>
          <c:idx val="2"/>
          <c:order val="2"/>
          <c:tx>
            <c:strRef>
              <c:f>Value!$AF$7</c:f>
              <c:strCache>
                <c:ptCount val="1"/>
                <c:pt idx="0">
                  <c:v>Industrial Buildings</c:v>
                </c:pt>
              </c:strCache>
            </c:strRef>
          </c:tx>
          <c:spPr>
            <a:solidFill>
              <a:schemeClr val="accent3"/>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Value!$AF$8:$AF$48</c:f>
              <c:numCache>
                <c:formatCode>_-"$"* #,##0_-;\-"$"* #,##0_-;_-"$"* "-"??_-;_-@_-</c:formatCode>
                <c:ptCount val="41"/>
                <c:pt idx="1">
                  <c:v>9.7729999999999997</c:v>
                </c:pt>
                <c:pt idx="2">
                  <c:v>12.3</c:v>
                </c:pt>
                <c:pt idx="3">
                  <c:v>12.336</c:v>
                </c:pt>
                <c:pt idx="4">
                  <c:v>1.089</c:v>
                </c:pt>
                <c:pt idx="5">
                  <c:v>4.508</c:v>
                </c:pt>
                <c:pt idx="6">
                  <c:v>0</c:v>
                </c:pt>
                <c:pt idx="7">
                  <c:v>0</c:v>
                </c:pt>
                <c:pt idx="8">
                  <c:v>11.673</c:v>
                </c:pt>
                <c:pt idx="9">
                  <c:v>39.83</c:v>
                </c:pt>
                <c:pt idx="10">
                  <c:v>3.1</c:v>
                </c:pt>
                <c:pt idx="11">
                  <c:v>4.0449999999999999</c:v>
                </c:pt>
                <c:pt idx="12">
                  <c:v>40.875</c:v>
                </c:pt>
                <c:pt idx="13">
                  <c:v>7.5609999999999999</c:v>
                </c:pt>
                <c:pt idx="14">
                  <c:v>8.4049999999999994</c:v>
                </c:pt>
                <c:pt idx="15">
                  <c:v>0</c:v>
                </c:pt>
                <c:pt idx="16">
                  <c:v>0</c:v>
                </c:pt>
                <c:pt idx="17">
                  <c:v>8.2949999999999999</c:v>
                </c:pt>
                <c:pt idx="18">
                  <c:v>10.835000000000001</c:v>
                </c:pt>
                <c:pt idx="19">
                  <c:v>195.66399999999999</c:v>
                </c:pt>
                <c:pt idx="20">
                  <c:v>1.44</c:v>
                </c:pt>
                <c:pt idx="21">
                  <c:v>4.641</c:v>
                </c:pt>
                <c:pt idx="22">
                  <c:v>0.68200000000000005</c:v>
                </c:pt>
                <c:pt idx="23">
                  <c:v>75.715999999999994</c:v>
                </c:pt>
                <c:pt idx="24">
                  <c:v>0</c:v>
                </c:pt>
                <c:pt idx="25">
                  <c:v>0</c:v>
                </c:pt>
                <c:pt idx="26">
                  <c:v>14.435</c:v>
                </c:pt>
                <c:pt idx="27">
                  <c:v>17.361000000000001</c:v>
                </c:pt>
                <c:pt idx="28">
                  <c:v>10.836</c:v>
                </c:pt>
                <c:pt idx="29">
                  <c:v>37.442999999999998</c:v>
                </c:pt>
                <c:pt idx="30">
                  <c:v>0.66200000000000003</c:v>
                </c:pt>
                <c:pt idx="31">
                  <c:v>254.184</c:v>
                </c:pt>
                <c:pt idx="32">
                  <c:v>81.049000000000007</c:v>
                </c:pt>
                <c:pt idx="33">
                  <c:v>22.393999999999998</c:v>
                </c:pt>
                <c:pt idx="34">
                  <c:v>0</c:v>
                </c:pt>
                <c:pt idx="35">
                  <c:v>0</c:v>
                </c:pt>
                <c:pt idx="36">
                  <c:v>69.091999999999999</c:v>
                </c:pt>
                <c:pt idx="37">
                  <c:v>53.38</c:v>
                </c:pt>
                <c:pt idx="38">
                  <c:v>95.86</c:v>
                </c:pt>
                <c:pt idx="39">
                  <c:v>2.391</c:v>
                </c:pt>
                <c:pt idx="40">
                  <c:v>169.56700000000001</c:v>
                </c:pt>
              </c:numCache>
            </c:numRef>
          </c:val>
        </c:ser>
        <c:ser>
          <c:idx val="3"/>
          <c:order val="3"/>
          <c:tx>
            <c:strRef>
              <c:f>Value!$AG$7</c:f>
              <c:strCache>
                <c:ptCount val="1"/>
                <c:pt idx="0">
                  <c:v>Other Non-residential</c:v>
                </c:pt>
              </c:strCache>
            </c:strRef>
          </c:tx>
          <c:spPr>
            <a:solidFill>
              <a:schemeClr val="accent4"/>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Value!$AG$8:$AG$48</c:f>
              <c:numCache>
                <c:formatCode>_-"$"* #,##0_-;\-"$"* #,##0_-;_-"$"* "-"??_-;_-@_-</c:formatCode>
                <c:ptCount val="41"/>
                <c:pt idx="1">
                  <c:v>21.298999999999999</c:v>
                </c:pt>
                <c:pt idx="2">
                  <c:v>917.97199999999998</c:v>
                </c:pt>
                <c:pt idx="3">
                  <c:v>52.828000000000003</c:v>
                </c:pt>
                <c:pt idx="4">
                  <c:v>154.49299999999999</c:v>
                </c:pt>
                <c:pt idx="5">
                  <c:v>151.55099999999999</c:v>
                </c:pt>
                <c:pt idx="6">
                  <c:v>0</c:v>
                </c:pt>
                <c:pt idx="7">
                  <c:v>0</c:v>
                </c:pt>
                <c:pt idx="8">
                  <c:v>61.048999999999999</c:v>
                </c:pt>
                <c:pt idx="9">
                  <c:v>28.774999999999999</c:v>
                </c:pt>
                <c:pt idx="10">
                  <c:v>62.021999999999998</c:v>
                </c:pt>
                <c:pt idx="11">
                  <c:v>22.302</c:v>
                </c:pt>
                <c:pt idx="12">
                  <c:v>239.61500000000001</c:v>
                </c:pt>
                <c:pt idx="13">
                  <c:v>192.67</c:v>
                </c:pt>
                <c:pt idx="14">
                  <c:v>21.452999999999999</c:v>
                </c:pt>
                <c:pt idx="15">
                  <c:v>0</c:v>
                </c:pt>
                <c:pt idx="16">
                  <c:v>0</c:v>
                </c:pt>
                <c:pt idx="17">
                  <c:v>46.552999999999997</c:v>
                </c:pt>
                <c:pt idx="18">
                  <c:v>67.683999999999997</c:v>
                </c:pt>
                <c:pt idx="19">
                  <c:v>108.18</c:v>
                </c:pt>
                <c:pt idx="20">
                  <c:v>37.414000000000001</c:v>
                </c:pt>
                <c:pt idx="21">
                  <c:v>37.889000000000003</c:v>
                </c:pt>
                <c:pt idx="22">
                  <c:v>11.861000000000001</c:v>
                </c:pt>
                <c:pt idx="23">
                  <c:v>143.12700000000001</c:v>
                </c:pt>
                <c:pt idx="24">
                  <c:v>0</c:v>
                </c:pt>
                <c:pt idx="25">
                  <c:v>0</c:v>
                </c:pt>
                <c:pt idx="26">
                  <c:v>33.518000000000001</c:v>
                </c:pt>
                <c:pt idx="27">
                  <c:v>67.686000000000007</c:v>
                </c:pt>
                <c:pt idx="28">
                  <c:v>320.83100000000002</c:v>
                </c:pt>
                <c:pt idx="29">
                  <c:v>119.29300000000001</c:v>
                </c:pt>
                <c:pt idx="30">
                  <c:v>73.448999999999998</c:v>
                </c:pt>
                <c:pt idx="31">
                  <c:v>61.404000000000003</c:v>
                </c:pt>
                <c:pt idx="32">
                  <c:v>119.113</c:v>
                </c:pt>
                <c:pt idx="33">
                  <c:v>195.31899999999999</c:v>
                </c:pt>
                <c:pt idx="34">
                  <c:v>0</c:v>
                </c:pt>
                <c:pt idx="35">
                  <c:v>0</c:v>
                </c:pt>
                <c:pt idx="36">
                  <c:v>15.504</c:v>
                </c:pt>
                <c:pt idx="37">
                  <c:v>10.859</c:v>
                </c:pt>
                <c:pt idx="38">
                  <c:v>40.134</c:v>
                </c:pt>
                <c:pt idx="39">
                  <c:v>106.15</c:v>
                </c:pt>
                <c:pt idx="40">
                  <c:v>169.54300000000001</c:v>
                </c:pt>
              </c:numCache>
            </c:numRef>
          </c:val>
        </c:ser>
        <c:dLbls>
          <c:showLegendKey val="0"/>
          <c:showVal val="0"/>
          <c:showCatName val="0"/>
          <c:showSerName val="0"/>
          <c:showPercent val="0"/>
          <c:showBubbleSize val="0"/>
        </c:dLbls>
        <c:gapWidth val="30"/>
        <c:overlap val="100"/>
        <c:axId val="208325472"/>
        <c:axId val="208326032"/>
      </c:barChart>
      <c:catAx>
        <c:axId val="208325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26032"/>
        <c:crosses val="autoZero"/>
        <c:auto val="1"/>
        <c:lblAlgn val="ctr"/>
        <c:lblOffset val="100"/>
        <c:noMultiLvlLbl val="0"/>
      </c:catAx>
      <c:valAx>
        <c:axId val="20832603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25472"/>
        <c:crosses val="autoZero"/>
        <c:crossBetween val="between"/>
      </c:valAx>
      <c:spPr>
        <a:noFill/>
        <a:ln>
          <a:noFill/>
        </a:ln>
        <a:effectLst/>
      </c:spPr>
    </c:plotArea>
    <c:legend>
      <c:legendPos val="b"/>
      <c:layout>
        <c:manualLayout>
          <c:xMode val="edge"/>
          <c:yMode val="edge"/>
          <c:x val="0.59005242022571436"/>
          <c:y val="0"/>
          <c:w val="0.40799371835842696"/>
          <c:h val="9.77121048971442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a:t>
            </a:r>
          </a:p>
          <a:p>
            <a:pPr algn="l">
              <a:defRPr/>
            </a:pPr>
            <a:r>
              <a:rPr lang="en-AU" baseline="0"/>
              <a:t>Regional Victoria</a:t>
            </a:r>
          </a:p>
          <a:p>
            <a:pPr algn="l">
              <a:defRPr/>
            </a:pPr>
            <a:r>
              <a:rPr lang="en-AU" baseline="0"/>
              <a:t>2015/16</a:t>
            </a: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105004903233252"/>
          <c:y val="0.11895595135368353"/>
          <c:w val="0.7138035029275186"/>
          <c:h val="0.86744991101283575"/>
        </c:manualLayout>
      </c:layout>
      <c:barChart>
        <c:barDir val="bar"/>
        <c:grouping val="stacked"/>
        <c:varyColors val="0"/>
        <c:ser>
          <c:idx val="0"/>
          <c:order val="0"/>
          <c:tx>
            <c:strRef>
              <c:f>Value!$AD$7</c:f>
              <c:strCache>
                <c:ptCount val="1"/>
                <c:pt idx="0">
                  <c:v>Residential</c:v>
                </c:pt>
              </c:strCache>
            </c:strRef>
          </c:tx>
          <c:spPr>
            <a:solidFill>
              <a:schemeClr val="accent1"/>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Value!$AD$49:$AD$100</c:f>
              <c:numCache>
                <c:formatCode>_-"$"* #,##0_-;\-"$"* #,##0_-;_-"$"* "-"??_-;_-@_-</c:formatCode>
                <c:ptCount val="52"/>
                <c:pt idx="0">
                  <c:v>0</c:v>
                </c:pt>
                <c:pt idx="1">
                  <c:v>251.32</c:v>
                </c:pt>
                <c:pt idx="2">
                  <c:v>259.88299999999998</c:v>
                </c:pt>
                <c:pt idx="3">
                  <c:v>828.9</c:v>
                </c:pt>
                <c:pt idx="4">
                  <c:v>98.25</c:v>
                </c:pt>
                <c:pt idx="5">
                  <c:v>43.987000000000002</c:v>
                </c:pt>
                <c:pt idx="6">
                  <c:v>110.639</c:v>
                </c:pt>
                <c:pt idx="7">
                  <c:v>97.774000000000001</c:v>
                </c:pt>
                <c:pt idx="8">
                  <c:v>46.49</c:v>
                </c:pt>
                <c:pt idx="9">
                  <c:v>64.323999999999998</c:v>
                </c:pt>
                <c:pt idx="10">
                  <c:v>106.538</c:v>
                </c:pt>
                <c:pt idx="11">
                  <c:v>0</c:v>
                </c:pt>
                <c:pt idx="12">
                  <c:v>0</c:v>
                </c:pt>
                <c:pt idx="13">
                  <c:v>143.05199999999999</c:v>
                </c:pt>
                <c:pt idx="14">
                  <c:v>169.93299999999999</c:v>
                </c:pt>
                <c:pt idx="15">
                  <c:v>61.173000000000002</c:v>
                </c:pt>
                <c:pt idx="16">
                  <c:v>125.667</c:v>
                </c:pt>
                <c:pt idx="17">
                  <c:v>105.01900000000001</c:v>
                </c:pt>
                <c:pt idx="18">
                  <c:v>40.216000000000001</c:v>
                </c:pt>
                <c:pt idx="19">
                  <c:v>25.417000000000002</c:v>
                </c:pt>
                <c:pt idx="20">
                  <c:v>55.061</c:v>
                </c:pt>
                <c:pt idx="21">
                  <c:v>168.72800000000001</c:v>
                </c:pt>
                <c:pt idx="22">
                  <c:v>0</c:v>
                </c:pt>
                <c:pt idx="23">
                  <c:v>0</c:v>
                </c:pt>
                <c:pt idx="24">
                  <c:v>27.553999999999998</c:v>
                </c:pt>
                <c:pt idx="25">
                  <c:v>12.268000000000001</c:v>
                </c:pt>
                <c:pt idx="26">
                  <c:v>16.382000000000001</c:v>
                </c:pt>
                <c:pt idx="27">
                  <c:v>3.7130000000000001</c:v>
                </c:pt>
                <c:pt idx="28">
                  <c:v>51.216000000000001</c:v>
                </c:pt>
                <c:pt idx="29">
                  <c:v>16.25</c:v>
                </c:pt>
                <c:pt idx="30">
                  <c:v>44.377000000000002</c:v>
                </c:pt>
                <c:pt idx="31">
                  <c:v>17.829999999999998</c:v>
                </c:pt>
                <c:pt idx="32">
                  <c:v>101.01</c:v>
                </c:pt>
                <c:pt idx="33">
                  <c:v>11.048</c:v>
                </c:pt>
                <c:pt idx="34">
                  <c:v>13.957000000000001</c:v>
                </c:pt>
                <c:pt idx="35">
                  <c:v>44.872</c:v>
                </c:pt>
                <c:pt idx="36">
                  <c:v>2.1800000000000002</c:v>
                </c:pt>
                <c:pt idx="37">
                  <c:v>40.063000000000002</c:v>
                </c:pt>
                <c:pt idx="38">
                  <c:v>7.5039999999999996</c:v>
                </c:pt>
                <c:pt idx="39">
                  <c:v>34.093000000000004</c:v>
                </c:pt>
                <c:pt idx="40">
                  <c:v>69.448999999999998</c:v>
                </c:pt>
                <c:pt idx="41">
                  <c:v>34.912999999999997</c:v>
                </c:pt>
                <c:pt idx="42">
                  <c:v>38.033999999999999</c:v>
                </c:pt>
                <c:pt idx="43">
                  <c:v>9.9949999999999992</c:v>
                </c:pt>
                <c:pt idx="44">
                  <c:v>14.615</c:v>
                </c:pt>
                <c:pt idx="45">
                  <c:v>13.765000000000001</c:v>
                </c:pt>
                <c:pt idx="46">
                  <c:v>23.376000000000001</c:v>
                </c:pt>
                <c:pt idx="47">
                  <c:v>25.524999999999999</c:v>
                </c:pt>
                <c:pt idx="48">
                  <c:v>5.3369999999999997</c:v>
                </c:pt>
                <c:pt idx="49">
                  <c:v>73.745000000000005</c:v>
                </c:pt>
                <c:pt idx="50">
                  <c:v>2.6059999999999999</c:v>
                </c:pt>
                <c:pt idx="51">
                  <c:v>2.3769999999999998</c:v>
                </c:pt>
              </c:numCache>
            </c:numRef>
          </c:val>
        </c:ser>
        <c:ser>
          <c:idx val="1"/>
          <c:order val="1"/>
          <c:tx>
            <c:strRef>
              <c:f>Value!$AE$7</c:f>
              <c:strCache>
                <c:ptCount val="1"/>
                <c:pt idx="0">
                  <c:v>Commercial Buildings </c:v>
                </c:pt>
              </c:strCache>
            </c:strRef>
          </c:tx>
          <c:spPr>
            <a:solidFill>
              <a:schemeClr val="accent2"/>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Value!$AE$49:$AE$100</c:f>
              <c:numCache>
                <c:formatCode>_-"$"* #,##0_-;\-"$"* #,##0_-;_-"$"* "-"??_-;_-@_-</c:formatCode>
                <c:ptCount val="52"/>
                <c:pt idx="0">
                  <c:v>0</c:v>
                </c:pt>
                <c:pt idx="1">
                  <c:v>70.876999999999995</c:v>
                </c:pt>
                <c:pt idx="2">
                  <c:v>33.247</c:v>
                </c:pt>
                <c:pt idx="3">
                  <c:v>232.249</c:v>
                </c:pt>
                <c:pt idx="4">
                  <c:v>11.207000000000001</c:v>
                </c:pt>
                <c:pt idx="5">
                  <c:v>3.7749999999999999</c:v>
                </c:pt>
                <c:pt idx="6">
                  <c:v>17.292999999999999</c:v>
                </c:pt>
                <c:pt idx="7">
                  <c:v>19.273</c:v>
                </c:pt>
                <c:pt idx="8">
                  <c:v>17.199000000000002</c:v>
                </c:pt>
                <c:pt idx="9">
                  <c:v>19.37</c:v>
                </c:pt>
                <c:pt idx="10">
                  <c:v>17.303999999999998</c:v>
                </c:pt>
                <c:pt idx="11">
                  <c:v>0</c:v>
                </c:pt>
                <c:pt idx="12">
                  <c:v>0</c:v>
                </c:pt>
                <c:pt idx="13">
                  <c:v>3.1920000000000002</c:v>
                </c:pt>
                <c:pt idx="14">
                  <c:v>8.6999999999999993</c:v>
                </c:pt>
                <c:pt idx="15">
                  <c:v>1.79</c:v>
                </c:pt>
                <c:pt idx="16">
                  <c:v>4.4610000000000003</c:v>
                </c:pt>
                <c:pt idx="17">
                  <c:v>10.188000000000001</c:v>
                </c:pt>
                <c:pt idx="18">
                  <c:v>0.59799999999999998</c:v>
                </c:pt>
                <c:pt idx="19">
                  <c:v>0.14000000000000001</c:v>
                </c:pt>
                <c:pt idx="20">
                  <c:v>0.61199999999999999</c:v>
                </c:pt>
                <c:pt idx="21">
                  <c:v>22.370999999999999</c:v>
                </c:pt>
                <c:pt idx="22">
                  <c:v>0</c:v>
                </c:pt>
                <c:pt idx="23">
                  <c:v>0</c:v>
                </c:pt>
                <c:pt idx="24">
                  <c:v>2.41</c:v>
                </c:pt>
                <c:pt idx="25">
                  <c:v>0.94899999999999995</c:v>
                </c:pt>
                <c:pt idx="26">
                  <c:v>1.466</c:v>
                </c:pt>
                <c:pt idx="27">
                  <c:v>8.5000000000000006E-2</c:v>
                </c:pt>
                <c:pt idx="28">
                  <c:v>6.3769999999999998</c:v>
                </c:pt>
                <c:pt idx="29">
                  <c:v>0.80500000000000005</c:v>
                </c:pt>
                <c:pt idx="30">
                  <c:v>9.1050000000000004</c:v>
                </c:pt>
                <c:pt idx="31">
                  <c:v>0.83099999999999996</c:v>
                </c:pt>
                <c:pt idx="32">
                  <c:v>14.679</c:v>
                </c:pt>
                <c:pt idx="33">
                  <c:v>0.58599999999999997</c:v>
                </c:pt>
                <c:pt idx="34">
                  <c:v>1.4530000000000001</c:v>
                </c:pt>
                <c:pt idx="35">
                  <c:v>7.0000000000000007E-2</c:v>
                </c:pt>
                <c:pt idx="36">
                  <c:v>5.3999999999999999E-2</c:v>
                </c:pt>
                <c:pt idx="37">
                  <c:v>0.52100000000000002</c:v>
                </c:pt>
                <c:pt idx="38">
                  <c:v>0</c:v>
                </c:pt>
                <c:pt idx="39">
                  <c:v>0.80500000000000005</c:v>
                </c:pt>
                <c:pt idx="40">
                  <c:v>12.022</c:v>
                </c:pt>
                <c:pt idx="41">
                  <c:v>1.647</c:v>
                </c:pt>
                <c:pt idx="42">
                  <c:v>0.92700000000000005</c:v>
                </c:pt>
                <c:pt idx="43">
                  <c:v>0.82499999999999996</c:v>
                </c:pt>
                <c:pt idx="44">
                  <c:v>0.13900000000000001</c:v>
                </c:pt>
                <c:pt idx="45">
                  <c:v>15.335000000000001</c:v>
                </c:pt>
                <c:pt idx="46">
                  <c:v>6.5000000000000002E-2</c:v>
                </c:pt>
                <c:pt idx="47">
                  <c:v>1.159</c:v>
                </c:pt>
                <c:pt idx="48">
                  <c:v>0.28499999999999998</c:v>
                </c:pt>
                <c:pt idx="49">
                  <c:v>2.6720000000000002</c:v>
                </c:pt>
                <c:pt idx="50">
                  <c:v>0.09</c:v>
                </c:pt>
                <c:pt idx="51">
                  <c:v>0.375</c:v>
                </c:pt>
              </c:numCache>
            </c:numRef>
          </c:val>
        </c:ser>
        <c:ser>
          <c:idx val="2"/>
          <c:order val="2"/>
          <c:tx>
            <c:strRef>
              <c:f>Value!$AF$7</c:f>
              <c:strCache>
                <c:ptCount val="1"/>
                <c:pt idx="0">
                  <c:v>Industrial Buildings</c:v>
                </c:pt>
              </c:strCache>
            </c:strRef>
          </c:tx>
          <c:spPr>
            <a:solidFill>
              <a:schemeClr val="accent3"/>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Value!$AF$49:$AF$100</c:f>
              <c:numCache>
                <c:formatCode>_-"$"* #,##0_-;\-"$"* #,##0_-;_-"$"* "-"??_-;_-@_-</c:formatCode>
                <c:ptCount val="52"/>
                <c:pt idx="0">
                  <c:v>0</c:v>
                </c:pt>
                <c:pt idx="1">
                  <c:v>14.821</c:v>
                </c:pt>
                <c:pt idx="2">
                  <c:v>11.032999999999999</c:v>
                </c:pt>
                <c:pt idx="3">
                  <c:v>32.482999999999997</c:v>
                </c:pt>
                <c:pt idx="4">
                  <c:v>14.577</c:v>
                </c:pt>
                <c:pt idx="5">
                  <c:v>1.6659999999999999</c:v>
                </c:pt>
                <c:pt idx="6">
                  <c:v>6.2119999999999997</c:v>
                </c:pt>
                <c:pt idx="7">
                  <c:v>7.2789999999999999</c:v>
                </c:pt>
                <c:pt idx="8">
                  <c:v>0.82899999999999996</c:v>
                </c:pt>
                <c:pt idx="9">
                  <c:v>1.1950000000000001</c:v>
                </c:pt>
                <c:pt idx="10">
                  <c:v>4.8710000000000004</c:v>
                </c:pt>
                <c:pt idx="11">
                  <c:v>0</c:v>
                </c:pt>
                <c:pt idx="12">
                  <c:v>0</c:v>
                </c:pt>
                <c:pt idx="13">
                  <c:v>0.82799999999999996</c:v>
                </c:pt>
                <c:pt idx="14">
                  <c:v>5.8330000000000002</c:v>
                </c:pt>
                <c:pt idx="15">
                  <c:v>6.56</c:v>
                </c:pt>
                <c:pt idx="16">
                  <c:v>4.6989999999999998</c:v>
                </c:pt>
                <c:pt idx="17">
                  <c:v>1.5029999999999999</c:v>
                </c:pt>
                <c:pt idx="18">
                  <c:v>2.0790000000000002</c:v>
                </c:pt>
                <c:pt idx="19">
                  <c:v>0</c:v>
                </c:pt>
                <c:pt idx="20">
                  <c:v>5.3890000000000002</c:v>
                </c:pt>
                <c:pt idx="21">
                  <c:v>9.6340000000000003</c:v>
                </c:pt>
                <c:pt idx="22">
                  <c:v>0</c:v>
                </c:pt>
                <c:pt idx="23">
                  <c:v>0</c:v>
                </c:pt>
                <c:pt idx="24">
                  <c:v>1.0609999999999999</c:v>
                </c:pt>
                <c:pt idx="25">
                  <c:v>1.43</c:v>
                </c:pt>
                <c:pt idx="26">
                  <c:v>0.41899999999999998</c:v>
                </c:pt>
                <c:pt idx="27">
                  <c:v>5.9180000000000001</c:v>
                </c:pt>
                <c:pt idx="28">
                  <c:v>23.244</c:v>
                </c:pt>
                <c:pt idx="29">
                  <c:v>1.105</c:v>
                </c:pt>
                <c:pt idx="30">
                  <c:v>4.1890000000000001</c:v>
                </c:pt>
                <c:pt idx="31">
                  <c:v>2.3090000000000002</c:v>
                </c:pt>
                <c:pt idx="32">
                  <c:v>1.756</c:v>
                </c:pt>
                <c:pt idx="33">
                  <c:v>1.0149999999999999</c:v>
                </c:pt>
                <c:pt idx="34">
                  <c:v>1.097</c:v>
                </c:pt>
                <c:pt idx="35">
                  <c:v>1.2749999999999999</c:v>
                </c:pt>
                <c:pt idx="36">
                  <c:v>1.1140000000000001</c:v>
                </c:pt>
                <c:pt idx="37">
                  <c:v>2.0099999999999998</c:v>
                </c:pt>
                <c:pt idx="38">
                  <c:v>10.106</c:v>
                </c:pt>
                <c:pt idx="39">
                  <c:v>1.0289999999999999</c:v>
                </c:pt>
                <c:pt idx="40">
                  <c:v>5.6349999999999998</c:v>
                </c:pt>
                <c:pt idx="41">
                  <c:v>0.872</c:v>
                </c:pt>
                <c:pt idx="42">
                  <c:v>4.3959999999999999</c:v>
                </c:pt>
                <c:pt idx="43">
                  <c:v>1.8879999999999999</c:v>
                </c:pt>
                <c:pt idx="44">
                  <c:v>0.36799999999999999</c:v>
                </c:pt>
                <c:pt idx="45">
                  <c:v>1.946</c:v>
                </c:pt>
                <c:pt idx="46">
                  <c:v>4.58</c:v>
                </c:pt>
                <c:pt idx="47">
                  <c:v>5.4770000000000003</c:v>
                </c:pt>
                <c:pt idx="48">
                  <c:v>6.6000000000000003E-2</c:v>
                </c:pt>
                <c:pt idx="49">
                  <c:v>4.7770000000000001</c:v>
                </c:pt>
                <c:pt idx="50">
                  <c:v>0.123</c:v>
                </c:pt>
                <c:pt idx="51">
                  <c:v>0.49099999999999999</c:v>
                </c:pt>
              </c:numCache>
            </c:numRef>
          </c:val>
        </c:ser>
        <c:ser>
          <c:idx val="3"/>
          <c:order val="3"/>
          <c:tx>
            <c:strRef>
              <c:f>Value!$AG$7</c:f>
              <c:strCache>
                <c:ptCount val="1"/>
                <c:pt idx="0">
                  <c:v>Other Non-residential</c:v>
                </c:pt>
              </c:strCache>
            </c:strRef>
          </c:tx>
          <c:spPr>
            <a:solidFill>
              <a:schemeClr val="accent4"/>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Value!$AG$49:$AG$100</c:f>
              <c:numCache>
                <c:formatCode>_-"$"* #,##0_-;\-"$"* #,##0_-;_-"$"* "-"??_-;_-@_-</c:formatCode>
                <c:ptCount val="52"/>
                <c:pt idx="0">
                  <c:v>0</c:v>
                </c:pt>
                <c:pt idx="1">
                  <c:v>55.322000000000003</c:v>
                </c:pt>
                <c:pt idx="2">
                  <c:v>92.736000000000004</c:v>
                </c:pt>
                <c:pt idx="3">
                  <c:v>191.67400000000001</c:v>
                </c:pt>
                <c:pt idx="4">
                  <c:v>77.715999999999994</c:v>
                </c:pt>
                <c:pt idx="5">
                  <c:v>13.526999999999999</c:v>
                </c:pt>
                <c:pt idx="6">
                  <c:v>87.165000000000006</c:v>
                </c:pt>
                <c:pt idx="7">
                  <c:v>11.801</c:v>
                </c:pt>
                <c:pt idx="8">
                  <c:v>19.337</c:v>
                </c:pt>
                <c:pt idx="9">
                  <c:v>6.7270000000000003</c:v>
                </c:pt>
                <c:pt idx="10">
                  <c:v>6.7649999999999997</c:v>
                </c:pt>
                <c:pt idx="11">
                  <c:v>0</c:v>
                </c:pt>
                <c:pt idx="12">
                  <c:v>0</c:v>
                </c:pt>
                <c:pt idx="13">
                  <c:v>3.6560000000000001</c:v>
                </c:pt>
                <c:pt idx="14">
                  <c:v>4.1500000000000004</c:v>
                </c:pt>
                <c:pt idx="15">
                  <c:v>1.6859999999999999</c:v>
                </c:pt>
                <c:pt idx="16">
                  <c:v>10.983000000000001</c:v>
                </c:pt>
                <c:pt idx="17">
                  <c:v>9.7379999999999995</c:v>
                </c:pt>
                <c:pt idx="18">
                  <c:v>2.2770000000000001</c:v>
                </c:pt>
                <c:pt idx="19">
                  <c:v>0.496</c:v>
                </c:pt>
                <c:pt idx="20">
                  <c:v>7.5910000000000002</c:v>
                </c:pt>
                <c:pt idx="21">
                  <c:v>66.239999999999995</c:v>
                </c:pt>
                <c:pt idx="22">
                  <c:v>0</c:v>
                </c:pt>
                <c:pt idx="23">
                  <c:v>0</c:v>
                </c:pt>
                <c:pt idx="24">
                  <c:v>4.17</c:v>
                </c:pt>
                <c:pt idx="25">
                  <c:v>2.1760000000000002</c:v>
                </c:pt>
                <c:pt idx="26">
                  <c:v>0.14000000000000001</c:v>
                </c:pt>
                <c:pt idx="27">
                  <c:v>0.84699999999999998</c:v>
                </c:pt>
                <c:pt idx="28">
                  <c:v>17.346</c:v>
                </c:pt>
                <c:pt idx="29">
                  <c:v>4.242</c:v>
                </c:pt>
                <c:pt idx="30">
                  <c:v>6.9009999999999998</c:v>
                </c:pt>
                <c:pt idx="31">
                  <c:v>5.7690000000000001</c:v>
                </c:pt>
                <c:pt idx="32">
                  <c:v>10.128</c:v>
                </c:pt>
                <c:pt idx="33">
                  <c:v>0.81100000000000005</c:v>
                </c:pt>
                <c:pt idx="34">
                  <c:v>5.1289999999999996</c:v>
                </c:pt>
                <c:pt idx="35">
                  <c:v>3.9750000000000001</c:v>
                </c:pt>
                <c:pt idx="36">
                  <c:v>2.1309999999999998</c:v>
                </c:pt>
                <c:pt idx="37">
                  <c:v>1.272</c:v>
                </c:pt>
                <c:pt idx="38">
                  <c:v>0.82599999999999996</c:v>
                </c:pt>
                <c:pt idx="39">
                  <c:v>0.66500000000000004</c:v>
                </c:pt>
                <c:pt idx="40">
                  <c:v>7.4450000000000003</c:v>
                </c:pt>
                <c:pt idx="41">
                  <c:v>12.993</c:v>
                </c:pt>
                <c:pt idx="42">
                  <c:v>5.5549999999999997</c:v>
                </c:pt>
                <c:pt idx="43">
                  <c:v>1.401</c:v>
                </c:pt>
                <c:pt idx="44">
                  <c:v>1.587</c:v>
                </c:pt>
                <c:pt idx="45">
                  <c:v>0.56299999999999994</c:v>
                </c:pt>
                <c:pt idx="46">
                  <c:v>16.247</c:v>
                </c:pt>
                <c:pt idx="47">
                  <c:v>1.8129999999999999</c:v>
                </c:pt>
                <c:pt idx="48">
                  <c:v>0.23400000000000001</c:v>
                </c:pt>
                <c:pt idx="49">
                  <c:v>46.991</c:v>
                </c:pt>
                <c:pt idx="50">
                  <c:v>0.13800000000000001</c:v>
                </c:pt>
                <c:pt idx="51">
                  <c:v>1.55</c:v>
                </c:pt>
              </c:numCache>
            </c:numRef>
          </c:val>
        </c:ser>
        <c:dLbls>
          <c:showLegendKey val="0"/>
          <c:showVal val="0"/>
          <c:showCatName val="0"/>
          <c:showSerName val="0"/>
          <c:showPercent val="0"/>
          <c:showBubbleSize val="0"/>
        </c:dLbls>
        <c:gapWidth val="30"/>
        <c:overlap val="100"/>
        <c:axId val="208329952"/>
        <c:axId val="208908080"/>
      </c:barChart>
      <c:catAx>
        <c:axId val="208329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08080"/>
        <c:crosses val="autoZero"/>
        <c:auto val="1"/>
        <c:lblAlgn val="ctr"/>
        <c:lblOffset val="100"/>
        <c:noMultiLvlLbl val="0"/>
      </c:catAx>
      <c:valAx>
        <c:axId val="2089080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29952"/>
        <c:crosses val="autoZero"/>
        <c:crossBetween val="between"/>
      </c:valAx>
      <c:spPr>
        <a:noFill/>
        <a:ln>
          <a:noFill/>
        </a:ln>
        <a:effectLst/>
      </c:spPr>
    </c:plotArea>
    <c:legend>
      <c:legendPos val="b"/>
      <c:layout>
        <c:manualLayout>
          <c:xMode val="edge"/>
          <c:yMode val="edge"/>
          <c:x val="0.59005242022571436"/>
          <c:y val="0"/>
          <c:w val="0.40799371835842696"/>
          <c:h val="6.63193695394240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Commerical </a:t>
            </a:r>
          </a:p>
          <a:p>
            <a:pPr algn="l">
              <a:defRPr/>
            </a:pPr>
            <a:r>
              <a:rPr lang="en-AU" baseline="0"/>
              <a:t>Metropolitan Melbourne </a:t>
            </a:r>
          </a:p>
          <a:p>
            <a:pPr algn="l">
              <a:defRPr/>
            </a:pPr>
            <a:r>
              <a:rPr lang="en-AU" baseline="0"/>
              <a:t>2015/16</a:t>
            </a: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6076970747246339"/>
          <c:w val="0.73539170574389501"/>
          <c:h val="0.8256362586086996"/>
        </c:manualLayout>
      </c:layout>
      <c:barChart>
        <c:barDir val="bar"/>
        <c:grouping val="stacked"/>
        <c:varyColors val="0"/>
        <c:ser>
          <c:idx val="0"/>
          <c:order val="0"/>
          <c:tx>
            <c:strRef>
              <c:f>Value!$AS$7</c:f>
              <c:strCache>
                <c:ptCount val="1"/>
                <c:pt idx="0">
                  <c:v>Retail and wholesale trade buildings</c:v>
                </c:pt>
              </c:strCache>
            </c:strRef>
          </c:tx>
          <c:spPr>
            <a:solidFill>
              <a:schemeClr val="accent2"/>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Value!$AS$8:$AS$48</c:f>
              <c:numCache>
                <c:formatCode>_-"$"* #,##0_-;\-"$"* #,##0_-;_-"$"* "-"??_-;_-@_-</c:formatCode>
                <c:ptCount val="41"/>
                <c:pt idx="1">
                  <c:v>23.875</c:v>
                </c:pt>
                <c:pt idx="2">
                  <c:v>158.685</c:v>
                </c:pt>
                <c:pt idx="3">
                  <c:v>25.3</c:v>
                </c:pt>
                <c:pt idx="4">
                  <c:v>29.276</c:v>
                </c:pt>
                <c:pt idx="5">
                  <c:v>27.411000000000001</c:v>
                </c:pt>
                <c:pt idx="6">
                  <c:v>0</c:v>
                </c:pt>
                <c:pt idx="7">
                  <c:v>0</c:v>
                </c:pt>
                <c:pt idx="8">
                  <c:v>26.452000000000002</c:v>
                </c:pt>
                <c:pt idx="9">
                  <c:v>24.224</c:v>
                </c:pt>
                <c:pt idx="10">
                  <c:v>47.96</c:v>
                </c:pt>
                <c:pt idx="11">
                  <c:v>57.271999999999998</c:v>
                </c:pt>
                <c:pt idx="12">
                  <c:v>26.661000000000001</c:v>
                </c:pt>
                <c:pt idx="13">
                  <c:v>19.081</c:v>
                </c:pt>
                <c:pt idx="14">
                  <c:v>13.081</c:v>
                </c:pt>
                <c:pt idx="15">
                  <c:v>0</c:v>
                </c:pt>
                <c:pt idx="16">
                  <c:v>0</c:v>
                </c:pt>
                <c:pt idx="17">
                  <c:v>9.08</c:v>
                </c:pt>
                <c:pt idx="18">
                  <c:v>32.662999999999997</c:v>
                </c:pt>
                <c:pt idx="19">
                  <c:v>20.571000000000002</c:v>
                </c:pt>
                <c:pt idx="20">
                  <c:v>10.837</c:v>
                </c:pt>
                <c:pt idx="21">
                  <c:v>7.1070000000000002</c:v>
                </c:pt>
                <c:pt idx="22">
                  <c:v>4.6500000000000004</c:v>
                </c:pt>
                <c:pt idx="23">
                  <c:v>24.942</c:v>
                </c:pt>
                <c:pt idx="24">
                  <c:v>0</c:v>
                </c:pt>
                <c:pt idx="25">
                  <c:v>0</c:v>
                </c:pt>
                <c:pt idx="26">
                  <c:v>4.9370000000000003</c:v>
                </c:pt>
                <c:pt idx="27">
                  <c:v>16.326000000000001</c:v>
                </c:pt>
                <c:pt idx="28">
                  <c:v>46.472000000000001</c:v>
                </c:pt>
                <c:pt idx="29">
                  <c:v>10.196999999999999</c:v>
                </c:pt>
                <c:pt idx="30">
                  <c:v>7.7789999999999999</c:v>
                </c:pt>
                <c:pt idx="31">
                  <c:v>18.475999999999999</c:v>
                </c:pt>
                <c:pt idx="32">
                  <c:v>13.942</c:v>
                </c:pt>
                <c:pt idx="33">
                  <c:v>48.134</c:v>
                </c:pt>
                <c:pt idx="34">
                  <c:v>0</c:v>
                </c:pt>
                <c:pt idx="35">
                  <c:v>0</c:v>
                </c:pt>
                <c:pt idx="36">
                  <c:v>41.584000000000003</c:v>
                </c:pt>
                <c:pt idx="37">
                  <c:v>6.1349999999999998</c:v>
                </c:pt>
                <c:pt idx="38">
                  <c:v>11.464</c:v>
                </c:pt>
                <c:pt idx="39">
                  <c:v>19.937999999999999</c:v>
                </c:pt>
                <c:pt idx="40">
                  <c:v>67.846999999999994</c:v>
                </c:pt>
              </c:numCache>
            </c:numRef>
          </c:val>
        </c:ser>
        <c:ser>
          <c:idx val="1"/>
          <c:order val="1"/>
          <c:tx>
            <c:strRef>
              <c:f>Value!$AT$7</c:f>
              <c:strCache>
                <c:ptCount val="1"/>
                <c:pt idx="0">
                  <c:v>Transport buildings</c:v>
                </c:pt>
              </c:strCache>
            </c:strRef>
          </c:tx>
          <c:spPr>
            <a:solidFill>
              <a:schemeClr val="accent4"/>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Value!$AT$8:$AT$48</c:f>
              <c:numCache>
                <c:formatCode>_-"$"* #,##0_-;\-"$"* #,##0_-;_-"$"* "-"??_-;_-@_-</c:formatCode>
                <c:ptCount val="41"/>
                <c:pt idx="1">
                  <c:v>9.15</c:v>
                </c:pt>
                <c:pt idx="2">
                  <c:v>1.0649999999999999</c:v>
                </c:pt>
                <c:pt idx="3">
                  <c:v>0</c:v>
                </c:pt>
                <c:pt idx="4">
                  <c:v>9.08</c:v>
                </c:pt>
                <c:pt idx="5">
                  <c:v>5.4710000000000001</c:v>
                </c:pt>
                <c:pt idx="6">
                  <c:v>0</c:v>
                </c:pt>
                <c:pt idx="7">
                  <c:v>0</c:v>
                </c:pt>
                <c:pt idx="8">
                  <c:v>0</c:v>
                </c:pt>
                <c:pt idx="9">
                  <c:v>8.31</c:v>
                </c:pt>
                <c:pt idx="10">
                  <c:v>3.3</c:v>
                </c:pt>
                <c:pt idx="11">
                  <c:v>0.08</c:v>
                </c:pt>
                <c:pt idx="12">
                  <c:v>0.15</c:v>
                </c:pt>
                <c:pt idx="13">
                  <c:v>26.268000000000001</c:v>
                </c:pt>
                <c:pt idx="14">
                  <c:v>0</c:v>
                </c:pt>
                <c:pt idx="15">
                  <c:v>0</c:v>
                </c:pt>
                <c:pt idx="16">
                  <c:v>0</c:v>
                </c:pt>
                <c:pt idx="17">
                  <c:v>0.12</c:v>
                </c:pt>
                <c:pt idx="18">
                  <c:v>5.8000000000000003E-2</c:v>
                </c:pt>
                <c:pt idx="19">
                  <c:v>26.821000000000002</c:v>
                </c:pt>
                <c:pt idx="20">
                  <c:v>0</c:v>
                </c:pt>
                <c:pt idx="21">
                  <c:v>5.8000000000000003E-2</c:v>
                </c:pt>
                <c:pt idx="22">
                  <c:v>0</c:v>
                </c:pt>
                <c:pt idx="23">
                  <c:v>4.7619999999999996</c:v>
                </c:pt>
                <c:pt idx="24">
                  <c:v>0</c:v>
                </c:pt>
                <c:pt idx="25">
                  <c:v>0</c:v>
                </c:pt>
                <c:pt idx="26">
                  <c:v>7.0000000000000007E-2</c:v>
                </c:pt>
                <c:pt idx="27">
                  <c:v>0</c:v>
                </c:pt>
                <c:pt idx="28">
                  <c:v>1.2310000000000001</c:v>
                </c:pt>
                <c:pt idx="29">
                  <c:v>0</c:v>
                </c:pt>
                <c:pt idx="30">
                  <c:v>0</c:v>
                </c:pt>
                <c:pt idx="31">
                  <c:v>0.153</c:v>
                </c:pt>
                <c:pt idx="32">
                  <c:v>0.60199999999999998</c:v>
                </c:pt>
                <c:pt idx="33">
                  <c:v>0.35</c:v>
                </c:pt>
                <c:pt idx="34">
                  <c:v>0</c:v>
                </c:pt>
                <c:pt idx="35">
                  <c:v>0</c:v>
                </c:pt>
                <c:pt idx="36">
                  <c:v>14.103999999999999</c:v>
                </c:pt>
                <c:pt idx="37">
                  <c:v>0.15</c:v>
                </c:pt>
                <c:pt idx="38">
                  <c:v>1.6919999999999999</c:v>
                </c:pt>
                <c:pt idx="39">
                  <c:v>7.0579999999999998</c:v>
                </c:pt>
                <c:pt idx="40">
                  <c:v>0</c:v>
                </c:pt>
              </c:numCache>
            </c:numRef>
          </c:val>
        </c:ser>
        <c:ser>
          <c:idx val="2"/>
          <c:order val="2"/>
          <c:tx>
            <c:strRef>
              <c:f>Value!$AU$7</c:f>
              <c:strCache>
                <c:ptCount val="1"/>
                <c:pt idx="0">
                  <c:v>Offices</c:v>
                </c:pt>
              </c:strCache>
            </c:strRef>
          </c:tx>
          <c:spPr>
            <a:solidFill>
              <a:schemeClr val="accent6"/>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Value!$AU$8:$AU$48</c:f>
              <c:numCache>
                <c:formatCode>_-"$"* #,##0_-;\-"$"* #,##0_-;_-"$"* "-"??_-;_-@_-</c:formatCode>
                <c:ptCount val="41"/>
                <c:pt idx="1">
                  <c:v>4.63</c:v>
                </c:pt>
                <c:pt idx="2">
                  <c:v>571.99199999999996</c:v>
                </c:pt>
                <c:pt idx="3">
                  <c:v>62.067999999999998</c:v>
                </c:pt>
                <c:pt idx="4">
                  <c:v>24.722999999999999</c:v>
                </c:pt>
                <c:pt idx="5">
                  <c:v>49.463999999999999</c:v>
                </c:pt>
                <c:pt idx="6">
                  <c:v>0</c:v>
                </c:pt>
                <c:pt idx="7">
                  <c:v>0</c:v>
                </c:pt>
                <c:pt idx="8">
                  <c:v>12.087</c:v>
                </c:pt>
                <c:pt idx="9">
                  <c:v>18.902999999999999</c:v>
                </c:pt>
                <c:pt idx="10">
                  <c:v>2.028</c:v>
                </c:pt>
                <c:pt idx="11">
                  <c:v>5.8650000000000002</c:v>
                </c:pt>
                <c:pt idx="12">
                  <c:v>99.915999999999997</c:v>
                </c:pt>
                <c:pt idx="13">
                  <c:v>12.065</c:v>
                </c:pt>
                <c:pt idx="14">
                  <c:v>2.3719999999999999</c:v>
                </c:pt>
                <c:pt idx="15">
                  <c:v>0</c:v>
                </c:pt>
                <c:pt idx="16">
                  <c:v>0</c:v>
                </c:pt>
                <c:pt idx="17">
                  <c:v>18.138000000000002</c:v>
                </c:pt>
                <c:pt idx="18">
                  <c:v>7.9210000000000003</c:v>
                </c:pt>
                <c:pt idx="19">
                  <c:v>19.364999999999998</c:v>
                </c:pt>
                <c:pt idx="20">
                  <c:v>2.1120000000000001</c:v>
                </c:pt>
                <c:pt idx="21">
                  <c:v>2.0619999999999998</c:v>
                </c:pt>
                <c:pt idx="22">
                  <c:v>0.35599999999999998</c:v>
                </c:pt>
                <c:pt idx="23">
                  <c:v>19.623999999999999</c:v>
                </c:pt>
                <c:pt idx="24">
                  <c:v>0</c:v>
                </c:pt>
                <c:pt idx="25">
                  <c:v>0</c:v>
                </c:pt>
                <c:pt idx="26">
                  <c:v>3.55</c:v>
                </c:pt>
                <c:pt idx="27">
                  <c:v>9.3989999999999991</c:v>
                </c:pt>
                <c:pt idx="28">
                  <c:v>15.047000000000001</c:v>
                </c:pt>
                <c:pt idx="29">
                  <c:v>1.569</c:v>
                </c:pt>
                <c:pt idx="30">
                  <c:v>3.552</c:v>
                </c:pt>
                <c:pt idx="31">
                  <c:v>53.11</c:v>
                </c:pt>
                <c:pt idx="32">
                  <c:v>18.12</c:v>
                </c:pt>
                <c:pt idx="33">
                  <c:v>2.8879999999999999</c:v>
                </c:pt>
                <c:pt idx="34">
                  <c:v>0</c:v>
                </c:pt>
                <c:pt idx="35">
                  <c:v>0</c:v>
                </c:pt>
                <c:pt idx="36">
                  <c:v>8.1430000000000007</c:v>
                </c:pt>
                <c:pt idx="37">
                  <c:v>2.8479999999999999</c:v>
                </c:pt>
                <c:pt idx="38">
                  <c:v>4.3570000000000002</c:v>
                </c:pt>
                <c:pt idx="39">
                  <c:v>13.702</c:v>
                </c:pt>
                <c:pt idx="40">
                  <c:v>11.521000000000001</c:v>
                </c:pt>
              </c:numCache>
            </c:numRef>
          </c:val>
        </c:ser>
        <c:ser>
          <c:idx val="3"/>
          <c:order val="3"/>
          <c:tx>
            <c:strRef>
              <c:f>Value!$AV$7</c:f>
              <c:strCache>
                <c:ptCount val="1"/>
                <c:pt idx="0">
                  <c:v>Other Commercial buildings </c:v>
                </c:pt>
              </c:strCache>
            </c:strRef>
          </c:tx>
          <c:spPr>
            <a:solidFill>
              <a:schemeClr val="accent2">
                <a:lumMod val="60000"/>
              </a:schemeClr>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Value!$AV$8:$AV$48</c:f>
              <c:numCache>
                <c:formatCode>_-"$"* #,##0_-;\-"$"* #,##0_-;_-"$"* "-"??_-;_-@_-</c:formatCode>
                <c:ptCount val="41"/>
                <c:pt idx="1">
                  <c:v>0</c:v>
                </c:pt>
                <c:pt idx="2">
                  <c:v>0.33400000000000002</c:v>
                </c:pt>
                <c:pt idx="3">
                  <c:v>0.2</c:v>
                </c:pt>
                <c:pt idx="4">
                  <c:v>2.105</c:v>
                </c:pt>
                <c:pt idx="5">
                  <c:v>1.1419999999999999</c:v>
                </c:pt>
                <c:pt idx="6">
                  <c:v>0</c:v>
                </c:pt>
                <c:pt idx="7">
                  <c:v>0</c:v>
                </c:pt>
                <c:pt idx="8">
                  <c:v>0.56999999999999995</c:v>
                </c:pt>
                <c:pt idx="9">
                  <c:v>0.13800000000000001</c:v>
                </c:pt>
                <c:pt idx="10">
                  <c:v>0.33</c:v>
                </c:pt>
                <c:pt idx="11">
                  <c:v>0.248</c:v>
                </c:pt>
                <c:pt idx="12">
                  <c:v>0.2</c:v>
                </c:pt>
                <c:pt idx="13">
                  <c:v>0.52900000000000003</c:v>
                </c:pt>
                <c:pt idx="14">
                  <c:v>0</c:v>
                </c:pt>
                <c:pt idx="15">
                  <c:v>0</c:v>
                </c:pt>
                <c:pt idx="16">
                  <c:v>0</c:v>
                </c:pt>
                <c:pt idx="17">
                  <c:v>0.28999999999999998</c:v>
                </c:pt>
                <c:pt idx="18">
                  <c:v>0.88</c:v>
                </c:pt>
                <c:pt idx="19">
                  <c:v>6.25</c:v>
                </c:pt>
                <c:pt idx="20">
                  <c:v>0</c:v>
                </c:pt>
                <c:pt idx="21">
                  <c:v>3.335</c:v>
                </c:pt>
                <c:pt idx="22">
                  <c:v>0</c:v>
                </c:pt>
                <c:pt idx="23">
                  <c:v>3.081</c:v>
                </c:pt>
                <c:pt idx="24">
                  <c:v>0</c:v>
                </c:pt>
                <c:pt idx="25">
                  <c:v>0</c:v>
                </c:pt>
                <c:pt idx="26">
                  <c:v>0</c:v>
                </c:pt>
                <c:pt idx="27">
                  <c:v>3.266</c:v>
                </c:pt>
                <c:pt idx="28">
                  <c:v>2.278</c:v>
                </c:pt>
                <c:pt idx="29">
                  <c:v>0</c:v>
                </c:pt>
                <c:pt idx="30">
                  <c:v>5.5E-2</c:v>
                </c:pt>
                <c:pt idx="31">
                  <c:v>4.5309999999999997</c:v>
                </c:pt>
                <c:pt idx="32">
                  <c:v>0.14000000000000001</c:v>
                </c:pt>
                <c:pt idx="33">
                  <c:v>0</c:v>
                </c:pt>
                <c:pt idx="34">
                  <c:v>0</c:v>
                </c:pt>
                <c:pt idx="35">
                  <c:v>0</c:v>
                </c:pt>
                <c:pt idx="36">
                  <c:v>1.85</c:v>
                </c:pt>
                <c:pt idx="37">
                  <c:v>0.2</c:v>
                </c:pt>
                <c:pt idx="38">
                  <c:v>0</c:v>
                </c:pt>
                <c:pt idx="39">
                  <c:v>8.7999999999999995E-2</c:v>
                </c:pt>
                <c:pt idx="40">
                  <c:v>1.1000000000000001</c:v>
                </c:pt>
              </c:numCache>
            </c:numRef>
          </c:val>
        </c:ser>
        <c:dLbls>
          <c:showLegendKey val="0"/>
          <c:showVal val="0"/>
          <c:showCatName val="0"/>
          <c:showSerName val="0"/>
          <c:showPercent val="0"/>
          <c:showBubbleSize val="0"/>
        </c:dLbls>
        <c:gapWidth val="30"/>
        <c:overlap val="100"/>
        <c:axId val="208912000"/>
        <c:axId val="208912560"/>
      </c:barChart>
      <c:catAx>
        <c:axId val="208912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12560"/>
        <c:crosses val="autoZero"/>
        <c:auto val="1"/>
        <c:lblAlgn val="ctr"/>
        <c:lblOffset val="100"/>
        <c:noMultiLvlLbl val="0"/>
      </c:catAx>
      <c:valAx>
        <c:axId val="20891256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12000"/>
        <c:crosses val="autoZero"/>
        <c:crossBetween val="between"/>
      </c:valAx>
      <c:spPr>
        <a:noFill/>
        <a:ln>
          <a:noFill/>
        </a:ln>
        <a:effectLst/>
      </c:spPr>
    </c:plotArea>
    <c:legend>
      <c:legendPos val="b"/>
      <c:layout>
        <c:manualLayout>
          <c:xMode val="edge"/>
          <c:yMode val="edge"/>
          <c:x val="0.59005242022571436"/>
          <c:y val="0"/>
          <c:w val="0.40799371835842696"/>
          <c:h val="9.77121048971442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Commerical </a:t>
            </a:r>
          </a:p>
          <a:p>
            <a:pPr algn="l">
              <a:defRPr/>
            </a:pPr>
            <a:r>
              <a:rPr lang="en-AU" sz="1400" baseline="0"/>
              <a:t>Regional Victoria</a:t>
            </a:r>
          </a:p>
          <a:p>
            <a:pPr algn="l">
              <a:defRPr/>
            </a:pPr>
            <a:r>
              <a:rPr lang="en-AU" sz="1400" b="0" i="0" baseline="0">
                <a:effectLst/>
              </a:rPr>
              <a:t>2015/16</a:t>
            </a:r>
            <a:endParaRPr lang="en-AU" sz="1400">
              <a:effectLst/>
            </a:endParaRPr>
          </a:p>
          <a:p>
            <a:pPr algn="l">
              <a:defRPr/>
            </a:pPr>
            <a:r>
              <a:rPr lang="en-AU" sz="1000" baseline="0"/>
              <a:t>Source: ABS Building Approvals</a:t>
            </a:r>
            <a:endParaRPr lang="en-AU" sz="1000"/>
          </a:p>
        </c:rich>
      </c:tx>
      <c:layout>
        <c:manualLayout>
          <c:xMode val="edge"/>
          <c:yMode val="edge"/>
          <c:x val="1.65606914198483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79342589140146"/>
          <c:y val="0.13675435743442732"/>
          <c:w val="0.71373740770797334"/>
          <c:h val="0.84965168258866774"/>
        </c:manualLayout>
      </c:layout>
      <c:barChart>
        <c:barDir val="bar"/>
        <c:grouping val="stacked"/>
        <c:varyColors val="0"/>
        <c:ser>
          <c:idx val="0"/>
          <c:order val="0"/>
          <c:tx>
            <c:strRef>
              <c:f>Value!$AS$7</c:f>
              <c:strCache>
                <c:ptCount val="1"/>
                <c:pt idx="0">
                  <c:v>Retail and wholesale trade buildings</c:v>
                </c:pt>
              </c:strCache>
            </c:strRef>
          </c:tx>
          <c:spPr>
            <a:solidFill>
              <a:schemeClr val="accent2"/>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Value!$AS$49:$AS$100</c:f>
              <c:numCache>
                <c:formatCode>_-"$"* #,##0_-;\-"$"* #,##0_-;_-"$"* "-"??_-;_-@_-</c:formatCode>
                <c:ptCount val="52"/>
                <c:pt idx="0">
                  <c:v>0</c:v>
                </c:pt>
                <c:pt idx="1">
                  <c:v>53.691000000000003</c:v>
                </c:pt>
                <c:pt idx="2">
                  <c:v>20.577999999999999</c:v>
                </c:pt>
                <c:pt idx="3">
                  <c:v>91.713999999999999</c:v>
                </c:pt>
                <c:pt idx="4">
                  <c:v>3.3820000000000001</c:v>
                </c:pt>
                <c:pt idx="5">
                  <c:v>2.2469999999999999</c:v>
                </c:pt>
                <c:pt idx="6">
                  <c:v>11.977</c:v>
                </c:pt>
                <c:pt idx="7">
                  <c:v>8.4250000000000007</c:v>
                </c:pt>
                <c:pt idx="8">
                  <c:v>17.199000000000002</c:v>
                </c:pt>
                <c:pt idx="9">
                  <c:v>16.21</c:v>
                </c:pt>
                <c:pt idx="10">
                  <c:v>6.0810000000000004</c:v>
                </c:pt>
                <c:pt idx="11">
                  <c:v>0</c:v>
                </c:pt>
                <c:pt idx="12">
                  <c:v>0</c:v>
                </c:pt>
                <c:pt idx="13">
                  <c:v>2.4609999999999999</c:v>
                </c:pt>
                <c:pt idx="14">
                  <c:v>3.3330000000000002</c:v>
                </c:pt>
                <c:pt idx="15">
                  <c:v>0.12</c:v>
                </c:pt>
                <c:pt idx="16">
                  <c:v>3.1360000000000001</c:v>
                </c:pt>
                <c:pt idx="17">
                  <c:v>9.0129999999999999</c:v>
                </c:pt>
                <c:pt idx="18">
                  <c:v>0.52200000000000002</c:v>
                </c:pt>
                <c:pt idx="19">
                  <c:v>0.14000000000000001</c:v>
                </c:pt>
                <c:pt idx="20">
                  <c:v>0.08</c:v>
                </c:pt>
                <c:pt idx="21">
                  <c:v>22.14</c:v>
                </c:pt>
                <c:pt idx="22">
                  <c:v>0</c:v>
                </c:pt>
                <c:pt idx="23">
                  <c:v>0</c:v>
                </c:pt>
                <c:pt idx="24">
                  <c:v>1.9419999999999999</c:v>
                </c:pt>
                <c:pt idx="25">
                  <c:v>0.32300000000000001</c:v>
                </c:pt>
                <c:pt idx="26">
                  <c:v>0.47099999999999997</c:v>
                </c:pt>
                <c:pt idx="27">
                  <c:v>0</c:v>
                </c:pt>
                <c:pt idx="28">
                  <c:v>3.4260000000000002</c:v>
                </c:pt>
                <c:pt idx="29">
                  <c:v>8.5000000000000006E-2</c:v>
                </c:pt>
                <c:pt idx="30">
                  <c:v>2.496</c:v>
                </c:pt>
                <c:pt idx="31">
                  <c:v>0.58799999999999997</c:v>
                </c:pt>
                <c:pt idx="32">
                  <c:v>8.5370000000000008</c:v>
                </c:pt>
                <c:pt idx="33">
                  <c:v>0</c:v>
                </c:pt>
                <c:pt idx="34">
                  <c:v>0.68200000000000005</c:v>
                </c:pt>
                <c:pt idx="35">
                  <c:v>7.0000000000000007E-2</c:v>
                </c:pt>
                <c:pt idx="36">
                  <c:v>5.3999999999999999E-2</c:v>
                </c:pt>
                <c:pt idx="37">
                  <c:v>0.39100000000000001</c:v>
                </c:pt>
                <c:pt idx="38">
                  <c:v>0</c:v>
                </c:pt>
                <c:pt idx="39">
                  <c:v>0.1</c:v>
                </c:pt>
                <c:pt idx="40">
                  <c:v>11.616</c:v>
                </c:pt>
                <c:pt idx="41">
                  <c:v>0.40600000000000003</c:v>
                </c:pt>
                <c:pt idx="42">
                  <c:v>0.52100000000000002</c:v>
                </c:pt>
                <c:pt idx="43">
                  <c:v>0.32500000000000001</c:v>
                </c:pt>
                <c:pt idx="44">
                  <c:v>6.4000000000000001E-2</c:v>
                </c:pt>
                <c:pt idx="45">
                  <c:v>13.71</c:v>
                </c:pt>
                <c:pt idx="46">
                  <c:v>6.5000000000000002E-2</c:v>
                </c:pt>
                <c:pt idx="47">
                  <c:v>1.0660000000000001</c:v>
                </c:pt>
                <c:pt idx="48">
                  <c:v>0</c:v>
                </c:pt>
                <c:pt idx="49">
                  <c:v>1.077</c:v>
                </c:pt>
                <c:pt idx="50">
                  <c:v>0.09</c:v>
                </c:pt>
                <c:pt idx="51">
                  <c:v>0.375</c:v>
                </c:pt>
              </c:numCache>
            </c:numRef>
          </c:val>
        </c:ser>
        <c:ser>
          <c:idx val="1"/>
          <c:order val="1"/>
          <c:tx>
            <c:strRef>
              <c:f>Value!$AT$7</c:f>
              <c:strCache>
                <c:ptCount val="1"/>
                <c:pt idx="0">
                  <c:v>Transport buildings</c:v>
                </c:pt>
              </c:strCache>
            </c:strRef>
          </c:tx>
          <c:spPr>
            <a:solidFill>
              <a:schemeClr val="accent4"/>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Value!$AT$49:$AT$100</c:f>
              <c:numCache>
                <c:formatCode>_-"$"* #,##0_-;\-"$"* #,##0_-;_-"$"* "-"??_-;_-@_-</c:formatCode>
                <c:ptCount val="52"/>
                <c:pt idx="0">
                  <c:v>0</c:v>
                </c:pt>
                <c:pt idx="1">
                  <c:v>0</c:v>
                </c:pt>
                <c:pt idx="2">
                  <c:v>0.33400000000000002</c:v>
                </c:pt>
                <c:pt idx="3">
                  <c:v>3.0059999999999998</c:v>
                </c:pt>
                <c:pt idx="4">
                  <c:v>0</c:v>
                </c:pt>
                <c:pt idx="5">
                  <c:v>0</c:v>
                </c:pt>
                <c:pt idx="6">
                  <c:v>0</c:v>
                </c:pt>
                <c:pt idx="7">
                  <c:v>0</c:v>
                </c:pt>
                <c:pt idx="8">
                  <c:v>0</c:v>
                </c:pt>
                <c:pt idx="9">
                  <c:v>0</c:v>
                </c:pt>
                <c:pt idx="10">
                  <c:v>7.4039999999999999</c:v>
                </c:pt>
                <c:pt idx="11">
                  <c:v>0</c:v>
                </c:pt>
                <c:pt idx="12">
                  <c:v>0</c:v>
                </c:pt>
                <c:pt idx="13">
                  <c:v>0</c:v>
                </c:pt>
                <c:pt idx="14">
                  <c:v>0</c:v>
                </c:pt>
                <c:pt idx="15">
                  <c:v>0.70599999999999996</c:v>
                </c:pt>
                <c:pt idx="16">
                  <c:v>0</c:v>
                </c:pt>
                <c:pt idx="17">
                  <c:v>0</c:v>
                </c:pt>
                <c:pt idx="18">
                  <c:v>0</c:v>
                </c:pt>
                <c:pt idx="19">
                  <c:v>0</c:v>
                </c:pt>
                <c:pt idx="20">
                  <c:v>5.1999999999999998E-2</c:v>
                </c:pt>
                <c:pt idx="21">
                  <c:v>0</c:v>
                </c:pt>
                <c:pt idx="22">
                  <c:v>0</c:v>
                </c:pt>
                <c:pt idx="23">
                  <c:v>0</c:v>
                </c:pt>
                <c:pt idx="24">
                  <c:v>0</c:v>
                </c:pt>
                <c:pt idx="25">
                  <c:v>0</c:v>
                </c:pt>
                <c:pt idx="26">
                  <c:v>0</c:v>
                </c:pt>
                <c:pt idx="27">
                  <c:v>0</c:v>
                </c:pt>
                <c:pt idx="28">
                  <c:v>0</c:v>
                </c:pt>
                <c:pt idx="29">
                  <c:v>0</c:v>
                </c:pt>
                <c:pt idx="30">
                  <c:v>0</c:v>
                </c:pt>
                <c:pt idx="31">
                  <c:v>0.13</c:v>
                </c:pt>
                <c:pt idx="32">
                  <c:v>0</c:v>
                </c:pt>
                <c:pt idx="33">
                  <c:v>0</c:v>
                </c:pt>
                <c:pt idx="34">
                  <c:v>0</c:v>
                </c:pt>
                <c:pt idx="35">
                  <c:v>0</c:v>
                </c:pt>
                <c:pt idx="36">
                  <c:v>0</c:v>
                </c:pt>
                <c:pt idx="37">
                  <c:v>0</c:v>
                </c:pt>
                <c:pt idx="38">
                  <c:v>0</c:v>
                </c:pt>
                <c:pt idx="39">
                  <c:v>0</c:v>
                </c:pt>
                <c:pt idx="40">
                  <c:v>0</c:v>
                </c:pt>
                <c:pt idx="41">
                  <c:v>0.29699999999999999</c:v>
                </c:pt>
                <c:pt idx="42">
                  <c:v>0.156</c:v>
                </c:pt>
                <c:pt idx="43">
                  <c:v>0</c:v>
                </c:pt>
                <c:pt idx="44">
                  <c:v>0</c:v>
                </c:pt>
                <c:pt idx="45">
                  <c:v>0.27</c:v>
                </c:pt>
                <c:pt idx="46">
                  <c:v>0</c:v>
                </c:pt>
                <c:pt idx="47">
                  <c:v>0</c:v>
                </c:pt>
                <c:pt idx="48">
                  <c:v>0</c:v>
                </c:pt>
                <c:pt idx="49">
                  <c:v>0.2</c:v>
                </c:pt>
                <c:pt idx="50">
                  <c:v>0</c:v>
                </c:pt>
                <c:pt idx="51">
                  <c:v>0</c:v>
                </c:pt>
              </c:numCache>
            </c:numRef>
          </c:val>
        </c:ser>
        <c:ser>
          <c:idx val="2"/>
          <c:order val="2"/>
          <c:tx>
            <c:strRef>
              <c:f>Value!$AU$7</c:f>
              <c:strCache>
                <c:ptCount val="1"/>
                <c:pt idx="0">
                  <c:v>Offices</c:v>
                </c:pt>
              </c:strCache>
            </c:strRef>
          </c:tx>
          <c:spPr>
            <a:solidFill>
              <a:schemeClr val="accent6"/>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Value!$AU$49:$AU$100</c:f>
              <c:numCache>
                <c:formatCode>_-"$"* #,##0_-;\-"$"* #,##0_-;_-"$"* "-"??_-;_-@_-</c:formatCode>
                <c:ptCount val="52"/>
                <c:pt idx="0">
                  <c:v>0</c:v>
                </c:pt>
                <c:pt idx="1">
                  <c:v>13.31</c:v>
                </c:pt>
                <c:pt idx="2">
                  <c:v>8.5150000000000006</c:v>
                </c:pt>
                <c:pt idx="3">
                  <c:v>126.37</c:v>
                </c:pt>
                <c:pt idx="4">
                  <c:v>5.3109999999999999</c:v>
                </c:pt>
                <c:pt idx="5">
                  <c:v>1.528</c:v>
                </c:pt>
                <c:pt idx="6">
                  <c:v>4.0359999999999996</c:v>
                </c:pt>
                <c:pt idx="7">
                  <c:v>10.848000000000001</c:v>
                </c:pt>
                <c:pt idx="8">
                  <c:v>0</c:v>
                </c:pt>
                <c:pt idx="9">
                  <c:v>2.7879999999999998</c:v>
                </c:pt>
                <c:pt idx="10">
                  <c:v>3.327</c:v>
                </c:pt>
                <c:pt idx="11">
                  <c:v>0</c:v>
                </c:pt>
                <c:pt idx="12">
                  <c:v>0</c:v>
                </c:pt>
                <c:pt idx="13">
                  <c:v>0.73099999999999998</c:v>
                </c:pt>
                <c:pt idx="14">
                  <c:v>5.367</c:v>
                </c:pt>
                <c:pt idx="15">
                  <c:v>0.96399999999999997</c:v>
                </c:pt>
                <c:pt idx="16">
                  <c:v>1.075</c:v>
                </c:pt>
                <c:pt idx="17">
                  <c:v>0.32500000000000001</c:v>
                </c:pt>
                <c:pt idx="18">
                  <c:v>7.5999999999999998E-2</c:v>
                </c:pt>
                <c:pt idx="19">
                  <c:v>0</c:v>
                </c:pt>
                <c:pt idx="20">
                  <c:v>0.06</c:v>
                </c:pt>
                <c:pt idx="21">
                  <c:v>0.13100000000000001</c:v>
                </c:pt>
                <c:pt idx="22">
                  <c:v>0</c:v>
                </c:pt>
                <c:pt idx="23">
                  <c:v>0</c:v>
                </c:pt>
                <c:pt idx="24">
                  <c:v>0.46800000000000003</c:v>
                </c:pt>
                <c:pt idx="25">
                  <c:v>0.626</c:v>
                </c:pt>
                <c:pt idx="26">
                  <c:v>0.995</c:v>
                </c:pt>
                <c:pt idx="27">
                  <c:v>8.5000000000000006E-2</c:v>
                </c:pt>
                <c:pt idx="28">
                  <c:v>2.95</c:v>
                </c:pt>
                <c:pt idx="29">
                  <c:v>0.42</c:v>
                </c:pt>
                <c:pt idx="30">
                  <c:v>6.609</c:v>
                </c:pt>
                <c:pt idx="31">
                  <c:v>0.113</c:v>
                </c:pt>
                <c:pt idx="32">
                  <c:v>6.1429999999999998</c:v>
                </c:pt>
                <c:pt idx="33">
                  <c:v>0.58599999999999997</c:v>
                </c:pt>
                <c:pt idx="34">
                  <c:v>0.28100000000000003</c:v>
                </c:pt>
                <c:pt idx="35">
                  <c:v>0</c:v>
                </c:pt>
                <c:pt idx="36">
                  <c:v>0</c:v>
                </c:pt>
                <c:pt idx="37">
                  <c:v>0.13</c:v>
                </c:pt>
                <c:pt idx="38">
                  <c:v>0</c:v>
                </c:pt>
                <c:pt idx="39">
                  <c:v>0.70499999999999996</c:v>
                </c:pt>
                <c:pt idx="40">
                  <c:v>0.40600000000000003</c:v>
                </c:pt>
                <c:pt idx="41">
                  <c:v>0.08</c:v>
                </c:pt>
                <c:pt idx="42">
                  <c:v>0.25</c:v>
                </c:pt>
                <c:pt idx="43">
                  <c:v>0.5</c:v>
                </c:pt>
                <c:pt idx="44">
                  <c:v>7.4999999999999997E-2</c:v>
                </c:pt>
                <c:pt idx="45">
                  <c:v>1.0049999999999999</c:v>
                </c:pt>
                <c:pt idx="46">
                  <c:v>0</c:v>
                </c:pt>
                <c:pt idx="47">
                  <c:v>9.2999999999999999E-2</c:v>
                </c:pt>
                <c:pt idx="48">
                  <c:v>0.28499999999999998</c:v>
                </c:pt>
                <c:pt idx="49">
                  <c:v>1.395</c:v>
                </c:pt>
                <c:pt idx="50">
                  <c:v>0</c:v>
                </c:pt>
                <c:pt idx="51">
                  <c:v>0</c:v>
                </c:pt>
              </c:numCache>
            </c:numRef>
          </c:val>
        </c:ser>
        <c:ser>
          <c:idx val="3"/>
          <c:order val="3"/>
          <c:tx>
            <c:strRef>
              <c:f>Value!$AV$7</c:f>
              <c:strCache>
                <c:ptCount val="1"/>
                <c:pt idx="0">
                  <c:v>Other Commercial buildings </c:v>
                </c:pt>
              </c:strCache>
            </c:strRef>
          </c:tx>
          <c:spPr>
            <a:solidFill>
              <a:schemeClr val="accent2">
                <a:lumMod val="60000"/>
              </a:schemeClr>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Value!$AV$49:$AV$100</c:f>
              <c:numCache>
                <c:formatCode>_-"$"* #,##0_-;\-"$"* #,##0_-;_-"$"* "-"??_-;_-@_-</c:formatCode>
                <c:ptCount val="52"/>
                <c:pt idx="0">
                  <c:v>0</c:v>
                </c:pt>
                <c:pt idx="1">
                  <c:v>3.8769999999999998</c:v>
                </c:pt>
                <c:pt idx="2">
                  <c:v>3.819</c:v>
                </c:pt>
                <c:pt idx="3">
                  <c:v>11.159000000000001</c:v>
                </c:pt>
                <c:pt idx="4">
                  <c:v>2.5139999999999998</c:v>
                </c:pt>
                <c:pt idx="5">
                  <c:v>0</c:v>
                </c:pt>
                <c:pt idx="6">
                  <c:v>1.28</c:v>
                </c:pt>
                <c:pt idx="7">
                  <c:v>0</c:v>
                </c:pt>
                <c:pt idx="8">
                  <c:v>0</c:v>
                </c:pt>
                <c:pt idx="9">
                  <c:v>0.372</c:v>
                </c:pt>
                <c:pt idx="10">
                  <c:v>0.49099999999999999</c:v>
                </c:pt>
                <c:pt idx="11">
                  <c:v>0</c:v>
                </c:pt>
                <c:pt idx="12">
                  <c:v>0</c:v>
                </c:pt>
                <c:pt idx="13">
                  <c:v>0</c:v>
                </c:pt>
                <c:pt idx="14">
                  <c:v>0</c:v>
                </c:pt>
                <c:pt idx="15">
                  <c:v>0</c:v>
                </c:pt>
                <c:pt idx="16">
                  <c:v>0.25</c:v>
                </c:pt>
                <c:pt idx="17">
                  <c:v>0.85</c:v>
                </c:pt>
                <c:pt idx="18">
                  <c:v>0</c:v>
                </c:pt>
                <c:pt idx="19">
                  <c:v>0</c:v>
                </c:pt>
                <c:pt idx="20">
                  <c:v>0.41899999999999998</c:v>
                </c:pt>
                <c:pt idx="21">
                  <c:v>0.1</c:v>
                </c:pt>
                <c:pt idx="22">
                  <c:v>0</c:v>
                </c:pt>
                <c:pt idx="23">
                  <c:v>0</c:v>
                </c:pt>
                <c:pt idx="24">
                  <c:v>0</c:v>
                </c:pt>
                <c:pt idx="25">
                  <c:v>0</c:v>
                </c:pt>
                <c:pt idx="26">
                  <c:v>0</c:v>
                </c:pt>
                <c:pt idx="27">
                  <c:v>0</c:v>
                </c:pt>
                <c:pt idx="28">
                  <c:v>0</c:v>
                </c:pt>
                <c:pt idx="29">
                  <c:v>0.3</c:v>
                </c:pt>
                <c:pt idx="30">
                  <c:v>0</c:v>
                </c:pt>
                <c:pt idx="31">
                  <c:v>0</c:v>
                </c:pt>
                <c:pt idx="32">
                  <c:v>0</c:v>
                </c:pt>
                <c:pt idx="33">
                  <c:v>0</c:v>
                </c:pt>
                <c:pt idx="34">
                  <c:v>0.49</c:v>
                </c:pt>
                <c:pt idx="35">
                  <c:v>0</c:v>
                </c:pt>
                <c:pt idx="36">
                  <c:v>0</c:v>
                </c:pt>
                <c:pt idx="37">
                  <c:v>0</c:v>
                </c:pt>
                <c:pt idx="38">
                  <c:v>0</c:v>
                </c:pt>
                <c:pt idx="39">
                  <c:v>0</c:v>
                </c:pt>
                <c:pt idx="40">
                  <c:v>0</c:v>
                </c:pt>
                <c:pt idx="41">
                  <c:v>0.86399999999999999</c:v>
                </c:pt>
                <c:pt idx="42">
                  <c:v>0</c:v>
                </c:pt>
                <c:pt idx="43">
                  <c:v>0</c:v>
                </c:pt>
                <c:pt idx="44">
                  <c:v>0</c:v>
                </c:pt>
                <c:pt idx="45">
                  <c:v>0.35</c:v>
                </c:pt>
                <c:pt idx="46">
                  <c:v>0</c:v>
                </c:pt>
                <c:pt idx="47">
                  <c:v>0</c:v>
                </c:pt>
                <c:pt idx="48">
                  <c:v>0</c:v>
                </c:pt>
                <c:pt idx="49">
                  <c:v>0</c:v>
                </c:pt>
                <c:pt idx="50">
                  <c:v>0</c:v>
                </c:pt>
                <c:pt idx="51">
                  <c:v>0</c:v>
                </c:pt>
              </c:numCache>
            </c:numRef>
          </c:val>
        </c:ser>
        <c:dLbls>
          <c:showLegendKey val="0"/>
          <c:showVal val="0"/>
          <c:showCatName val="0"/>
          <c:showSerName val="0"/>
          <c:showPercent val="0"/>
          <c:showBubbleSize val="0"/>
        </c:dLbls>
        <c:gapWidth val="30"/>
        <c:overlap val="100"/>
        <c:axId val="208916480"/>
        <c:axId val="208917040"/>
      </c:barChart>
      <c:catAx>
        <c:axId val="208916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17040"/>
        <c:crosses val="autoZero"/>
        <c:auto val="1"/>
        <c:lblAlgn val="ctr"/>
        <c:lblOffset val="100"/>
        <c:noMultiLvlLbl val="0"/>
      </c:catAx>
      <c:valAx>
        <c:axId val="20891704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16480"/>
        <c:crosses val="autoZero"/>
        <c:crossBetween val="between"/>
      </c:valAx>
      <c:spPr>
        <a:noFill/>
        <a:ln>
          <a:noFill/>
        </a:ln>
        <a:effectLst/>
      </c:spPr>
    </c:plotArea>
    <c:legend>
      <c:legendPos val="b"/>
      <c:layout>
        <c:manualLayout>
          <c:xMode val="edge"/>
          <c:yMode val="edge"/>
          <c:x val="0.59005242022571436"/>
          <c:y val="0"/>
          <c:w val="0.40799371835842696"/>
          <c:h val="8.356113504679839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Industrial </a:t>
            </a:r>
          </a:p>
          <a:p>
            <a:pPr algn="l">
              <a:defRPr/>
            </a:pPr>
            <a:r>
              <a:rPr lang="en-AU" sz="1400" baseline="0"/>
              <a:t>Metropolitan Melbourne </a:t>
            </a:r>
          </a:p>
          <a:p>
            <a:pPr algn="l">
              <a:defRPr/>
            </a:pPr>
            <a:r>
              <a:rPr lang="en-AU" sz="1400" baseline="0"/>
              <a:t>2015/16</a:t>
            </a:r>
          </a:p>
          <a:p>
            <a:pPr algn="l">
              <a:defRPr/>
            </a:pPr>
            <a:r>
              <a:rPr lang="en-AU" sz="1000" baseline="0"/>
              <a:t>Source: ABS Building Approvals</a:t>
            </a:r>
            <a:endParaRPr lang="en-AU" sz="1000"/>
          </a:p>
        </c:rich>
      </c:tx>
      <c:layout>
        <c:manualLayout>
          <c:xMode val="edge"/>
          <c:yMode val="edge"/>
          <c:x val="1.6560691419848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946016163043722"/>
          <c:w val="0.73539170574389501"/>
          <c:h val="0.79180434977679071"/>
        </c:manualLayout>
      </c:layout>
      <c:barChart>
        <c:barDir val="bar"/>
        <c:grouping val="stacked"/>
        <c:varyColors val="0"/>
        <c:ser>
          <c:idx val="0"/>
          <c:order val="0"/>
          <c:tx>
            <c:strRef>
              <c:f>Value!$BH$7</c:f>
              <c:strCache>
                <c:ptCount val="1"/>
                <c:pt idx="0">
                  <c:v>Factories and other secondary production buildings</c:v>
                </c:pt>
              </c:strCache>
            </c:strRef>
          </c:tx>
          <c:spPr>
            <a:solidFill>
              <a:srgbClr val="7030A0"/>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Value!$BH$8:$BH$48</c:f>
              <c:numCache>
                <c:formatCode>_-"$"* #,##0_-;\-"$"* #,##0_-;_-"$"* "-"??_-;_-@_-</c:formatCode>
                <c:ptCount val="41"/>
                <c:pt idx="1">
                  <c:v>0.97299999999999998</c:v>
                </c:pt>
                <c:pt idx="2">
                  <c:v>2.6440000000000001</c:v>
                </c:pt>
                <c:pt idx="3">
                  <c:v>1.018</c:v>
                </c:pt>
                <c:pt idx="4">
                  <c:v>8.8999999999999996E-2</c:v>
                </c:pt>
                <c:pt idx="5">
                  <c:v>1.095</c:v>
                </c:pt>
                <c:pt idx="6">
                  <c:v>0</c:v>
                </c:pt>
                <c:pt idx="7">
                  <c:v>0</c:v>
                </c:pt>
                <c:pt idx="8">
                  <c:v>0</c:v>
                </c:pt>
                <c:pt idx="9">
                  <c:v>3.4449999999999998</c:v>
                </c:pt>
                <c:pt idx="10">
                  <c:v>0</c:v>
                </c:pt>
                <c:pt idx="11">
                  <c:v>0.108</c:v>
                </c:pt>
                <c:pt idx="12">
                  <c:v>0.755</c:v>
                </c:pt>
                <c:pt idx="13">
                  <c:v>0.08</c:v>
                </c:pt>
                <c:pt idx="14">
                  <c:v>3.4289999999999998</c:v>
                </c:pt>
                <c:pt idx="15">
                  <c:v>0</c:v>
                </c:pt>
                <c:pt idx="16">
                  <c:v>0</c:v>
                </c:pt>
                <c:pt idx="17">
                  <c:v>0.81399999999999995</c:v>
                </c:pt>
                <c:pt idx="18">
                  <c:v>1.665</c:v>
                </c:pt>
                <c:pt idx="19">
                  <c:v>94.405000000000001</c:v>
                </c:pt>
                <c:pt idx="20">
                  <c:v>0</c:v>
                </c:pt>
                <c:pt idx="21">
                  <c:v>0.14499999999999999</c:v>
                </c:pt>
                <c:pt idx="22">
                  <c:v>0</c:v>
                </c:pt>
                <c:pt idx="23">
                  <c:v>4.3579999999999997</c:v>
                </c:pt>
                <c:pt idx="24">
                  <c:v>0</c:v>
                </c:pt>
                <c:pt idx="25">
                  <c:v>0</c:v>
                </c:pt>
                <c:pt idx="26">
                  <c:v>0</c:v>
                </c:pt>
                <c:pt idx="27">
                  <c:v>0</c:v>
                </c:pt>
                <c:pt idx="28">
                  <c:v>3.3519999999999999</c:v>
                </c:pt>
                <c:pt idx="29">
                  <c:v>1.121</c:v>
                </c:pt>
                <c:pt idx="30">
                  <c:v>0</c:v>
                </c:pt>
                <c:pt idx="31">
                  <c:v>22.606999999999999</c:v>
                </c:pt>
                <c:pt idx="32">
                  <c:v>1.409</c:v>
                </c:pt>
                <c:pt idx="33">
                  <c:v>1.97</c:v>
                </c:pt>
                <c:pt idx="34">
                  <c:v>0</c:v>
                </c:pt>
                <c:pt idx="35">
                  <c:v>0</c:v>
                </c:pt>
                <c:pt idx="36">
                  <c:v>1.4910000000000001</c:v>
                </c:pt>
                <c:pt idx="37">
                  <c:v>8.6</c:v>
                </c:pt>
                <c:pt idx="38">
                  <c:v>5</c:v>
                </c:pt>
                <c:pt idx="39">
                  <c:v>0.15</c:v>
                </c:pt>
                <c:pt idx="40">
                  <c:v>4.0780000000000003</c:v>
                </c:pt>
              </c:numCache>
            </c:numRef>
          </c:val>
        </c:ser>
        <c:ser>
          <c:idx val="1"/>
          <c:order val="1"/>
          <c:tx>
            <c:strRef>
              <c:f>Value!$BI$7</c:f>
              <c:strCache>
                <c:ptCount val="1"/>
                <c:pt idx="0">
                  <c:v>Warehouses</c:v>
                </c:pt>
              </c:strCache>
            </c:strRef>
          </c:tx>
          <c:spPr>
            <a:solidFill>
              <a:schemeClr val="accent3"/>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Value!$BI$8:$BI$48</c:f>
              <c:numCache>
                <c:formatCode>_-"$"* #,##0_-;\-"$"* #,##0_-;_-"$"* "-"??_-;_-@_-</c:formatCode>
                <c:ptCount val="41"/>
                <c:pt idx="1">
                  <c:v>8.25</c:v>
                </c:pt>
                <c:pt idx="2">
                  <c:v>9.048</c:v>
                </c:pt>
                <c:pt idx="3">
                  <c:v>11.319000000000001</c:v>
                </c:pt>
                <c:pt idx="4">
                  <c:v>0</c:v>
                </c:pt>
                <c:pt idx="5">
                  <c:v>3.24</c:v>
                </c:pt>
                <c:pt idx="6">
                  <c:v>0</c:v>
                </c:pt>
                <c:pt idx="7">
                  <c:v>0</c:v>
                </c:pt>
                <c:pt idx="8">
                  <c:v>11.35</c:v>
                </c:pt>
                <c:pt idx="9">
                  <c:v>36.384999999999998</c:v>
                </c:pt>
                <c:pt idx="10">
                  <c:v>2.75</c:v>
                </c:pt>
                <c:pt idx="11">
                  <c:v>3.5369999999999999</c:v>
                </c:pt>
                <c:pt idx="12">
                  <c:v>40.119999999999997</c:v>
                </c:pt>
                <c:pt idx="13">
                  <c:v>7.4809999999999999</c:v>
                </c:pt>
                <c:pt idx="14">
                  <c:v>4.1500000000000004</c:v>
                </c:pt>
                <c:pt idx="15">
                  <c:v>0</c:v>
                </c:pt>
                <c:pt idx="16">
                  <c:v>0</c:v>
                </c:pt>
                <c:pt idx="17">
                  <c:v>7.4029999999999996</c:v>
                </c:pt>
                <c:pt idx="18">
                  <c:v>9.17</c:v>
                </c:pt>
                <c:pt idx="19">
                  <c:v>99.578000000000003</c:v>
                </c:pt>
                <c:pt idx="20">
                  <c:v>1.083</c:v>
                </c:pt>
                <c:pt idx="21">
                  <c:v>4.3460000000000001</c:v>
                </c:pt>
                <c:pt idx="22">
                  <c:v>0.624</c:v>
                </c:pt>
                <c:pt idx="23">
                  <c:v>61.848999999999997</c:v>
                </c:pt>
                <c:pt idx="24">
                  <c:v>0</c:v>
                </c:pt>
                <c:pt idx="25">
                  <c:v>0</c:v>
                </c:pt>
                <c:pt idx="26">
                  <c:v>10.135</c:v>
                </c:pt>
                <c:pt idx="27">
                  <c:v>16.332000000000001</c:v>
                </c:pt>
                <c:pt idx="28">
                  <c:v>6.944</c:v>
                </c:pt>
                <c:pt idx="29">
                  <c:v>27.821999999999999</c:v>
                </c:pt>
                <c:pt idx="30">
                  <c:v>0.16500000000000001</c:v>
                </c:pt>
                <c:pt idx="31">
                  <c:v>229.21299999999999</c:v>
                </c:pt>
                <c:pt idx="32">
                  <c:v>77.858000000000004</c:v>
                </c:pt>
                <c:pt idx="33">
                  <c:v>16.257999999999999</c:v>
                </c:pt>
                <c:pt idx="34">
                  <c:v>0</c:v>
                </c:pt>
                <c:pt idx="35">
                  <c:v>0</c:v>
                </c:pt>
                <c:pt idx="36">
                  <c:v>64.227000000000004</c:v>
                </c:pt>
                <c:pt idx="37">
                  <c:v>44.280999999999999</c:v>
                </c:pt>
                <c:pt idx="38">
                  <c:v>90.765000000000001</c:v>
                </c:pt>
                <c:pt idx="39">
                  <c:v>2.2410000000000001</c:v>
                </c:pt>
                <c:pt idx="40">
                  <c:v>162.87100000000001</c:v>
                </c:pt>
              </c:numCache>
            </c:numRef>
          </c:val>
        </c:ser>
        <c:ser>
          <c:idx val="2"/>
          <c:order val="2"/>
          <c:tx>
            <c:strRef>
              <c:f>Value!$BJ$7</c:f>
              <c:strCache>
                <c:ptCount val="1"/>
                <c:pt idx="0">
                  <c:v>Agricultural and aquacultural buildings</c:v>
                </c:pt>
              </c:strCache>
            </c:strRef>
          </c:tx>
          <c:spPr>
            <a:solidFill>
              <a:schemeClr val="accent5"/>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Value!$BJ$8:$BJ$48</c:f>
              <c:numCache>
                <c:formatCode>_-"$"* #,##0_-;\-"$"* #,##0_-;_-"$"* "-"??_-;_-@_-</c:formatCode>
                <c:ptCount val="41"/>
                <c:pt idx="1">
                  <c:v>0.48799999999999999</c:v>
                </c:pt>
                <c:pt idx="2">
                  <c:v>0</c:v>
                </c:pt>
                <c:pt idx="3">
                  <c:v>0</c:v>
                </c:pt>
                <c:pt idx="4">
                  <c:v>0</c:v>
                </c:pt>
                <c:pt idx="5">
                  <c:v>0</c:v>
                </c:pt>
                <c:pt idx="6">
                  <c:v>0</c:v>
                </c:pt>
                <c:pt idx="7">
                  <c:v>0</c:v>
                </c:pt>
                <c:pt idx="8">
                  <c:v>0</c:v>
                </c:pt>
                <c:pt idx="9">
                  <c:v>0</c:v>
                </c:pt>
                <c:pt idx="10">
                  <c:v>0.11</c:v>
                </c:pt>
                <c:pt idx="11">
                  <c:v>0</c:v>
                </c:pt>
                <c:pt idx="12">
                  <c:v>0</c:v>
                </c:pt>
                <c:pt idx="13">
                  <c:v>0</c:v>
                </c:pt>
                <c:pt idx="14">
                  <c:v>0.82499999999999996</c:v>
                </c:pt>
                <c:pt idx="15">
                  <c:v>0</c:v>
                </c:pt>
                <c:pt idx="16">
                  <c:v>0</c:v>
                </c:pt>
                <c:pt idx="17">
                  <c:v>0</c:v>
                </c:pt>
                <c:pt idx="18">
                  <c:v>0</c:v>
                </c:pt>
                <c:pt idx="19">
                  <c:v>0.748</c:v>
                </c:pt>
                <c:pt idx="20">
                  <c:v>0.35699999999999998</c:v>
                </c:pt>
                <c:pt idx="21">
                  <c:v>0</c:v>
                </c:pt>
                <c:pt idx="22">
                  <c:v>5.8000000000000003E-2</c:v>
                </c:pt>
                <c:pt idx="23">
                  <c:v>0.51</c:v>
                </c:pt>
                <c:pt idx="24">
                  <c:v>0</c:v>
                </c:pt>
                <c:pt idx="25">
                  <c:v>0</c:v>
                </c:pt>
                <c:pt idx="26">
                  <c:v>0</c:v>
                </c:pt>
                <c:pt idx="27">
                  <c:v>0.95899999999999996</c:v>
                </c:pt>
                <c:pt idx="28">
                  <c:v>0.44</c:v>
                </c:pt>
                <c:pt idx="29">
                  <c:v>8.5</c:v>
                </c:pt>
                <c:pt idx="30">
                  <c:v>0</c:v>
                </c:pt>
                <c:pt idx="31">
                  <c:v>2.3650000000000002</c:v>
                </c:pt>
                <c:pt idx="32">
                  <c:v>0.2</c:v>
                </c:pt>
                <c:pt idx="33">
                  <c:v>3.8879999999999999</c:v>
                </c:pt>
                <c:pt idx="34">
                  <c:v>0</c:v>
                </c:pt>
                <c:pt idx="35">
                  <c:v>0</c:v>
                </c:pt>
                <c:pt idx="36">
                  <c:v>0.374</c:v>
                </c:pt>
                <c:pt idx="37">
                  <c:v>0</c:v>
                </c:pt>
                <c:pt idx="38">
                  <c:v>9.5000000000000001E-2</c:v>
                </c:pt>
                <c:pt idx="39">
                  <c:v>0</c:v>
                </c:pt>
                <c:pt idx="40">
                  <c:v>2.2450000000000001</c:v>
                </c:pt>
              </c:numCache>
            </c:numRef>
          </c:val>
        </c:ser>
        <c:ser>
          <c:idx val="3"/>
          <c:order val="3"/>
          <c:tx>
            <c:strRef>
              <c:f>Value!$BK$7</c:f>
              <c:strCache>
                <c:ptCount val="1"/>
                <c:pt idx="0">
                  <c:v>Other industrial buildings </c:v>
                </c:pt>
              </c:strCache>
            </c:strRef>
          </c:tx>
          <c:spPr>
            <a:solidFill>
              <a:srgbClr val="CC00CC"/>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Value!$BK$8:$BK$48</c:f>
              <c:numCache>
                <c:formatCode>_-"$"* #,##0_-;\-"$"* #,##0_-;_-"$"* "-"??_-;_-@_-</c:formatCode>
                <c:ptCount val="41"/>
                <c:pt idx="1">
                  <c:v>6.0999999999999999E-2</c:v>
                </c:pt>
                <c:pt idx="2">
                  <c:v>0.60799999999999998</c:v>
                </c:pt>
                <c:pt idx="3">
                  <c:v>0</c:v>
                </c:pt>
                <c:pt idx="4">
                  <c:v>1</c:v>
                </c:pt>
                <c:pt idx="5">
                  <c:v>0.17299999999999999</c:v>
                </c:pt>
                <c:pt idx="6">
                  <c:v>0</c:v>
                </c:pt>
                <c:pt idx="7">
                  <c:v>0</c:v>
                </c:pt>
                <c:pt idx="8">
                  <c:v>0.32300000000000001</c:v>
                </c:pt>
                <c:pt idx="9">
                  <c:v>0</c:v>
                </c:pt>
                <c:pt idx="10">
                  <c:v>0.24</c:v>
                </c:pt>
                <c:pt idx="11">
                  <c:v>0.4</c:v>
                </c:pt>
                <c:pt idx="12">
                  <c:v>0</c:v>
                </c:pt>
                <c:pt idx="13">
                  <c:v>0</c:v>
                </c:pt>
                <c:pt idx="14">
                  <c:v>0</c:v>
                </c:pt>
                <c:pt idx="15">
                  <c:v>0</c:v>
                </c:pt>
                <c:pt idx="16">
                  <c:v>0</c:v>
                </c:pt>
                <c:pt idx="17">
                  <c:v>7.6999999999999999E-2</c:v>
                </c:pt>
                <c:pt idx="18">
                  <c:v>0</c:v>
                </c:pt>
                <c:pt idx="19">
                  <c:v>0.93400000000000005</c:v>
                </c:pt>
                <c:pt idx="20">
                  <c:v>0</c:v>
                </c:pt>
                <c:pt idx="21">
                  <c:v>0.15</c:v>
                </c:pt>
                <c:pt idx="22">
                  <c:v>0</c:v>
                </c:pt>
                <c:pt idx="23">
                  <c:v>9</c:v>
                </c:pt>
                <c:pt idx="24">
                  <c:v>0</c:v>
                </c:pt>
                <c:pt idx="25">
                  <c:v>0</c:v>
                </c:pt>
                <c:pt idx="26">
                  <c:v>4.3</c:v>
                </c:pt>
                <c:pt idx="27">
                  <c:v>7.0000000000000007E-2</c:v>
                </c:pt>
                <c:pt idx="28">
                  <c:v>0.1</c:v>
                </c:pt>
                <c:pt idx="29">
                  <c:v>0</c:v>
                </c:pt>
                <c:pt idx="30">
                  <c:v>0.497</c:v>
                </c:pt>
                <c:pt idx="31">
                  <c:v>0</c:v>
                </c:pt>
                <c:pt idx="32">
                  <c:v>1.5820000000000001</c:v>
                </c:pt>
                <c:pt idx="33">
                  <c:v>0.27700000000000002</c:v>
                </c:pt>
                <c:pt idx="34">
                  <c:v>0</c:v>
                </c:pt>
                <c:pt idx="35">
                  <c:v>0</c:v>
                </c:pt>
                <c:pt idx="36">
                  <c:v>3</c:v>
                </c:pt>
                <c:pt idx="37">
                  <c:v>0.5</c:v>
                </c:pt>
                <c:pt idx="38">
                  <c:v>0</c:v>
                </c:pt>
                <c:pt idx="39">
                  <c:v>0</c:v>
                </c:pt>
                <c:pt idx="40">
                  <c:v>0.374</c:v>
                </c:pt>
              </c:numCache>
            </c:numRef>
          </c:val>
        </c:ser>
        <c:dLbls>
          <c:showLegendKey val="0"/>
          <c:showVal val="0"/>
          <c:showCatName val="0"/>
          <c:showSerName val="0"/>
          <c:showPercent val="0"/>
          <c:showBubbleSize val="0"/>
        </c:dLbls>
        <c:gapWidth val="30"/>
        <c:overlap val="100"/>
        <c:axId val="208920960"/>
        <c:axId val="208921520"/>
      </c:barChart>
      <c:catAx>
        <c:axId val="208920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1520"/>
        <c:crosses val="autoZero"/>
        <c:auto val="1"/>
        <c:lblAlgn val="ctr"/>
        <c:lblOffset val="100"/>
        <c:noMultiLvlLbl val="0"/>
      </c:catAx>
      <c:valAx>
        <c:axId val="20892152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0960"/>
        <c:crosses val="autoZero"/>
        <c:crossBetween val="between"/>
      </c:valAx>
      <c:spPr>
        <a:noFill/>
        <a:ln>
          <a:noFill/>
        </a:ln>
        <a:effectLst/>
      </c:spPr>
    </c:plotArea>
    <c:legend>
      <c:legendPos val="b"/>
      <c:layout>
        <c:manualLayout>
          <c:xMode val="edge"/>
          <c:yMode val="edge"/>
          <c:x val="0.46478857893692666"/>
          <c:y val="0"/>
          <c:w val="0.53325755284306942"/>
          <c:h val="0.11551837270341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Population Growth</a:t>
            </a:r>
            <a:r>
              <a:rPr lang="en-AU" baseline="0"/>
              <a:t> of Local Government Areas  - 2015/16</a:t>
            </a:r>
          </a:p>
          <a:p>
            <a:pPr algn="l">
              <a:defRPr/>
            </a:pPr>
            <a:r>
              <a:rPr lang="en-AU" baseline="0"/>
              <a:t>Metro Melbourne</a:t>
            </a:r>
          </a:p>
          <a:p>
            <a:pPr algn="l">
              <a:defRPr/>
            </a:pPr>
            <a:r>
              <a:rPr lang="en-AU" sz="1000" baseline="0"/>
              <a:t>Source: ABS Demographics </a:t>
            </a:r>
            <a:endParaRPr lang="en-AU"/>
          </a:p>
        </c:rich>
      </c:tx>
      <c:layout>
        <c:manualLayout>
          <c:xMode val="edge"/>
          <c:yMode val="edge"/>
          <c:x val="9.1825256536810296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81464730310655"/>
          <c:y val="0.1264308057383238"/>
          <c:w val="0.75006222523526922"/>
          <c:h val="0.85781943695394236"/>
        </c:manualLayout>
      </c:layout>
      <c:barChart>
        <c:barDir val="bar"/>
        <c:grouping val="clustered"/>
        <c:varyColors val="1"/>
        <c:ser>
          <c:idx val="1"/>
          <c:order val="0"/>
          <c:tx>
            <c:strRef>
              <c:f>Sheet2!$D$1</c:f>
              <c:strCache>
                <c:ptCount val="1"/>
              </c:strCache>
            </c:strRef>
          </c:tx>
          <c:spPr>
            <a:ln>
              <a:solidFill>
                <a:schemeClr val="tx1"/>
              </a:solidFill>
            </a:ln>
          </c:spPr>
          <c:invertIfNegative val="0"/>
          <c:dPt>
            <c:idx val="0"/>
            <c:invertIfNegative val="0"/>
            <c:bubble3D val="0"/>
            <c:spPr>
              <a:solidFill>
                <a:schemeClr val="accent1"/>
              </a:solidFill>
              <a:ln>
                <a:solidFill>
                  <a:schemeClr val="tx1"/>
                </a:solidFill>
              </a:ln>
              <a:effectLst/>
            </c:spPr>
          </c:dPt>
          <c:dPt>
            <c:idx val="1"/>
            <c:invertIfNegative val="0"/>
            <c:bubble3D val="0"/>
            <c:spPr>
              <a:solidFill>
                <a:schemeClr val="accent2"/>
              </a:solidFill>
              <a:ln>
                <a:solidFill>
                  <a:schemeClr val="tx1"/>
                </a:solidFill>
              </a:ln>
              <a:effectLst/>
            </c:spPr>
          </c:dPt>
          <c:dPt>
            <c:idx val="2"/>
            <c:invertIfNegative val="0"/>
            <c:bubble3D val="0"/>
            <c:spPr>
              <a:solidFill>
                <a:schemeClr val="accent3"/>
              </a:solidFill>
              <a:ln>
                <a:solidFill>
                  <a:schemeClr val="tx1"/>
                </a:solidFill>
              </a:ln>
              <a:effectLst/>
            </c:spPr>
          </c:dPt>
          <c:dPt>
            <c:idx val="3"/>
            <c:invertIfNegative val="0"/>
            <c:bubble3D val="0"/>
            <c:spPr>
              <a:solidFill>
                <a:schemeClr val="accent4"/>
              </a:solidFill>
              <a:ln>
                <a:solidFill>
                  <a:schemeClr val="tx1"/>
                </a:solidFill>
              </a:ln>
              <a:effectLst/>
            </c:spPr>
          </c:dPt>
          <c:dPt>
            <c:idx val="4"/>
            <c:invertIfNegative val="0"/>
            <c:bubble3D val="0"/>
            <c:spPr>
              <a:solidFill>
                <a:schemeClr val="accent5"/>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1">
                  <a:lumMod val="60000"/>
                </a:schemeClr>
              </a:solidFill>
              <a:ln>
                <a:solidFill>
                  <a:schemeClr val="tx1"/>
                </a:solidFill>
              </a:ln>
              <a:effectLst/>
            </c:spPr>
          </c:dPt>
          <c:dPt>
            <c:idx val="7"/>
            <c:invertIfNegative val="0"/>
            <c:bubble3D val="0"/>
            <c:spPr>
              <a:solidFill>
                <a:schemeClr val="accent2">
                  <a:lumMod val="60000"/>
                </a:schemeClr>
              </a:solidFill>
              <a:ln>
                <a:solidFill>
                  <a:schemeClr val="tx1"/>
                </a:solidFill>
              </a:ln>
              <a:effectLst/>
            </c:spPr>
          </c:dPt>
          <c:dPt>
            <c:idx val="8"/>
            <c:invertIfNegative val="0"/>
            <c:bubble3D val="0"/>
            <c:spPr>
              <a:solidFill>
                <a:schemeClr val="accent3">
                  <a:lumMod val="60000"/>
                </a:schemeClr>
              </a:solidFill>
              <a:ln>
                <a:solidFill>
                  <a:schemeClr val="tx1"/>
                </a:solidFill>
              </a:ln>
              <a:effectLst/>
            </c:spPr>
          </c:dPt>
          <c:dPt>
            <c:idx val="9"/>
            <c:invertIfNegative val="0"/>
            <c:bubble3D val="0"/>
            <c:spPr>
              <a:solidFill>
                <a:schemeClr val="accent4">
                  <a:lumMod val="60000"/>
                </a:schemeClr>
              </a:solidFill>
              <a:ln>
                <a:solidFill>
                  <a:schemeClr val="tx1"/>
                </a:solidFill>
              </a:ln>
              <a:effectLst/>
            </c:spPr>
          </c:dPt>
          <c:dPt>
            <c:idx val="10"/>
            <c:invertIfNegative val="0"/>
            <c:bubble3D val="0"/>
            <c:spPr>
              <a:solidFill>
                <a:schemeClr val="accent5">
                  <a:lumMod val="60000"/>
                </a:schemeClr>
              </a:solidFill>
              <a:ln>
                <a:solidFill>
                  <a:schemeClr val="tx1"/>
                </a:solidFill>
              </a:ln>
              <a:effectLst/>
            </c:spPr>
          </c:dPt>
          <c:dPt>
            <c:idx val="11"/>
            <c:invertIfNegative val="0"/>
            <c:bubble3D val="0"/>
            <c:spPr>
              <a:solidFill>
                <a:schemeClr val="accent6">
                  <a:lumMod val="60000"/>
                </a:schemeClr>
              </a:solidFill>
              <a:ln>
                <a:solidFill>
                  <a:schemeClr val="tx1"/>
                </a:solidFill>
              </a:ln>
              <a:effectLst/>
            </c:spPr>
          </c:dPt>
          <c:dPt>
            <c:idx val="12"/>
            <c:invertIfNegative val="0"/>
            <c:bubble3D val="0"/>
            <c:spPr>
              <a:solidFill>
                <a:schemeClr val="accent1">
                  <a:lumMod val="80000"/>
                  <a:lumOff val="20000"/>
                </a:schemeClr>
              </a:solidFill>
              <a:ln>
                <a:solidFill>
                  <a:schemeClr val="tx1"/>
                </a:solidFill>
              </a:ln>
              <a:effectLst/>
            </c:spPr>
          </c:dPt>
          <c:dPt>
            <c:idx val="13"/>
            <c:invertIfNegative val="0"/>
            <c:bubble3D val="0"/>
            <c:spPr>
              <a:solidFill>
                <a:schemeClr val="accent2">
                  <a:lumMod val="80000"/>
                  <a:lumOff val="20000"/>
                </a:schemeClr>
              </a:solidFill>
              <a:ln>
                <a:solidFill>
                  <a:schemeClr val="tx1"/>
                </a:solidFill>
              </a:ln>
              <a:effectLst/>
            </c:spPr>
          </c:dPt>
          <c:dPt>
            <c:idx val="14"/>
            <c:invertIfNegative val="0"/>
            <c:bubble3D val="0"/>
            <c:spPr>
              <a:solidFill>
                <a:schemeClr val="accent3">
                  <a:lumMod val="80000"/>
                  <a:lumOff val="20000"/>
                </a:schemeClr>
              </a:solidFill>
              <a:ln>
                <a:solidFill>
                  <a:schemeClr val="tx1"/>
                </a:solidFill>
              </a:ln>
              <a:effectLst/>
            </c:spPr>
          </c:dPt>
          <c:dPt>
            <c:idx val="15"/>
            <c:invertIfNegative val="0"/>
            <c:bubble3D val="0"/>
            <c:spPr>
              <a:solidFill>
                <a:schemeClr val="accent4">
                  <a:lumMod val="80000"/>
                  <a:lumOff val="20000"/>
                </a:schemeClr>
              </a:solidFill>
              <a:ln>
                <a:solidFill>
                  <a:schemeClr val="tx1"/>
                </a:solidFill>
              </a:ln>
              <a:effectLst/>
            </c:spPr>
          </c:dPt>
          <c:dPt>
            <c:idx val="16"/>
            <c:invertIfNegative val="0"/>
            <c:bubble3D val="0"/>
            <c:spPr>
              <a:solidFill>
                <a:schemeClr val="accent5">
                  <a:lumMod val="80000"/>
                  <a:lumOff val="20000"/>
                </a:schemeClr>
              </a:solidFill>
              <a:ln>
                <a:solidFill>
                  <a:schemeClr val="tx1"/>
                </a:solidFill>
              </a:ln>
              <a:effectLst/>
            </c:spPr>
          </c:dPt>
          <c:dPt>
            <c:idx val="17"/>
            <c:invertIfNegative val="0"/>
            <c:bubble3D val="0"/>
            <c:spPr>
              <a:solidFill>
                <a:schemeClr val="accent6">
                  <a:lumMod val="80000"/>
                  <a:lumOff val="20000"/>
                </a:schemeClr>
              </a:solidFill>
              <a:ln>
                <a:solidFill>
                  <a:schemeClr val="tx1"/>
                </a:solidFill>
              </a:ln>
              <a:effectLst/>
            </c:spPr>
          </c:dPt>
          <c:dPt>
            <c:idx val="18"/>
            <c:invertIfNegative val="0"/>
            <c:bubble3D val="0"/>
            <c:spPr>
              <a:solidFill>
                <a:schemeClr val="accent1">
                  <a:lumMod val="80000"/>
                </a:schemeClr>
              </a:solidFill>
              <a:ln>
                <a:solidFill>
                  <a:schemeClr val="tx1"/>
                </a:solidFill>
              </a:ln>
              <a:effectLst/>
            </c:spPr>
          </c:dPt>
          <c:dPt>
            <c:idx val="19"/>
            <c:invertIfNegative val="0"/>
            <c:bubble3D val="0"/>
            <c:spPr>
              <a:solidFill>
                <a:schemeClr val="accent2">
                  <a:lumMod val="80000"/>
                </a:schemeClr>
              </a:solidFill>
              <a:ln>
                <a:solidFill>
                  <a:schemeClr val="tx1"/>
                </a:solidFill>
              </a:ln>
              <a:effectLst/>
            </c:spPr>
          </c:dPt>
          <c:dPt>
            <c:idx val="20"/>
            <c:invertIfNegative val="0"/>
            <c:bubble3D val="0"/>
            <c:spPr>
              <a:solidFill>
                <a:schemeClr val="accent3">
                  <a:lumMod val="80000"/>
                </a:schemeClr>
              </a:solidFill>
              <a:ln>
                <a:solidFill>
                  <a:schemeClr val="tx1"/>
                </a:solidFill>
              </a:ln>
              <a:effectLst/>
            </c:spPr>
          </c:dPt>
          <c:dPt>
            <c:idx val="21"/>
            <c:invertIfNegative val="0"/>
            <c:bubble3D val="0"/>
            <c:spPr>
              <a:solidFill>
                <a:schemeClr val="accent4">
                  <a:lumMod val="80000"/>
                </a:schemeClr>
              </a:solidFill>
              <a:ln>
                <a:solidFill>
                  <a:schemeClr val="tx1"/>
                </a:solidFill>
              </a:ln>
              <a:effectLst/>
            </c:spPr>
          </c:dPt>
          <c:dPt>
            <c:idx val="22"/>
            <c:invertIfNegative val="0"/>
            <c:bubble3D val="0"/>
            <c:spPr>
              <a:solidFill>
                <a:schemeClr val="accent5">
                  <a:lumMod val="80000"/>
                </a:schemeClr>
              </a:solidFill>
              <a:ln>
                <a:solidFill>
                  <a:schemeClr val="tx1"/>
                </a:solidFill>
              </a:ln>
              <a:effectLst/>
            </c:spPr>
          </c:dPt>
          <c:dPt>
            <c:idx val="23"/>
            <c:invertIfNegative val="0"/>
            <c:bubble3D val="0"/>
            <c:spPr>
              <a:solidFill>
                <a:schemeClr val="accent6">
                  <a:lumMod val="80000"/>
                </a:schemeClr>
              </a:solidFill>
              <a:ln>
                <a:solidFill>
                  <a:schemeClr val="tx1"/>
                </a:solidFill>
              </a:ln>
              <a:effectLst/>
            </c:spPr>
          </c:dPt>
          <c:dPt>
            <c:idx val="24"/>
            <c:invertIfNegative val="0"/>
            <c:bubble3D val="0"/>
            <c:spPr>
              <a:solidFill>
                <a:schemeClr val="accent1">
                  <a:lumMod val="60000"/>
                  <a:lumOff val="40000"/>
                </a:schemeClr>
              </a:solidFill>
              <a:ln>
                <a:solidFill>
                  <a:schemeClr val="tx1"/>
                </a:solidFill>
              </a:ln>
              <a:effectLst/>
            </c:spPr>
          </c:dPt>
          <c:dPt>
            <c:idx val="25"/>
            <c:invertIfNegative val="0"/>
            <c:bubble3D val="0"/>
            <c:spPr>
              <a:solidFill>
                <a:schemeClr val="accent2">
                  <a:lumMod val="60000"/>
                  <a:lumOff val="40000"/>
                </a:schemeClr>
              </a:solidFill>
              <a:ln>
                <a:solidFill>
                  <a:schemeClr val="tx1"/>
                </a:solidFill>
              </a:ln>
              <a:effectLst/>
            </c:spPr>
          </c:dPt>
          <c:dPt>
            <c:idx val="26"/>
            <c:invertIfNegative val="0"/>
            <c:bubble3D val="0"/>
            <c:spPr>
              <a:solidFill>
                <a:schemeClr val="accent3">
                  <a:lumMod val="60000"/>
                  <a:lumOff val="40000"/>
                </a:schemeClr>
              </a:solidFill>
              <a:ln>
                <a:solidFill>
                  <a:schemeClr val="tx1"/>
                </a:solidFill>
              </a:ln>
              <a:effectLst/>
            </c:spPr>
          </c:dPt>
          <c:dPt>
            <c:idx val="27"/>
            <c:invertIfNegative val="0"/>
            <c:bubble3D val="0"/>
            <c:spPr>
              <a:solidFill>
                <a:schemeClr val="accent4">
                  <a:lumMod val="60000"/>
                  <a:lumOff val="40000"/>
                </a:schemeClr>
              </a:solidFill>
              <a:ln>
                <a:solidFill>
                  <a:schemeClr val="tx1"/>
                </a:solidFill>
              </a:ln>
              <a:effectLst/>
            </c:spPr>
          </c:dPt>
          <c:dPt>
            <c:idx val="28"/>
            <c:invertIfNegative val="0"/>
            <c:bubble3D val="0"/>
            <c:spPr>
              <a:solidFill>
                <a:schemeClr val="accent5">
                  <a:lumMod val="60000"/>
                  <a:lumOff val="40000"/>
                </a:schemeClr>
              </a:solidFill>
              <a:ln>
                <a:solidFill>
                  <a:schemeClr val="tx1"/>
                </a:solidFill>
              </a:ln>
              <a:effectLst/>
            </c:spPr>
          </c:dPt>
          <c:dPt>
            <c:idx val="29"/>
            <c:invertIfNegative val="0"/>
            <c:bubble3D val="0"/>
            <c:spPr>
              <a:solidFill>
                <a:schemeClr val="accent6">
                  <a:lumMod val="60000"/>
                  <a:lumOff val="40000"/>
                </a:schemeClr>
              </a:solidFill>
              <a:ln>
                <a:solidFill>
                  <a:schemeClr val="tx1"/>
                </a:solidFill>
              </a:ln>
              <a:effectLst/>
            </c:spPr>
          </c:dPt>
          <c:dPt>
            <c:idx val="30"/>
            <c:invertIfNegative val="0"/>
            <c:bubble3D val="0"/>
            <c:spPr>
              <a:solidFill>
                <a:schemeClr val="accent1">
                  <a:lumMod val="50000"/>
                </a:schemeClr>
              </a:solidFill>
              <a:ln>
                <a:solidFill>
                  <a:schemeClr val="tx1"/>
                </a:solidFill>
              </a:ln>
              <a:effectLst/>
            </c:spPr>
          </c:dPt>
          <c:dPt>
            <c:idx val="31"/>
            <c:invertIfNegative val="0"/>
            <c:bubble3D val="0"/>
            <c:spPr>
              <a:solidFill>
                <a:schemeClr val="accent2">
                  <a:lumMod val="50000"/>
                </a:schemeClr>
              </a:solidFill>
              <a:ln>
                <a:solidFill>
                  <a:schemeClr val="tx1"/>
                </a:solidFill>
              </a:ln>
              <a:effectLst/>
            </c:spPr>
          </c:dPt>
          <c:dPt>
            <c:idx val="32"/>
            <c:invertIfNegative val="0"/>
            <c:bubble3D val="0"/>
            <c:spPr>
              <a:solidFill>
                <a:schemeClr val="accent3">
                  <a:lumMod val="50000"/>
                </a:schemeClr>
              </a:solidFill>
              <a:ln>
                <a:solidFill>
                  <a:schemeClr val="tx1"/>
                </a:solidFill>
              </a:ln>
              <a:effectLst/>
            </c:spPr>
          </c:dPt>
          <c:dPt>
            <c:idx val="33"/>
            <c:invertIfNegative val="0"/>
            <c:bubble3D val="0"/>
            <c:spPr>
              <a:solidFill>
                <a:schemeClr val="accent4">
                  <a:lumMod val="50000"/>
                </a:schemeClr>
              </a:solidFill>
              <a:ln>
                <a:solidFill>
                  <a:schemeClr val="tx1"/>
                </a:solidFill>
              </a:ln>
              <a:effectLst/>
            </c:spPr>
          </c:dPt>
          <c:dPt>
            <c:idx val="34"/>
            <c:invertIfNegative val="0"/>
            <c:bubble3D val="0"/>
            <c:spPr>
              <a:solidFill>
                <a:schemeClr val="accent5">
                  <a:lumMod val="50000"/>
                </a:schemeClr>
              </a:solidFill>
              <a:ln>
                <a:solidFill>
                  <a:schemeClr val="tx1"/>
                </a:solidFill>
              </a:ln>
              <a:effectLst/>
            </c:spPr>
          </c:dPt>
          <c:dPt>
            <c:idx val="35"/>
            <c:invertIfNegative val="0"/>
            <c:bubble3D val="0"/>
            <c:spPr>
              <a:solidFill>
                <a:schemeClr val="accent6">
                  <a:lumMod val="50000"/>
                </a:schemeClr>
              </a:solidFill>
              <a:ln>
                <a:solidFill>
                  <a:schemeClr val="tx1"/>
                </a:solidFill>
              </a:ln>
              <a:effectLst/>
            </c:spPr>
          </c:dPt>
          <c:dPt>
            <c:idx val="36"/>
            <c:invertIfNegative val="0"/>
            <c:bubble3D val="0"/>
            <c:spPr>
              <a:solidFill>
                <a:schemeClr val="accent1">
                  <a:lumMod val="70000"/>
                  <a:lumOff val="30000"/>
                </a:schemeClr>
              </a:solidFill>
              <a:ln>
                <a:solidFill>
                  <a:schemeClr val="tx1"/>
                </a:solidFill>
              </a:ln>
              <a:effectLst/>
            </c:spPr>
          </c:dPt>
          <c:dPt>
            <c:idx val="37"/>
            <c:invertIfNegative val="0"/>
            <c:bubble3D val="0"/>
            <c:spPr>
              <a:solidFill>
                <a:schemeClr val="accent2">
                  <a:lumMod val="70000"/>
                  <a:lumOff val="30000"/>
                </a:schemeClr>
              </a:solidFill>
              <a:ln>
                <a:solidFill>
                  <a:schemeClr val="tx1"/>
                </a:solidFill>
              </a:ln>
              <a:effectLst/>
            </c:spPr>
          </c:dPt>
          <c:dPt>
            <c:idx val="38"/>
            <c:invertIfNegative val="0"/>
            <c:bubble3D val="0"/>
            <c:spPr>
              <a:solidFill>
                <a:schemeClr val="accent3">
                  <a:lumMod val="70000"/>
                  <a:lumOff val="30000"/>
                </a:schemeClr>
              </a:solidFill>
              <a:ln>
                <a:solidFill>
                  <a:schemeClr val="tx1"/>
                </a:solidFill>
              </a:ln>
              <a:effectLst/>
            </c:spPr>
          </c:dPt>
          <c:dPt>
            <c:idx val="39"/>
            <c:invertIfNegative val="0"/>
            <c:bubble3D val="0"/>
            <c:spPr>
              <a:solidFill>
                <a:schemeClr val="accent4">
                  <a:lumMod val="70000"/>
                  <a:lumOff val="30000"/>
                </a:schemeClr>
              </a:solidFill>
              <a:ln>
                <a:solidFill>
                  <a:schemeClr val="tx1"/>
                </a:solidFill>
              </a:ln>
              <a:effectLst/>
            </c:spPr>
          </c:dPt>
          <c:dPt>
            <c:idx val="40"/>
            <c:invertIfNegative val="0"/>
            <c:bubble3D val="0"/>
            <c:spPr>
              <a:solidFill>
                <a:schemeClr val="accent5">
                  <a:lumMod val="70000"/>
                  <a:lumOff val="30000"/>
                </a:schemeClr>
              </a:solidFill>
              <a:ln>
                <a:solidFill>
                  <a:schemeClr val="tx1"/>
                </a:solidFill>
              </a:ln>
              <a:effectLst/>
            </c:spPr>
          </c:dPt>
          <c:dPt>
            <c:idx val="41"/>
            <c:invertIfNegative val="0"/>
            <c:bubble3D val="0"/>
            <c:spPr>
              <a:solidFill>
                <a:schemeClr val="accent6">
                  <a:lumMod val="70000"/>
                  <a:lumOff val="30000"/>
                </a:schemeClr>
              </a:solidFill>
              <a:ln>
                <a:solidFill>
                  <a:schemeClr val="tx1"/>
                </a:solidFill>
              </a:ln>
              <a:effectLst/>
            </c:spPr>
          </c:dPt>
          <c:dPt>
            <c:idx val="42"/>
            <c:invertIfNegative val="0"/>
            <c:bubble3D val="0"/>
            <c:spPr>
              <a:solidFill>
                <a:schemeClr val="accent1">
                  <a:lumMod val="70000"/>
                </a:schemeClr>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Sheet2!$D$2:$D$44</c:f>
              <c:numCache>
                <c:formatCode>_-* #,##0_-;\-* #,##0_-;_-* "-"??_-;_-@_-</c:formatCode>
                <c:ptCount val="43"/>
                <c:pt idx="1">
                  <c:v>7332</c:v>
                </c:pt>
                <c:pt idx="2">
                  <c:v>1970</c:v>
                </c:pt>
                <c:pt idx="3">
                  <c:v>2463</c:v>
                </c:pt>
                <c:pt idx="6">
                  <c:v>998</c:v>
                </c:pt>
                <c:pt idx="7">
                  <c:v>1366</c:v>
                </c:pt>
                <c:pt idx="8">
                  <c:v>1495</c:v>
                </c:pt>
                <c:pt idx="9">
                  <c:v>2709</c:v>
                </c:pt>
                <c:pt idx="10">
                  <c:v>2370</c:v>
                </c:pt>
                <c:pt idx="11">
                  <c:v>1299</c:v>
                </c:pt>
                <c:pt idx="14">
                  <c:v>1545</c:v>
                </c:pt>
                <c:pt idx="15">
                  <c:v>2079</c:v>
                </c:pt>
                <c:pt idx="16">
                  <c:v>2493</c:v>
                </c:pt>
                <c:pt idx="17">
                  <c:v>2411</c:v>
                </c:pt>
                <c:pt idx="20">
                  <c:v>1280</c:v>
                </c:pt>
                <c:pt idx="21">
                  <c:v>2658</c:v>
                </c:pt>
                <c:pt idx="22">
                  <c:v>7531</c:v>
                </c:pt>
                <c:pt idx="23">
                  <c:v>1265</c:v>
                </c:pt>
                <c:pt idx="24">
                  <c:v>3804</c:v>
                </c:pt>
                <c:pt idx="25">
                  <c:v>252</c:v>
                </c:pt>
                <c:pt idx="26">
                  <c:v>9101</c:v>
                </c:pt>
                <c:pt idx="29">
                  <c:v>5001</c:v>
                </c:pt>
                <c:pt idx="30">
                  <c:v>11124</c:v>
                </c:pt>
                <c:pt idx="31">
                  <c:v>1235</c:v>
                </c:pt>
                <c:pt idx="32">
                  <c:v>2714</c:v>
                </c:pt>
                <c:pt idx="33">
                  <c:v>2061</c:v>
                </c:pt>
                <c:pt idx="34">
                  <c:v>1626</c:v>
                </c:pt>
                <c:pt idx="37">
                  <c:v>2940</c:v>
                </c:pt>
                <c:pt idx="38">
                  <c:v>2083</c:v>
                </c:pt>
                <c:pt idx="39">
                  <c:v>1572</c:v>
                </c:pt>
                <c:pt idx="40">
                  <c:v>5816</c:v>
                </c:pt>
                <c:pt idx="41">
                  <c:v>2106</c:v>
                </c:pt>
                <c:pt idx="42">
                  <c:v>12106</c:v>
                </c:pt>
              </c:numCache>
            </c:numRef>
          </c:val>
        </c:ser>
        <c:dLbls>
          <c:showLegendKey val="0"/>
          <c:showVal val="0"/>
          <c:showCatName val="0"/>
          <c:showSerName val="0"/>
          <c:showPercent val="0"/>
          <c:showBubbleSize val="0"/>
        </c:dLbls>
        <c:gapWidth val="25"/>
        <c:axId val="201971984"/>
        <c:axId val="201972544"/>
      </c:barChart>
      <c:catAx>
        <c:axId val="20197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72544"/>
        <c:crosses val="autoZero"/>
        <c:auto val="1"/>
        <c:lblAlgn val="ctr"/>
        <c:lblOffset val="100"/>
        <c:noMultiLvlLbl val="0"/>
      </c:catAx>
      <c:valAx>
        <c:axId val="20197254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71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Industrial </a:t>
            </a:r>
          </a:p>
          <a:p>
            <a:pPr algn="l">
              <a:defRPr/>
            </a:pPr>
            <a:r>
              <a:rPr lang="en-AU" baseline="0"/>
              <a:t>Regional Victoria</a:t>
            </a:r>
          </a:p>
          <a:p>
            <a:pPr algn="l">
              <a:defRPr/>
            </a:pPr>
            <a:r>
              <a:rPr lang="en-AU" baseline="0"/>
              <a:t>2015/16 </a:t>
            </a:r>
          </a:p>
          <a:p>
            <a:pPr algn="l">
              <a:defRPr/>
            </a:pPr>
            <a:r>
              <a:rPr lang="en-AU" sz="1000" baseline="0"/>
              <a:t>Source: ABS Building Approvals</a:t>
            </a:r>
            <a:endParaRPr lang="en-AU" sz="1000"/>
          </a:p>
        </c:rich>
      </c:tx>
      <c:layout>
        <c:manualLayout>
          <c:xMode val="edge"/>
          <c:yMode val="edge"/>
          <c:x val="1.6560691419848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790022994337603"/>
          <c:y val="0.15714843120841529"/>
          <c:w val="0.73332650333206495"/>
          <c:h val="0.82925749233809054"/>
        </c:manualLayout>
      </c:layout>
      <c:barChart>
        <c:barDir val="bar"/>
        <c:grouping val="stacked"/>
        <c:varyColors val="0"/>
        <c:ser>
          <c:idx val="0"/>
          <c:order val="0"/>
          <c:tx>
            <c:strRef>
              <c:f>Value!$BH$7</c:f>
              <c:strCache>
                <c:ptCount val="1"/>
                <c:pt idx="0">
                  <c:v>Factories and other secondary production buildings</c:v>
                </c:pt>
              </c:strCache>
            </c:strRef>
          </c:tx>
          <c:spPr>
            <a:solidFill>
              <a:srgbClr val="7030A0"/>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Value!$BH$49:$BH$100</c:f>
              <c:numCache>
                <c:formatCode>_-"$"* #,##0_-;\-"$"* #,##0_-;_-"$"* "-"??_-;_-@_-</c:formatCode>
                <c:ptCount val="52"/>
                <c:pt idx="0">
                  <c:v>0</c:v>
                </c:pt>
                <c:pt idx="1">
                  <c:v>1.9279999999999999</c:v>
                </c:pt>
                <c:pt idx="2">
                  <c:v>2.7839999999999998</c:v>
                </c:pt>
                <c:pt idx="3">
                  <c:v>2.3359999999999999</c:v>
                </c:pt>
                <c:pt idx="4">
                  <c:v>3.536</c:v>
                </c:pt>
                <c:pt idx="5">
                  <c:v>0.47</c:v>
                </c:pt>
                <c:pt idx="6">
                  <c:v>1.171</c:v>
                </c:pt>
                <c:pt idx="7">
                  <c:v>0.83399999999999996</c:v>
                </c:pt>
                <c:pt idx="8">
                  <c:v>0.12</c:v>
                </c:pt>
                <c:pt idx="9">
                  <c:v>0.12</c:v>
                </c:pt>
                <c:pt idx="10">
                  <c:v>3.3780000000000001</c:v>
                </c:pt>
                <c:pt idx="11">
                  <c:v>0</c:v>
                </c:pt>
                <c:pt idx="12">
                  <c:v>0</c:v>
                </c:pt>
                <c:pt idx="13">
                  <c:v>0.4</c:v>
                </c:pt>
                <c:pt idx="14">
                  <c:v>3.86</c:v>
                </c:pt>
                <c:pt idx="15">
                  <c:v>0</c:v>
                </c:pt>
                <c:pt idx="16">
                  <c:v>0</c:v>
                </c:pt>
                <c:pt idx="17">
                  <c:v>0</c:v>
                </c:pt>
                <c:pt idx="18">
                  <c:v>0.06</c:v>
                </c:pt>
                <c:pt idx="19">
                  <c:v>0</c:v>
                </c:pt>
                <c:pt idx="20">
                  <c:v>1.298</c:v>
                </c:pt>
                <c:pt idx="21">
                  <c:v>4.085</c:v>
                </c:pt>
                <c:pt idx="22">
                  <c:v>0</c:v>
                </c:pt>
                <c:pt idx="23">
                  <c:v>0</c:v>
                </c:pt>
                <c:pt idx="24">
                  <c:v>0</c:v>
                </c:pt>
                <c:pt idx="25">
                  <c:v>0.34499999999999997</c:v>
                </c:pt>
                <c:pt idx="26">
                  <c:v>8.8999999999999996E-2</c:v>
                </c:pt>
                <c:pt idx="27">
                  <c:v>0</c:v>
                </c:pt>
                <c:pt idx="28">
                  <c:v>19.887</c:v>
                </c:pt>
                <c:pt idx="29">
                  <c:v>0.67900000000000005</c:v>
                </c:pt>
                <c:pt idx="30">
                  <c:v>1.452</c:v>
                </c:pt>
                <c:pt idx="31">
                  <c:v>0.35</c:v>
                </c:pt>
                <c:pt idx="32">
                  <c:v>0.4</c:v>
                </c:pt>
                <c:pt idx="33">
                  <c:v>0</c:v>
                </c:pt>
                <c:pt idx="34">
                  <c:v>0</c:v>
                </c:pt>
                <c:pt idx="35">
                  <c:v>0</c:v>
                </c:pt>
                <c:pt idx="36">
                  <c:v>0</c:v>
                </c:pt>
                <c:pt idx="37">
                  <c:v>0.85</c:v>
                </c:pt>
                <c:pt idx="38">
                  <c:v>6.15</c:v>
                </c:pt>
                <c:pt idx="39">
                  <c:v>0</c:v>
                </c:pt>
                <c:pt idx="40">
                  <c:v>3.6429999999999998</c:v>
                </c:pt>
                <c:pt idx="41">
                  <c:v>0</c:v>
                </c:pt>
                <c:pt idx="42">
                  <c:v>1.728</c:v>
                </c:pt>
                <c:pt idx="43">
                  <c:v>1.738</c:v>
                </c:pt>
                <c:pt idx="44">
                  <c:v>0</c:v>
                </c:pt>
                <c:pt idx="45">
                  <c:v>0</c:v>
                </c:pt>
                <c:pt idx="46">
                  <c:v>0.15</c:v>
                </c:pt>
                <c:pt idx="47">
                  <c:v>0.43</c:v>
                </c:pt>
                <c:pt idx="48">
                  <c:v>0</c:v>
                </c:pt>
                <c:pt idx="49">
                  <c:v>0.59</c:v>
                </c:pt>
                <c:pt idx="50">
                  <c:v>0</c:v>
                </c:pt>
                <c:pt idx="51">
                  <c:v>0</c:v>
                </c:pt>
              </c:numCache>
            </c:numRef>
          </c:val>
        </c:ser>
        <c:ser>
          <c:idx val="1"/>
          <c:order val="1"/>
          <c:tx>
            <c:strRef>
              <c:f>Value!$BI$7</c:f>
              <c:strCache>
                <c:ptCount val="1"/>
                <c:pt idx="0">
                  <c:v>Warehouses</c:v>
                </c:pt>
              </c:strCache>
            </c:strRef>
          </c:tx>
          <c:spPr>
            <a:solidFill>
              <a:schemeClr val="accent3"/>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Value!$BI$49:$BI$100</c:f>
              <c:numCache>
                <c:formatCode>_-"$"* #,##0_-;\-"$"* #,##0_-;_-"$"* "-"??_-;_-@_-</c:formatCode>
                <c:ptCount val="52"/>
                <c:pt idx="0">
                  <c:v>0</c:v>
                </c:pt>
                <c:pt idx="1">
                  <c:v>10.398999999999999</c:v>
                </c:pt>
                <c:pt idx="2">
                  <c:v>4.1269999999999998</c:v>
                </c:pt>
                <c:pt idx="3">
                  <c:v>20.155000000000001</c:v>
                </c:pt>
                <c:pt idx="4">
                  <c:v>5.2619999999999996</c:v>
                </c:pt>
                <c:pt idx="5">
                  <c:v>0.625</c:v>
                </c:pt>
                <c:pt idx="6">
                  <c:v>3.8090000000000002</c:v>
                </c:pt>
                <c:pt idx="7">
                  <c:v>3.2509999999999999</c:v>
                </c:pt>
                <c:pt idx="8">
                  <c:v>0.34</c:v>
                </c:pt>
                <c:pt idx="9">
                  <c:v>0.875</c:v>
                </c:pt>
                <c:pt idx="10">
                  <c:v>0.69199999999999995</c:v>
                </c:pt>
                <c:pt idx="11">
                  <c:v>0</c:v>
                </c:pt>
                <c:pt idx="12">
                  <c:v>0</c:v>
                </c:pt>
                <c:pt idx="13">
                  <c:v>0.36699999999999999</c:v>
                </c:pt>
                <c:pt idx="14">
                  <c:v>0.82499999999999996</c:v>
                </c:pt>
                <c:pt idx="15">
                  <c:v>0.20300000000000001</c:v>
                </c:pt>
                <c:pt idx="16">
                  <c:v>3.468</c:v>
                </c:pt>
                <c:pt idx="17">
                  <c:v>0.93700000000000006</c:v>
                </c:pt>
                <c:pt idx="18">
                  <c:v>0.23</c:v>
                </c:pt>
                <c:pt idx="19">
                  <c:v>0</c:v>
                </c:pt>
                <c:pt idx="20">
                  <c:v>1.6759999999999999</c:v>
                </c:pt>
                <c:pt idx="21">
                  <c:v>4.2309999999999999</c:v>
                </c:pt>
                <c:pt idx="22">
                  <c:v>0</c:v>
                </c:pt>
                <c:pt idx="23">
                  <c:v>0</c:v>
                </c:pt>
                <c:pt idx="24">
                  <c:v>0.84499999999999997</c:v>
                </c:pt>
                <c:pt idx="25">
                  <c:v>7.0000000000000007E-2</c:v>
                </c:pt>
                <c:pt idx="26">
                  <c:v>0.27</c:v>
                </c:pt>
                <c:pt idx="27">
                  <c:v>0.13100000000000001</c:v>
                </c:pt>
                <c:pt idx="28">
                  <c:v>1.532</c:v>
                </c:pt>
                <c:pt idx="29">
                  <c:v>0</c:v>
                </c:pt>
                <c:pt idx="30">
                  <c:v>0.83199999999999996</c:v>
                </c:pt>
                <c:pt idx="31">
                  <c:v>0.312</c:v>
                </c:pt>
                <c:pt idx="32">
                  <c:v>0.8</c:v>
                </c:pt>
                <c:pt idx="33">
                  <c:v>7.0000000000000007E-2</c:v>
                </c:pt>
                <c:pt idx="34">
                  <c:v>0.375</c:v>
                </c:pt>
                <c:pt idx="35">
                  <c:v>0.72499999999999998</c:v>
                </c:pt>
                <c:pt idx="36">
                  <c:v>0</c:v>
                </c:pt>
                <c:pt idx="37">
                  <c:v>0.93</c:v>
                </c:pt>
                <c:pt idx="38">
                  <c:v>0</c:v>
                </c:pt>
                <c:pt idx="39">
                  <c:v>0.67</c:v>
                </c:pt>
                <c:pt idx="40">
                  <c:v>1.427</c:v>
                </c:pt>
                <c:pt idx="41">
                  <c:v>0.49199999999999999</c:v>
                </c:pt>
                <c:pt idx="42">
                  <c:v>0.97099999999999997</c:v>
                </c:pt>
                <c:pt idx="43">
                  <c:v>0</c:v>
                </c:pt>
                <c:pt idx="44">
                  <c:v>9.5000000000000001E-2</c:v>
                </c:pt>
                <c:pt idx="45">
                  <c:v>1.5760000000000001</c:v>
                </c:pt>
                <c:pt idx="46">
                  <c:v>0.15</c:v>
                </c:pt>
                <c:pt idx="47">
                  <c:v>3.54</c:v>
                </c:pt>
                <c:pt idx="48">
                  <c:v>6.6000000000000003E-2</c:v>
                </c:pt>
                <c:pt idx="49">
                  <c:v>1.3149999999999999</c:v>
                </c:pt>
                <c:pt idx="50">
                  <c:v>0.123</c:v>
                </c:pt>
                <c:pt idx="51">
                  <c:v>0.35599999999999998</c:v>
                </c:pt>
              </c:numCache>
            </c:numRef>
          </c:val>
        </c:ser>
        <c:ser>
          <c:idx val="2"/>
          <c:order val="2"/>
          <c:tx>
            <c:strRef>
              <c:f>Value!$BJ$7</c:f>
              <c:strCache>
                <c:ptCount val="1"/>
                <c:pt idx="0">
                  <c:v>Agricultural and aquacultural buildings</c:v>
                </c:pt>
              </c:strCache>
            </c:strRef>
          </c:tx>
          <c:spPr>
            <a:solidFill>
              <a:schemeClr val="accent5"/>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Value!$BJ$49:$BJ$100</c:f>
              <c:numCache>
                <c:formatCode>_-"$"* #,##0_-;\-"$"* #,##0_-;_-"$"* "-"??_-;_-@_-</c:formatCode>
                <c:ptCount val="52"/>
                <c:pt idx="0">
                  <c:v>0</c:v>
                </c:pt>
                <c:pt idx="1">
                  <c:v>1.8089999999999999</c:v>
                </c:pt>
                <c:pt idx="2">
                  <c:v>3.6219999999999999</c:v>
                </c:pt>
                <c:pt idx="3">
                  <c:v>2.6</c:v>
                </c:pt>
                <c:pt idx="4">
                  <c:v>4.9249999999999998</c:v>
                </c:pt>
                <c:pt idx="5">
                  <c:v>0.441</c:v>
                </c:pt>
                <c:pt idx="6">
                  <c:v>0</c:v>
                </c:pt>
                <c:pt idx="7">
                  <c:v>2.1440000000000001</c:v>
                </c:pt>
                <c:pt idx="8">
                  <c:v>0.312</c:v>
                </c:pt>
                <c:pt idx="9">
                  <c:v>0.2</c:v>
                </c:pt>
                <c:pt idx="10">
                  <c:v>0</c:v>
                </c:pt>
                <c:pt idx="11">
                  <c:v>0</c:v>
                </c:pt>
                <c:pt idx="12">
                  <c:v>0</c:v>
                </c:pt>
                <c:pt idx="13">
                  <c:v>6.0999999999999999E-2</c:v>
                </c:pt>
                <c:pt idx="14">
                  <c:v>1.0469999999999999</c:v>
                </c:pt>
                <c:pt idx="15">
                  <c:v>6.2759999999999998</c:v>
                </c:pt>
                <c:pt idx="16">
                  <c:v>1.101</c:v>
                </c:pt>
                <c:pt idx="17">
                  <c:v>0.56499999999999995</c:v>
                </c:pt>
                <c:pt idx="18">
                  <c:v>0.68799999999999994</c:v>
                </c:pt>
                <c:pt idx="19">
                  <c:v>0</c:v>
                </c:pt>
                <c:pt idx="20">
                  <c:v>2.2440000000000002</c:v>
                </c:pt>
                <c:pt idx="21">
                  <c:v>1.3180000000000001</c:v>
                </c:pt>
                <c:pt idx="22">
                  <c:v>0</c:v>
                </c:pt>
                <c:pt idx="23">
                  <c:v>0</c:v>
                </c:pt>
                <c:pt idx="24">
                  <c:v>0.126</c:v>
                </c:pt>
                <c:pt idx="25">
                  <c:v>0.19700000000000001</c:v>
                </c:pt>
                <c:pt idx="26">
                  <c:v>0.06</c:v>
                </c:pt>
                <c:pt idx="27">
                  <c:v>5.7869999999999999</c:v>
                </c:pt>
                <c:pt idx="28">
                  <c:v>1.825</c:v>
                </c:pt>
                <c:pt idx="29">
                  <c:v>0.27300000000000002</c:v>
                </c:pt>
                <c:pt idx="30">
                  <c:v>1.4570000000000001</c:v>
                </c:pt>
                <c:pt idx="31">
                  <c:v>1.3979999999999999</c:v>
                </c:pt>
                <c:pt idx="32">
                  <c:v>0.504</c:v>
                </c:pt>
                <c:pt idx="33">
                  <c:v>0.88300000000000001</c:v>
                </c:pt>
                <c:pt idx="34">
                  <c:v>0.64700000000000002</c:v>
                </c:pt>
                <c:pt idx="35">
                  <c:v>0.55100000000000005</c:v>
                </c:pt>
                <c:pt idx="36">
                  <c:v>0.98299999999999998</c:v>
                </c:pt>
                <c:pt idx="37">
                  <c:v>0</c:v>
                </c:pt>
                <c:pt idx="38">
                  <c:v>2.8319999999999999</c:v>
                </c:pt>
                <c:pt idx="39">
                  <c:v>0.35899999999999999</c:v>
                </c:pt>
                <c:pt idx="40">
                  <c:v>0.56499999999999995</c:v>
                </c:pt>
                <c:pt idx="41">
                  <c:v>0.38</c:v>
                </c:pt>
                <c:pt idx="42">
                  <c:v>1.5129999999999999</c:v>
                </c:pt>
                <c:pt idx="43">
                  <c:v>0.15</c:v>
                </c:pt>
                <c:pt idx="44">
                  <c:v>0.12</c:v>
                </c:pt>
                <c:pt idx="45">
                  <c:v>0.37</c:v>
                </c:pt>
                <c:pt idx="46">
                  <c:v>4.22</c:v>
                </c:pt>
                <c:pt idx="47">
                  <c:v>0.88300000000000001</c:v>
                </c:pt>
                <c:pt idx="48">
                  <c:v>0</c:v>
                </c:pt>
                <c:pt idx="49">
                  <c:v>1.55</c:v>
                </c:pt>
                <c:pt idx="50">
                  <c:v>0</c:v>
                </c:pt>
                <c:pt idx="51">
                  <c:v>6.8000000000000005E-2</c:v>
                </c:pt>
              </c:numCache>
            </c:numRef>
          </c:val>
        </c:ser>
        <c:ser>
          <c:idx val="3"/>
          <c:order val="3"/>
          <c:tx>
            <c:strRef>
              <c:f>Value!$BK$7</c:f>
              <c:strCache>
                <c:ptCount val="1"/>
                <c:pt idx="0">
                  <c:v>Other industrial buildings </c:v>
                </c:pt>
              </c:strCache>
            </c:strRef>
          </c:tx>
          <c:spPr>
            <a:solidFill>
              <a:srgbClr val="CC00CC"/>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Value!$BK$49:$BK$100</c:f>
              <c:numCache>
                <c:formatCode>_-"$"* #,##0_-;\-"$"* #,##0_-;_-"$"* "-"??_-;_-@_-</c:formatCode>
                <c:ptCount val="52"/>
                <c:pt idx="0">
                  <c:v>0</c:v>
                </c:pt>
                <c:pt idx="1">
                  <c:v>0.68600000000000005</c:v>
                </c:pt>
                <c:pt idx="2">
                  <c:v>0.5</c:v>
                </c:pt>
                <c:pt idx="3">
                  <c:v>7.3920000000000003</c:v>
                </c:pt>
                <c:pt idx="4">
                  <c:v>0.85399999999999998</c:v>
                </c:pt>
                <c:pt idx="5">
                  <c:v>0.13</c:v>
                </c:pt>
                <c:pt idx="6">
                  <c:v>1.232</c:v>
                </c:pt>
                <c:pt idx="7">
                  <c:v>1.05</c:v>
                </c:pt>
                <c:pt idx="8">
                  <c:v>5.6000000000000001E-2</c:v>
                </c:pt>
                <c:pt idx="9">
                  <c:v>0</c:v>
                </c:pt>
                <c:pt idx="10">
                  <c:v>0.80100000000000005</c:v>
                </c:pt>
                <c:pt idx="11">
                  <c:v>0</c:v>
                </c:pt>
                <c:pt idx="12">
                  <c:v>0</c:v>
                </c:pt>
                <c:pt idx="13">
                  <c:v>0</c:v>
                </c:pt>
                <c:pt idx="14">
                  <c:v>0.1</c:v>
                </c:pt>
                <c:pt idx="15">
                  <c:v>8.1000000000000003E-2</c:v>
                </c:pt>
                <c:pt idx="16">
                  <c:v>0.13</c:v>
                </c:pt>
                <c:pt idx="17">
                  <c:v>0</c:v>
                </c:pt>
                <c:pt idx="18">
                  <c:v>1.101</c:v>
                </c:pt>
                <c:pt idx="19">
                  <c:v>0</c:v>
                </c:pt>
                <c:pt idx="20">
                  <c:v>0.17</c:v>
                </c:pt>
                <c:pt idx="21">
                  <c:v>0</c:v>
                </c:pt>
                <c:pt idx="22">
                  <c:v>0</c:v>
                </c:pt>
                <c:pt idx="23">
                  <c:v>0</c:v>
                </c:pt>
                <c:pt idx="24">
                  <c:v>0.09</c:v>
                </c:pt>
                <c:pt idx="25">
                  <c:v>0.81799999999999995</c:v>
                </c:pt>
                <c:pt idx="26">
                  <c:v>0</c:v>
                </c:pt>
                <c:pt idx="27">
                  <c:v>0</c:v>
                </c:pt>
                <c:pt idx="28">
                  <c:v>0</c:v>
                </c:pt>
                <c:pt idx="29">
                  <c:v>0.154</c:v>
                </c:pt>
                <c:pt idx="30">
                  <c:v>0.44900000000000001</c:v>
                </c:pt>
                <c:pt idx="31">
                  <c:v>0.25</c:v>
                </c:pt>
                <c:pt idx="32">
                  <c:v>5.1999999999999998E-2</c:v>
                </c:pt>
                <c:pt idx="33">
                  <c:v>6.2E-2</c:v>
                </c:pt>
                <c:pt idx="34">
                  <c:v>7.4999999999999997E-2</c:v>
                </c:pt>
                <c:pt idx="35">
                  <c:v>0</c:v>
                </c:pt>
                <c:pt idx="36">
                  <c:v>0.13100000000000001</c:v>
                </c:pt>
                <c:pt idx="37">
                  <c:v>0.23</c:v>
                </c:pt>
                <c:pt idx="38">
                  <c:v>1.1240000000000001</c:v>
                </c:pt>
                <c:pt idx="39">
                  <c:v>0</c:v>
                </c:pt>
                <c:pt idx="40">
                  <c:v>0</c:v>
                </c:pt>
                <c:pt idx="41">
                  <c:v>0</c:v>
                </c:pt>
                <c:pt idx="42">
                  <c:v>0.184</c:v>
                </c:pt>
                <c:pt idx="43">
                  <c:v>0</c:v>
                </c:pt>
                <c:pt idx="44">
                  <c:v>0.152</c:v>
                </c:pt>
                <c:pt idx="45">
                  <c:v>0</c:v>
                </c:pt>
                <c:pt idx="46">
                  <c:v>0.06</c:v>
                </c:pt>
                <c:pt idx="47">
                  <c:v>0.625</c:v>
                </c:pt>
                <c:pt idx="48">
                  <c:v>0</c:v>
                </c:pt>
                <c:pt idx="49">
                  <c:v>1.3220000000000001</c:v>
                </c:pt>
                <c:pt idx="50">
                  <c:v>0</c:v>
                </c:pt>
                <c:pt idx="51">
                  <c:v>6.8000000000000005E-2</c:v>
                </c:pt>
              </c:numCache>
            </c:numRef>
          </c:val>
        </c:ser>
        <c:dLbls>
          <c:showLegendKey val="0"/>
          <c:showVal val="0"/>
          <c:showCatName val="0"/>
          <c:showSerName val="0"/>
          <c:showPercent val="0"/>
          <c:showBubbleSize val="0"/>
        </c:dLbls>
        <c:gapWidth val="30"/>
        <c:overlap val="100"/>
        <c:axId val="209610000"/>
        <c:axId val="209610560"/>
      </c:barChart>
      <c:catAx>
        <c:axId val="209610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0560"/>
        <c:crosses val="autoZero"/>
        <c:auto val="1"/>
        <c:lblAlgn val="ctr"/>
        <c:lblOffset val="100"/>
        <c:noMultiLvlLbl val="0"/>
      </c:catAx>
      <c:valAx>
        <c:axId val="20961056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0000"/>
        <c:crosses val="autoZero"/>
        <c:crossBetween val="between"/>
      </c:valAx>
      <c:spPr>
        <a:noFill/>
        <a:ln>
          <a:noFill/>
        </a:ln>
        <a:effectLst/>
      </c:spPr>
    </c:plotArea>
    <c:legend>
      <c:legendPos val="b"/>
      <c:layout>
        <c:manualLayout>
          <c:xMode val="edge"/>
          <c:yMode val="edge"/>
          <c:x val="0.46478857893692666"/>
          <c:y val="0"/>
          <c:w val="0.53325755284306942"/>
          <c:h val="0.1028405012693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a:t>
            </a:r>
          </a:p>
          <a:p>
            <a:pPr algn="l">
              <a:defRPr/>
            </a:pPr>
            <a:r>
              <a:rPr lang="en-AU" baseline="0"/>
              <a:t>Other building types </a:t>
            </a:r>
          </a:p>
          <a:p>
            <a:pPr algn="l">
              <a:defRPr/>
            </a:pPr>
            <a:r>
              <a:rPr lang="en-AU" baseline="0"/>
              <a:t>Metropolitan Melbourne </a:t>
            </a:r>
          </a:p>
          <a:p>
            <a:pPr algn="l">
              <a:defRPr/>
            </a:pPr>
            <a:r>
              <a:rPr lang="en-AU" baseline="0"/>
              <a:t>2015/16</a:t>
            </a:r>
          </a:p>
          <a:p>
            <a:pPr algn="l">
              <a:defRPr/>
            </a:pPr>
            <a:r>
              <a:rPr lang="en-AU" sz="1000" baseline="0"/>
              <a:t>Source: ABS Building Approvals</a:t>
            </a:r>
            <a:endParaRPr lang="en-AU" sz="1000"/>
          </a:p>
        </c:rich>
      </c:tx>
      <c:layout>
        <c:manualLayout>
          <c:xMode val="edge"/>
          <c:yMode val="edge"/>
          <c:x val="1.65606914198486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946016163043722"/>
          <c:w val="0.73539170574389501"/>
          <c:h val="0.79180434977679071"/>
        </c:manualLayout>
      </c:layout>
      <c:barChart>
        <c:barDir val="bar"/>
        <c:grouping val="stacked"/>
        <c:varyColors val="0"/>
        <c:ser>
          <c:idx val="0"/>
          <c:order val="0"/>
          <c:tx>
            <c:strRef>
              <c:f>Value!$BX$7</c:f>
              <c:strCache>
                <c:ptCount val="1"/>
                <c:pt idx="0">
                  <c:v>Education buildings</c:v>
                </c:pt>
              </c:strCache>
            </c:strRef>
          </c:tx>
          <c:spPr>
            <a:solidFill>
              <a:schemeClr val="accent6"/>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Value!$BX$8:$BX$48</c:f>
              <c:numCache>
                <c:formatCode>_-"$"* #,##0_-;\-"$"* #,##0_-;_-"$"* "-"??_-;_-@_-</c:formatCode>
                <c:ptCount val="41"/>
                <c:pt idx="1">
                  <c:v>3.726</c:v>
                </c:pt>
                <c:pt idx="2">
                  <c:v>429.267</c:v>
                </c:pt>
                <c:pt idx="3">
                  <c:v>7.47</c:v>
                </c:pt>
                <c:pt idx="4">
                  <c:v>12.064</c:v>
                </c:pt>
                <c:pt idx="5">
                  <c:v>7.0789999999999997</c:v>
                </c:pt>
                <c:pt idx="6">
                  <c:v>0</c:v>
                </c:pt>
                <c:pt idx="7">
                  <c:v>0</c:v>
                </c:pt>
                <c:pt idx="8">
                  <c:v>41.594000000000001</c:v>
                </c:pt>
                <c:pt idx="9">
                  <c:v>2.161</c:v>
                </c:pt>
                <c:pt idx="10">
                  <c:v>24.364000000000001</c:v>
                </c:pt>
                <c:pt idx="11">
                  <c:v>1.248</c:v>
                </c:pt>
                <c:pt idx="12">
                  <c:v>158.75700000000001</c:v>
                </c:pt>
                <c:pt idx="13">
                  <c:v>76.438000000000002</c:v>
                </c:pt>
                <c:pt idx="14">
                  <c:v>5.5149999999999997</c:v>
                </c:pt>
                <c:pt idx="15">
                  <c:v>0</c:v>
                </c:pt>
                <c:pt idx="16">
                  <c:v>0</c:v>
                </c:pt>
                <c:pt idx="17">
                  <c:v>23.571999999999999</c:v>
                </c:pt>
                <c:pt idx="18">
                  <c:v>52.838000000000001</c:v>
                </c:pt>
                <c:pt idx="19">
                  <c:v>28.047000000000001</c:v>
                </c:pt>
                <c:pt idx="20">
                  <c:v>4.718</c:v>
                </c:pt>
                <c:pt idx="21">
                  <c:v>3.23</c:v>
                </c:pt>
                <c:pt idx="22">
                  <c:v>2.7440000000000002</c:v>
                </c:pt>
                <c:pt idx="23">
                  <c:v>111.80800000000001</c:v>
                </c:pt>
                <c:pt idx="24">
                  <c:v>0</c:v>
                </c:pt>
                <c:pt idx="25">
                  <c:v>0</c:v>
                </c:pt>
                <c:pt idx="26">
                  <c:v>12.686999999999999</c:v>
                </c:pt>
                <c:pt idx="27">
                  <c:v>35.521000000000001</c:v>
                </c:pt>
                <c:pt idx="28">
                  <c:v>85.26</c:v>
                </c:pt>
                <c:pt idx="29">
                  <c:v>57.43</c:v>
                </c:pt>
                <c:pt idx="30">
                  <c:v>50.835000000000001</c:v>
                </c:pt>
                <c:pt idx="31">
                  <c:v>10.368</c:v>
                </c:pt>
                <c:pt idx="32">
                  <c:v>33.78</c:v>
                </c:pt>
                <c:pt idx="33">
                  <c:v>7.1689999999999996</c:v>
                </c:pt>
                <c:pt idx="34">
                  <c:v>0</c:v>
                </c:pt>
                <c:pt idx="35">
                  <c:v>0</c:v>
                </c:pt>
                <c:pt idx="36">
                  <c:v>3.2370000000000001</c:v>
                </c:pt>
                <c:pt idx="37">
                  <c:v>1.7589999999999999</c:v>
                </c:pt>
                <c:pt idx="38">
                  <c:v>2.573</c:v>
                </c:pt>
                <c:pt idx="39">
                  <c:v>11.302</c:v>
                </c:pt>
                <c:pt idx="40">
                  <c:v>54.44</c:v>
                </c:pt>
              </c:numCache>
            </c:numRef>
          </c:val>
        </c:ser>
        <c:ser>
          <c:idx val="1"/>
          <c:order val="1"/>
          <c:tx>
            <c:strRef>
              <c:f>Value!$BY$7</c:f>
              <c:strCache>
                <c:ptCount val="1"/>
                <c:pt idx="0">
                  <c:v>Religion buildings</c:v>
                </c:pt>
              </c:strCache>
            </c:strRef>
          </c:tx>
          <c:spPr>
            <a:solidFill>
              <a:schemeClr val="accent5"/>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Value!$BY$8:$BY$48</c:f>
              <c:numCache>
                <c:formatCode>_-"$"* #,##0_-;\-"$"* #,##0_-;_-"$"* "-"??_-;_-@_-</c:formatCode>
                <c:ptCount val="41"/>
                <c:pt idx="1">
                  <c:v>0.22</c:v>
                </c:pt>
                <c:pt idx="2">
                  <c:v>0.16200000000000001</c:v>
                </c:pt>
                <c:pt idx="3">
                  <c:v>1.63</c:v>
                </c:pt>
                <c:pt idx="4">
                  <c:v>2.415</c:v>
                </c:pt>
                <c:pt idx="5">
                  <c:v>4.1349999999999998</c:v>
                </c:pt>
                <c:pt idx="6">
                  <c:v>0</c:v>
                </c:pt>
                <c:pt idx="7">
                  <c:v>0</c:v>
                </c:pt>
                <c:pt idx="8">
                  <c:v>0.67200000000000004</c:v>
                </c:pt>
                <c:pt idx="9">
                  <c:v>0.4</c:v>
                </c:pt>
                <c:pt idx="10">
                  <c:v>0</c:v>
                </c:pt>
                <c:pt idx="11">
                  <c:v>2.5</c:v>
                </c:pt>
                <c:pt idx="12">
                  <c:v>2.0990000000000002</c:v>
                </c:pt>
                <c:pt idx="13">
                  <c:v>4.7050000000000001</c:v>
                </c:pt>
                <c:pt idx="14">
                  <c:v>0.2</c:v>
                </c:pt>
                <c:pt idx="15">
                  <c:v>0</c:v>
                </c:pt>
                <c:pt idx="16">
                  <c:v>0</c:v>
                </c:pt>
                <c:pt idx="17">
                  <c:v>0</c:v>
                </c:pt>
                <c:pt idx="18">
                  <c:v>0.53</c:v>
                </c:pt>
                <c:pt idx="19">
                  <c:v>0.55300000000000005</c:v>
                </c:pt>
                <c:pt idx="20">
                  <c:v>0</c:v>
                </c:pt>
                <c:pt idx="21">
                  <c:v>0</c:v>
                </c:pt>
                <c:pt idx="22">
                  <c:v>0</c:v>
                </c:pt>
                <c:pt idx="23">
                  <c:v>1.3340000000000001</c:v>
                </c:pt>
                <c:pt idx="24">
                  <c:v>0</c:v>
                </c:pt>
                <c:pt idx="25">
                  <c:v>0</c:v>
                </c:pt>
                <c:pt idx="26">
                  <c:v>0.39400000000000002</c:v>
                </c:pt>
                <c:pt idx="27">
                  <c:v>2.0470000000000002</c:v>
                </c:pt>
                <c:pt idx="28">
                  <c:v>1.1140000000000001</c:v>
                </c:pt>
                <c:pt idx="29">
                  <c:v>0</c:v>
                </c:pt>
                <c:pt idx="30">
                  <c:v>4.91</c:v>
                </c:pt>
                <c:pt idx="31">
                  <c:v>9.141</c:v>
                </c:pt>
                <c:pt idx="32">
                  <c:v>0.20100000000000001</c:v>
                </c:pt>
                <c:pt idx="33">
                  <c:v>0.57699999999999996</c:v>
                </c:pt>
                <c:pt idx="34">
                  <c:v>0</c:v>
                </c:pt>
                <c:pt idx="35">
                  <c:v>0</c:v>
                </c:pt>
                <c:pt idx="36">
                  <c:v>1.3160000000000001</c:v>
                </c:pt>
                <c:pt idx="37">
                  <c:v>1.75</c:v>
                </c:pt>
                <c:pt idx="38">
                  <c:v>5.4039999999999999</c:v>
                </c:pt>
                <c:pt idx="39">
                  <c:v>0.27800000000000002</c:v>
                </c:pt>
                <c:pt idx="40">
                  <c:v>0.15</c:v>
                </c:pt>
              </c:numCache>
            </c:numRef>
          </c:val>
        </c:ser>
        <c:ser>
          <c:idx val="2"/>
          <c:order val="2"/>
          <c:tx>
            <c:strRef>
              <c:f>Value!$BZ$7</c:f>
              <c:strCache>
                <c:ptCount val="1"/>
                <c:pt idx="0">
                  <c:v>Aged care facilities</c:v>
                </c:pt>
              </c:strCache>
            </c:strRef>
          </c:tx>
          <c:spPr>
            <a:solidFill>
              <a:schemeClr val="accent4"/>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Value!$BZ$8:$BZ$48</c:f>
              <c:numCache>
                <c:formatCode>_-"$"* #,##0_-;\-"$"* #,##0_-;_-"$"* "-"??_-;_-@_-</c:formatCode>
                <c:ptCount val="41"/>
                <c:pt idx="1">
                  <c:v>0.3</c:v>
                </c:pt>
                <c:pt idx="2">
                  <c:v>0.55000000000000004</c:v>
                </c:pt>
                <c:pt idx="3">
                  <c:v>0.251</c:v>
                </c:pt>
                <c:pt idx="4">
                  <c:v>112.75</c:v>
                </c:pt>
                <c:pt idx="5">
                  <c:v>0</c:v>
                </c:pt>
                <c:pt idx="6">
                  <c:v>0</c:v>
                </c:pt>
                <c:pt idx="7">
                  <c:v>0</c:v>
                </c:pt>
                <c:pt idx="8">
                  <c:v>2.7410000000000001</c:v>
                </c:pt>
                <c:pt idx="9">
                  <c:v>8.6340000000000003</c:v>
                </c:pt>
                <c:pt idx="10">
                  <c:v>35.962000000000003</c:v>
                </c:pt>
                <c:pt idx="11">
                  <c:v>5.5730000000000004</c:v>
                </c:pt>
                <c:pt idx="12">
                  <c:v>30.83</c:v>
                </c:pt>
                <c:pt idx="13">
                  <c:v>30.38</c:v>
                </c:pt>
                <c:pt idx="14">
                  <c:v>0</c:v>
                </c:pt>
                <c:pt idx="15">
                  <c:v>0</c:v>
                </c:pt>
                <c:pt idx="16">
                  <c:v>0</c:v>
                </c:pt>
                <c:pt idx="17">
                  <c:v>1.1970000000000001</c:v>
                </c:pt>
                <c:pt idx="18">
                  <c:v>3.5179999999999998</c:v>
                </c:pt>
                <c:pt idx="19">
                  <c:v>17.628</c:v>
                </c:pt>
                <c:pt idx="20">
                  <c:v>0</c:v>
                </c:pt>
                <c:pt idx="21">
                  <c:v>13.401999999999999</c:v>
                </c:pt>
                <c:pt idx="22">
                  <c:v>5.5</c:v>
                </c:pt>
                <c:pt idx="23">
                  <c:v>11.054</c:v>
                </c:pt>
                <c:pt idx="24">
                  <c:v>0</c:v>
                </c:pt>
                <c:pt idx="25">
                  <c:v>0</c:v>
                </c:pt>
                <c:pt idx="26">
                  <c:v>0.88</c:v>
                </c:pt>
                <c:pt idx="27">
                  <c:v>0.42</c:v>
                </c:pt>
                <c:pt idx="28">
                  <c:v>8.3439999999999994</c:v>
                </c:pt>
                <c:pt idx="29">
                  <c:v>0.59</c:v>
                </c:pt>
                <c:pt idx="30">
                  <c:v>2.0630000000000002</c:v>
                </c:pt>
                <c:pt idx="31">
                  <c:v>0.16</c:v>
                </c:pt>
                <c:pt idx="32">
                  <c:v>3.0649999999999999</c:v>
                </c:pt>
                <c:pt idx="33">
                  <c:v>21.440999999999999</c:v>
                </c:pt>
                <c:pt idx="34">
                  <c:v>0</c:v>
                </c:pt>
                <c:pt idx="35">
                  <c:v>0</c:v>
                </c:pt>
                <c:pt idx="36">
                  <c:v>0</c:v>
                </c:pt>
                <c:pt idx="37">
                  <c:v>1.7829999999999999</c:v>
                </c:pt>
                <c:pt idx="38">
                  <c:v>0.27200000000000002</c:v>
                </c:pt>
                <c:pt idx="39">
                  <c:v>37.841999999999999</c:v>
                </c:pt>
                <c:pt idx="40">
                  <c:v>6.9249999999999998</c:v>
                </c:pt>
              </c:numCache>
            </c:numRef>
          </c:val>
        </c:ser>
        <c:ser>
          <c:idx val="3"/>
          <c:order val="3"/>
          <c:tx>
            <c:strRef>
              <c:f>Value!$CA$7</c:f>
              <c:strCache>
                <c:ptCount val="1"/>
                <c:pt idx="0">
                  <c:v>Health buildings</c:v>
                </c:pt>
              </c:strCache>
            </c:strRef>
          </c:tx>
          <c:spPr>
            <a:solidFill>
              <a:schemeClr val="accent6">
                <a:lumMod val="60000"/>
              </a:schemeClr>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Value!$CA$8:$CA$48</c:f>
              <c:numCache>
                <c:formatCode>_-"$"* #,##0_-;\-"$"* #,##0_-;_-"$"* "-"??_-;_-@_-</c:formatCode>
                <c:ptCount val="41"/>
                <c:pt idx="1">
                  <c:v>11.804</c:v>
                </c:pt>
                <c:pt idx="2">
                  <c:v>13.54</c:v>
                </c:pt>
                <c:pt idx="3">
                  <c:v>0.28199999999999997</c:v>
                </c:pt>
                <c:pt idx="4">
                  <c:v>14.927</c:v>
                </c:pt>
                <c:pt idx="5">
                  <c:v>114.499</c:v>
                </c:pt>
                <c:pt idx="6">
                  <c:v>0</c:v>
                </c:pt>
                <c:pt idx="7">
                  <c:v>0</c:v>
                </c:pt>
                <c:pt idx="8">
                  <c:v>2.782</c:v>
                </c:pt>
                <c:pt idx="9">
                  <c:v>11.055999999999999</c:v>
                </c:pt>
                <c:pt idx="10">
                  <c:v>0.443</c:v>
                </c:pt>
                <c:pt idx="11">
                  <c:v>3.3239999999999998</c:v>
                </c:pt>
                <c:pt idx="12">
                  <c:v>28.041</c:v>
                </c:pt>
                <c:pt idx="13">
                  <c:v>13.805999999999999</c:v>
                </c:pt>
                <c:pt idx="14">
                  <c:v>8.1859999999999999</c:v>
                </c:pt>
                <c:pt idx="15">
                  <c:v>0</c:v>
                </c:pt>
                <c:pt idx="16">
                  <c:v>0</c:v>
                </c:pt>
                <c:pt idx="17">
                  <c:v>11.054</c:v>
                </c:pt>
                <c:pt idx="18">
                  <c:v>0.57999999999999996</c:v>
                </c:pt>
                <c:pt idx="19">
                  <c:v>4.3150000000000004</c:v>
                </c:pt>
                <c:pt idx="20">
                  <c:v>9.8000000000000004E-2</c:v>
                </c:pt>
                <c:pt idx="21">
                  <c:v>1.954</c:v>
                </c:pt>
                <c:pt idx="22">
                  <c:v>0.55900000000000005</c:v>
                </c:pt>
                <c:pt idx="23">
                  <c:v>6.6449999999999996</c:v>
                </c:pt>
                <c:pt idx="24">
                  <c:v>0</c:v>
                </c:pt>
                <c:pt idx="25">
                  <c:v>0</c:v>
                </c:pt>
                <c:pt idx="26">
                  <c:v>1.401</c:v>
                </c:pt>
                <c:pt idx="27">
                  <c:v>1.903</c:v>
                </c:pt>
                <c:pt idx="28">
                  <c:v>66.25</c:v>
                </c:pt>
                <c:pt idx="29">
                  <c:v>48.116</c:v>
                </c:pt>
                <c:pt idx="30">
                  <c:v>0.874</c:v>
                </c:pt>
                <c:pt idx="31">
                  <c:v>13.59</c:v>
                </c:pt>
                <c:pt idx="32">
                  <c:v>54.021999999999998</c:v>
                </c:pt>
                <c:pt idx="33">
                  <c:v>8.5879999999999992</c:v>
                </c:pt>
                <c:pt idx="34">
                  <c:v>0</c:v>
                </c:pt>
                <c:pt idx="35">
                  <c:v>0</c:v>
                </c:pt>
                <c:pt idx="36">
                  <c:v>3.4079999999999999</c:v>
                </c:pt>
                <c:pt idx="37">
                  <c:v>1.5209999999999999</c:v>
                </c:pt>
                <c:pt idx="38">
                  <c:v>1.0349999999999999</c:v>
                </c:pt>
                <c:pt idx="39">
                  <c:v>0.996</c:v>
                </c:pt>
                <c:pt idx="40">
                  <c:v>80.602999999999994</c:v>
                </c:pt>
              </c:numCache>
            </c:numRef>
          </c:val>
        </c:ser>
        <c:ser>
          <c:idx val="4"/>
          <c:order val="4"/>
          <c:tx>
            <c:strRef>
              <c:f>Value!$CB$7</c:f>
              <c:strCache>
                <c:ptCount val="1"/>
                <c:pt idx="0">
                  <c:v>Entertainment and recreation buildings</c:v>
                </c:pt>
              </c:strCache>
            </c:strRef>
          </c:tx>
          <c:spPr>
            <a:solidFill>
              <a:srgbClr val="FF0000"/>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Value!$CB$8:$CB$48</c:f>
              <c:numCache>
                <c:formatCode>_-"$"* #,##0_-;\-"$"* #,##0_-;_-"$"* "-"??_-;_-@_-</c:formatCode>
                <c:ptCount val="41"/>
                <c:pt idx="1">
                  <c:v>2.6720000000000002</c:v>
                </c:pt>
                <c:pt idx="2">
                  <c:v>210.892</c:v>
                </c:pt>
                <c:pt idx="3">
                  <c:v>12.923</c:v>
                </c:pt>
                <c:pt idx="4">
                  <c:v>2.0299999999999998</c:v>
                </c:pt>
                <c:pt idx="5">
                  <c:v>15.053000000000001</c:v>
                </c:pt>
                <c:pt idx="6">
                  <c:v>0</c:v>
                </c:pt>
                <c:pt idx="7">
                  <c:v>0</c:v>
                </c:pt>
                <c:pt idx="8">
                  <c:v>8.6150000000000002</c:v>
                </c:pt>
                <c:pt idx="9">
                  <c:v>2.609</c:v>
                </c:pt>
                <c:pt idx="10">
                  <c:v>0.97499999999999998</c:v>
                </c:pt>
                <c:pt idx="11">
                  <c:v>4.24</c:v>
                </c:pt>
                <c:pt idx="12">
                  <c:v>7.57</c:v>
                </c:pt>
                <c:pt idx="13">
                  <c:v>2.8319999999999999</c:v>
                </c:pt>
                <c:pt idx="14">
                  <c:v>5.5039999999999996</c:v>
                </c:pt>
                <c:pt idx="15">
                  <c:v>0</c:v>
                </c:pt>
                <c:pt idx="16">
                  <c:v>0</c:v>
                </c:pt>
                <c:pt idx="17">
                  <c:v>4.7880000000000003</c:v>
                </c:pt>
                <c:pt idx="18">
                  <c:v>4.2839999999999998</c:v>
                </c:pt>
                <c:pt idx="19">
                  <c:v>50.662999999999997</c:v>
                </c:pt>
                <c:pt idx="20">
                  <c:v>1.1439999999999999</c:v>
                </c:pt>
                <c:pt idx="21">
                  <c:v>3.5179999999999998</c:v>
                </c:pt>
                <c:pt idx="22">
                  <c:v>2.8730000000000002</c:v>
                </c:pt>
                <c:pt idx="23">
                  <c:v>9.7929999999999993</c:v>
                </c:pt>
                <c:pt idx="24">
                  <c:v>0</c:v>
                </c:pt>
                <c:pt idx="25">
                  <c:v>0</c:v>
                </c:pt>
                <c:pt idx="26">
                  <c:v>3.3809999999999998</c:v>
                </c:pt>
                <c:pt idx="27">
                  <c:v>20.873999999999999</c:v>
                </c:pt>
                <c:pt idx="28">
                  <c:v>150.02799999999999</c:v>
                </c:pt>
                <c:pt idx="29">
                  <c:v>7.9980000000000002</c:v>
                </c:pt>
                <c:pt idx="30">
                  <c:v>1.25</c:v>
                </c:pt>
                <c:pt idx="31">
                  <c:v>7.891</c:v>
                </c:pt>
                <c:pt idx="32">
                  <c:v>21.800999999999998</c:v>
                </c:pt>
                <c:pt idx="33">
                  <c:v>16.867999999999999</c:v>
                </c:pt>
                <c:pt idx="34">
                  <c:v>0</c:v>
                </c:pt>
                <c:pt idx="35">
                  <c:v>0</c:v>
                </c:pt>
                <c:pt idx="36">
                  <c:v>3.7909999999999999</c:v>
                </c:pt>
                <c:pt idx="37">
                  <c:v>1.3169999999999999</c:v>
                </c:pt>
                <c:pt idx="38">
                  <c:v>8.3360000000000003</c:v>
                </c:pt>
                <c:pt idx="39">
                  <c:v>1.095</c:v>
                </c:pt>
                <c:pt idx="40">
                  <c:v>11.786</c:v>
                </c:pt>
              </c:numCache>
            </c:numRef>
          </c:val>
        </c:ser>
        <c:ser>
          <c:idx val="5"/>
          <c:order val="5"/>
          <c:tx>
            <c:strRef>
              <c:f>Value!$CC$7</c:f>
              <c:strCache>
                <c:ptCount val="1"/>
                <c:pt idx="0">
                  <c:v>Short term accommodation buildings</c:v>
                </c:pt>
              </c:strCache>
            </c:strRef>
          </c:tx>
          <c:spPr>
            <a:solidFill>
              <a:schemeClr val="accent4">
                <a:lumMod val="60000"/>
              </a:schemeClr>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Value!$CC$8:$CC$48</c:f>
              <c:numCache>
                <c:formatCode>_-"$"* #,##0_-;\-"$"* #,##0_-;_-"$"* "-"??_-;_-@_-</c:formatCode>
                <c:ptCount val="41"/>
                <c:pt idx="1">
                  <c:v>0</c:v>
                </c:pt>
                <c:pt idx="2">
                  <c:v>247.233</c:v>
                </c:pt>
                <c:pt idx="3">
                  <c:v>25.381</c:v>
                </c:pt>
                <c:pt idx="4">
                  <c:v>0</c:v>
                </c:pt>
                <c:pt idx="5">
                  <c:v>0.72099999999999997</c:v>
                </c:pt>
                <c:pt idx="6">
                  <c:v>0</c:v>
                </c:pt>
                <c:pt idx="7">
                  <c:v>0</c:v>
                </c:pt>
                <c:pt idx="8">
                  <c:v>0</c:v>
                </c:pt>
                <c:pt idx="9">
                  <c:v>0</c:v>
                </c:pt>
                <c:pt idx="10">
                  <c:v>0</c:v>
                </c:pt>
                <c:pt idx="11">
                  <c:v>0.33700000000000002</c:v>
                </c:pt>
                <c:pt idx="12">
                  <c:v>5.5780000000000003</c:v>
                </c:pt>
                <c:pt idx="13">
                  <c:v>57.18</c:v>
                </c:pt>
                <c:pt idx="14">
                  <c:v>1.302</c:v>
                </c:pt>
                <c:pt idx="15">
                  <c:v>0</c:v>
                </c:pt>
                <c:pt idx="16">
                  <c:v>0</c:v>
                </c:pt>
                <c:pt idx="17">
                  <c:v>0</c:v>
                </c:pt>
                <c:pt idx="18">
                  <c:v>0</c:v>
                </c:pt>
                <c:pt idx="19">
                  <c:v>0</c:v>
                </c:pt>
                <c:pt idx="20">
                  <c:v>1.097</c:v>
                </c:pt>
                <c:pt idx="21">
                  <c:v>0.31</c:v>
                </c:pt>
                <c:pt idx="22">
                  <c:v>0</c:v>
                </c:pt>
                <c:pt idx="23">
                  <c:v>0.11</c:v>
                </c:pt>
                <c:pt idx="24">
                  <c:v>0</c:v>
                </c:pt>
                <c:pt idx="25">
                  <c:v>0</c:v>
                </c:pt>
                <c:pt idx="26">
                  <c:v>0</c:v>
                </c:pt>
                <c:pt idx="27">
                  <c:v>0.26500000000000001</c:v>
                </c:pt>
                <c:pt idx="28">
                  <c:v>0.06</c:v>
                </c:pt>
                <c:pt idx="29">
                  <c:v>2.8679999999999999</c:v>
                </c:pt>
                <c:pt idx="30">
                  <c:v>0.44</c:v>
                </c:pt>
                <c:pt idx="31">
                  <c:v>15.28</c:v>
                </c:pt>
                <c:pt idx="32">
                  <c:v>2.85</c:v>
                </c:pt>
                <c:pt idx="33">
                  <c:v>135.71</c:v>
                </c:pt>
                <c:pt idx="34">
                  <c:v>0</c:v>
                </c:pt>
                <c:pt idx="35">
                  <c:v>0</c:v>
                </c:pt>
                <c:pt idx="36">
                  <c:v>0</c:v>
                </c:pt>
                <c:pt idx="37">
                  <c:v>0</c:v>
                </c:pt>
                <c:pt idx="38">
                  <c:v>0</c:v>
                </c:pt>
                <c:pt idx="39">
                  <c:v>50</c:v>
                </c:pt>
                <c:pt idx="40">
                  <c:v>0</c:v>
                </c:pt>
              </c:numCache>
            </c:numRef>
          </c:val>
        </c:ser>
        <c:ser>
          <c:idx val="6"/>
          <c:order val="6"/>
          <c:tx>
            <c:strRef>
              <c:f>Value!$CD$7</c:f>
              <c:strCache>
                <c:ptCount val="1"/>
                <c:pt idx="0">
                  <c:v>Other non-residential</c:v>
                </c:pt>
              </c:strCache>
            </c:strRef>
          </c:tx>
          <c:spPr>
            <a:solidFill>
              <a:srgbClr val="00B0F0"/>
            </a:solidFill>
            <a:ln>
              <a:solidFill>
                <a:schemeClr val="tx1"/>
              </a:solidFill>
            </a:ln>
            <a:effectLst/>
          </c:spPr>
          <c:invertIfNegative val="0"/>
          <c:cat>
            <c:strRef>
              <c:f>Value!$AC$8:$AC$48</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Value!$CD$8:$CD$48</c:f>
              <c:numCache>
                <c:formatCode>_-"$"* #,##0_-;\-"$"* #,##0_-;_-"$"* "-"??_-;_-@_-</c:formatCode>
                <c:ptCount val="41"/>
                <c:pt idx="1">
                  <c:v>2.5760000000000001</c:v>
                </c:pt>
                <c:pt idx="2">
                  <c:v>16.329000000000001</c:v>
                </c:pt>
                <c:pt idx="3">
                  <c:v>4.8899999999999997</c:v>
                </c:pt>
                <c:pt idx="4">
                  <c:v>10.307</c:v>
                </c:pt>
                <c:pt idx="5">
                  <c:v>10.063000000000001</c:v>
                </c:pt>
                <c:pt idx="6">
                  <c:v>0</c:v>
                </c:pt>
                <c:pt idx="7">
                  <c:v>0</c:v>
                </c:pt>
                <c:pt idx="8">
                  <c:v>4.6449999999999996</c:v>
                </c:pt>
                <c:pt idx="9">
                  <c:v>3.915</c:v>
                </c:pt>
                <c:pt idx="10">
                  <c:v>0.27800000000000002</c:v>
                </c:pt>
                <c:pt idx="11">
                  <c:v>5.08</c:v>
                </c:pt>
                <c:pt idx="12">
                  <c:v>6.74</c:v>
                </c:pt>
                <c:pt idx="13">
                  <c:v>7.3280000000000003</c:v>
                </c:pt>
                <c:pt idx="14">
                  <c:v>0.746</c:v>
                </c:pt>
                <c:pt idx="15">
                  <c:v>0</c:v>
                </c:pt>
                <c:pt idx="16">
                  <c:v>0</c:v>
                </c:pt>
                <c:pt idx="17">
                  <c:v>5.9409999999999998</c:v>
                </c:pt>
                <c:pt idx="18">
                  <c:v>5.9340000000000002</c:v>
                </c:pt>
                <c:pt idx="19">
                  <c:v>6.9729999999999999</c:v>
                </c:pt>
                <c:pt idx="20">
                  <c:v>30.356000000000002</c:v>
                </c:pt>
                <c:pt idx="21">
                  <c:v>15.475</c:v>
                </c:pt>
                <c:pt idx="22">
                  <c:v>0.185</c:v>
                </c:pt>
                <c:pt idx="23">
                  <c:v>2.383</c:v>
                </c:pt>
                <c:pt idx="24">
                  <c:v>0</c:v>
                </c:pt>
                <c:pt idx="25">
                  <c:v>0</c:v>
                </c:pt>
                <c:pt idx="26">
                  <c:v>14.773999999999999</c:v>
                </c:pt>
                <c:pt idx="27">
                  <c:v>6.6550000000000002</c:v>
                </c:pt>
                <c:pt idx="28">
                  <c:v>9.7750000000000004</c:v>
                </c:pt>
                <c:pt idx="29">
                  <c:v>2.2919999999999998</c:v>
                </c:pt>
                <c:pt idx="30">
                  <c:v>13.077</c:v>
                </c:pt>
                <c:pt idx="31">
                  <c:v>4.9749999999999996</c:v>
                </c:pt>
                <c:pt idx="32">
                  <c:v>3.3940000000000001</c:v>
                </c:pt>
                <c:pt idx="33">
                  <c:v>4.9660000000000002</c:v>
                </c:pt>
                <c:pt idx="34">
                  <c:v>0</c:v>
                </c:pt>
                <c:pt idx="35">
                  <c:v>0</c:v>
                </c:pt>
                <c:pt idx="36">
                  <c:v>3.754</c:v>
                </c:pt>
                <c:pt idx="37">
                  <c:v>2.7290000000000001</c:v>
                </c:pt>
                <c:pt idx="38">
                  <c:v>22.513999999999999</c:v>
                </c:pt>
                <c:pt idx="39">
                  <c:v>4.6390000000000002</c:v>
                </c:pt>
                <c:pt idx="40">
                  <c:v>15.638</c:v>
                </c:pt>
              </c:numCache>
            </c:numRef>
          </c:val>
        </c:ser>
        <c:dLbls>
          <c:showLegendKey val="0"/>
          <c:showVal val="0"/>
          <c:showCatName val="0"/>
          <c:showSerName val="0"/>
          <c:showPercent val="0"/>
          <c:showBubbleSize val="0"/>
        </c:dLbls>
        <c:gapWidth val="30"/>
        <c:overlap val="100"/>
        <c:axId val="209616160"/>
        <c:axId val="209616720"/>
      </c:barChart>
      <c:catAx>
        <c:axId val="209616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6720"/>
        <c:crosses val="autoZero"/>
        <c:auto val="1"/>
        <c:lblAlgn val="ctr"/>
        <c:lblOffset val="100"/>
        <c:noMultiLvlLbl val="0"/>
      </c:catAx>
      <c:valAx>
        <c:axId val="20961672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6160"/>
        <c:crosses val="autoZero"/>
        <c:crossBetween val="between"/>
      </c:valAx>
      <c:spPr>
        <a:noFill/>
        <a:ln>
          <a:noFill/>
        </a:ln>
        <a:effectLst/>
      </c:spPr>
    </c:plotArea>
    <c:legend>
      <c:legendPos val="b"/>
      <c:layout>
        <c:manualLayout>
          <c:xMode val="edge"/>
          <c:yMode val="edge"/>
          <c:x val="0.49576751326158575"/>
          <c:y val="0"/>
          <c:w val="0.50423248673841425"/>
          <c:h val="0.138078315261821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a:t>
            </a:r>
            <a:r>
              <a:rPr lang="en-AU" baseline="0"/>
              <a:t> of Building Approvals - </a:t>
            </a:r>
          </a:p>
          <a:p>
            <a:pPr algn="l">
              <a:defRPr/>
            </a:pPr>
            <a:r>
              <a:rPr lang="en-AU" baseline="0"/>
              <a:t>Other building types </a:t>
            </a:r>
          </a:p>
          <a:p>
            <a:pPr algn="l">
              <a:defRPr/>
            </a:pPr>
            <a:r>
              <a:rPr lang="en-AU" baseline="0"/>
              <a:t>Regional Victoria</a:t>
            </a:r>
          </a:p>
          <a:p>
            <a:pPr algn="l">
              <a:defRPr/>
            </a:pPr>
            <a:r>
              <a:rPr lang="en-AU" baseline="0"/>
              <a:t>2015/16</a:t>
            </a:r>
          </a:p>
          <a:p>
            <a:pPr algn="l">
              <a:defRPr/>
            </a:pPr>
            <a:r>
              <a:rPr lang="en-AU" sz="1000" baseline="0"/>
              <a:t>Source: ABS Building Approvals</a:t>
            </a:r>
            <a:endParaRPr lang="en-AU" sz="1000"/>
          </a:p>
        </c:rich>
      </c:tx>
      <c:layout>
        <c:manualLayout>
          <c:xMode val="edge"/>
          <c:yMode val="edge"/>
          <c:x val="1.6561109209174941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1392101091966"/>
          <c:y val="0.17350457775056599"/>
          <c:w val="0.73539170574389501"/>
          <c:h val="0.812901354102889"/>
        </c:manualLayout>
      </c:layout>
      <c:barChart>
        <c:barDir val="bar"/>
        <c:grouping val="stacked"/>
        <c:varyColors val="0"/>
        <c:ser>
          <c:idx val="0"/>
          <c:order val="0"/>
          <c:tx>
            <c:strRef>
              <c:f>Value!$BX$7</c:f>
              <c:strCache>
                <c:ptCount val="1"/>
                <c:pt idx="0">
                  <c:v>Education buildings</c:v>
                </c:pt>
              </c:strCache>
            </c:strRef>
          </c:tx>
          <c:spPr>
            <a:solidFill>
              <a:schemeClr val="accent6"/>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Value!$BX$49:$BX$100</c:f>
              <c:numCache>
                <c:formatCode>_-"$"* #,##0_-;\-"$"* #,##0_-;_-"$"* "-"??_-;_-@_-</c:formatCode>
                <c:ptCount val="52"/>
                <c:pt idx="0">
                  <c:v>0</c:v>
                </c:pt>
                <c:pt idx="1">
                  <c:v>25.661000000000001</c:v>
                </c:pt>
                <c:pt idx="2">
                  <c:v>21.91</c:v>
                </c:pt>
                <c:pt idx="3">
                  <c:v>31.042000000000002</c:v>
                </c:pt>
                <c:pt idx="4">
                  <c:v>2.4910000000000001</c:v>
                </c:pt>
                <c:pt idx="5">
                  <c:v>7.968</c:v>
                </c:pt>
                <c:pt idx="6">
                  <c:v>11.346</c:v>
                </c:pt>
                <c:pt idx="7">
                  <c:v>5.15</c:v>
                </c:pt>
                <c:pt idx="8">
                  <c:v>7.0069999999999997</c:v>
                </c:pt>
                <c:pt idx="9">
                  <c:v>0.44500000000000001</c:v>
                </c:pt>
                <c:pt idx="10">
                  <c:v>4.1379999999999999</c:v>
                </c:pt>
                <c:pt idx="11">
                  <c:v>0</c:v>
                </c:pt>
                <c:pt idx="12">
                  <c:v>0</c:v>
                </c:pt>
                <c:pt idx="13">
                  <c:v>0.35</c:v>
                </c:pt>
                <c:pt idx="14">
                  <c:v>0.32600000000000001</c:v>
                </c:pt>
                <c:pt idx="15">
                  <c:v>0.29599999999999999</c:v>
                </c:pt>
                <c:pt idx="16">
                  <c:v>2.903</c:v>
                </c:pt>
                <c:pt idx="17">
                  <c:v>1.034</c:v>
                </c:pt>
                <c:pt idx="18">
                  <c:v>1.05</c:v>
                </c:pt>
                <c:pt idx="19">
                  <c:v>0</c:v>
                </c:pt>
                <c:pt idx="20">
                  <c:v>1.0920000000000001</c:v>
                </c:pt>
                <c:pt idx="21">
                  <c:v>16.459</c:v>
                </c:pt>
                <c:pt idx="22">
                  <c:v>0</c:v>
                </c:pt>
                <c:pt idx="23">
                  <c:v>0</c:v>
                </c:pt>
                <c:pt idx="24">
                  <c:v>1.012</c:v>
                </c:pt>
                <c:pt idx="25">
                  <c:v>0</c:v>
                </c:pt>
                <c:pt idx="26">
                  <c:v>0</c:v>
                </c:pt>
                <c:pt idx="27">
                  <c:v>0.34599999999999997</c:v>
                </c:pt>
                <c:pt idx="28">
                  <c:v>0.44700000000000001</c:v>
                </c:pt>
                <c:pt idx="29">
                  <c:v>0.60099999999999998</c:v>
                </c:pt>
                <c:pt idx="30">
                  <c:v>1.4019999999999999</c:v>
                </c:pt>
                <c:pt idx="31">
                  <c:v>3.585</c:v>
                </c:pt>
                <c:pt idx="32">
                  <c:v>2.367</c:v>
                </c:pt>
                <c:pt idx="33">
                  <c:v>0.435</c:v>
                </c:pt>
                <c:pt idx="34">
                  <c:v>0</c:v>
                </c:pt>
                <c:pt idx="35">
                  <c:v>0.35</c:v>
                </c:pt>
                <c:pt idx="36">
                  <c:v>2.0710000000000002</c:v>
                </c:pt>
                <c:pt idx="37">
                  <c:v>0.06</c:v>
                </c:pt>
                <c:pt idx="38">
                  <c:v>0</c:v>
                </c:pt>
                <c:pt idx="39">
                  <c:v>0</c:v>
                </c:pt>
                <c:pt idx="40">
                  <c:v>0</c:v>
                </c:pt>
                <c:pt idx="41">
                  <c:v>4.9409999999999998</c:v>
                </c:pt>
                <c:pt idx="42">
                  <c:v>0</c:v>
                </c:pt>
                <c:pt idx="43">
                  <c:v>1.111</c:v>
                </c:pt>
                <c:pt idx="44">
                  <c:v>0</c:v>
                </c:pt>
                <c:pt idx="45">
                  <c:v>0.34499999999999997</c:v>
                </c:pt>
                <c:pt idx="46">
                  <c:v>6.0999999999999999E-2</c:v>
                </c:pt>
                <c:pt idx="47">
                  <c:v>0</c:v>
                </c:pt>
                <c:pt idx="48">
                  <c:v>0.159</c:v>
                </c:pt>
                <c:pt idx="49">
                  <c:v>0</c:v>
                </c:pt>
                <c:pt idx="50">
                  <c:v>0</c:v>
                </c:pt>
                <c:pt idx="51">
                  <c:v>0.56100000000000005</c:v>
                </c:pt>
              </c:numCache>
            </c:numRef>
          </c:val>
        </c:ser>
        <c:ser>
          <c:idx val="1"/>
          <c:order val="1"/>
          <c:tx>
            <c:strRef>
              <c:f>Value!$BY$7</c:f>
              <c:strCache>
                <c:ptCount val="1"/>
                <c:pt idx="0">
                  <c:v>Religion buildings</c:v>
                </c:pt>
              </c:strCache>
            </c:strRef>
          </c:tx>
          <c:spPr>
            <a:solidFill>
              <a:schemeClr val="accent5"/>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Value!$BY$49:$BY$100</c:f>
              <c:numCache>
                <c:formatCode>_-"$"* #,##0_-;\-"$"* #,##0_-;_-"$"* "-"??_-;_-@_-</c:formatCode>
                <c:ptCount val="52"/>
                <c:pt idx="0">
                  <c:v>0</c:v>
                </c:pt>
                <c:pt idx="1">
                  <c:v>0.2</c:v>
                </c:pt>
                <c:pt idx="2">
                  <c:v>0.627</c:v>
                </c:pt>
                <c:pt idx="3">
                  <c:v>0.88600000000000001</c:v>
                </c:pt>
                <c:pt idx="4">
                  <c:v>0.24199999999999999</c:v>
                </c:pt>
                <c:pt idx="5">
                  <c:v>0.15</c:v>
                </c:pt>
                <c:pt idx="6">
                  <c:v>0</c:v>
                </c:pt>
                <c:pt idx="7">
                  <c:v>0.28000000000000003</c:v>
                </c:pt>
                <c:pt idx="8">
                  <c:v>0</c:v>
                </c:pt>
                <c:pt idx="9">
                  <c:v>0</c:v>
                </c:pt>
                <c:pt idx="10">
                  <c:v>0</c:v>
                </c:pt>
                <c:pt idx="11">
                  <c:v>0</c:v>
                </c:pt>
                <c:pt idx="12">
                  <c:v>0</c:v>
                </c:pt>
                <c:pt idx="13">
                  <c:v>0.7</c:v>
                </c:pt>
                <c:pt idx="14">
                  <c:v>0.29699999999999999</c:v>
                </c:pt>
                <c:pt idx="15">
                  <c:v>0</c:v>
                </c:pt>
                <c:pt idx="16">
                  <c:v>6.2E-2</c:v>
                </c:pt>
                <c:pt idx="17">
                  <c:v>0</c:v>
                </c:pt>
                <c:pt idx="18">
                  <c:v>0</c:v>
                </c:pt>
                <c:pt idx="19">
                  <c:v>0</c:v>
                </c:pt>
                <c:pt idx="20">
                  <c:v>0.35899999999999999</c:v>
                </c:pt>
                <c:pt idx="21">
                  <c:v>0</c:v>
                </c:pt>
                <c:pt idx="22">
                  <c:v>0</c:v>
                </c:pt>
                <c:pt idx="23">
                  <c:v>0</c:v>
                </c:pt>
                <c:pt idx="24">
                  <c:v>0</c:v>
                </c:pt>
                <c:pt idx="25">
                  <c:v>0</c:v>
                </c:pt>
                <c:pt idx="26">
                  <c:v>0</c:v>
                </c:pt>
                <c:pt idx="27">
                  <c:v>0</c:v>
                </c:pt>
                <c:pt idx="28">
                  <c:v>0</c:v>
                </c:pt>
                <c:pt idx="29">
                  <c:v>0</c:v>
                </c:pt>
                <c:pt idx="30">
                  <c:v>0.98299999999999998</c:v>
                </c:pt>
                <c:pt idx="31">
                  <c:v>0</c:v>
                </c:pt>
                <c:pt idx="32">
                  <c:v>0</c:v>
                </c:pt>
                <c:pt idx="33">
                  <c:v>0</c:v>
                </c:pt>
                <c:pt idx="34">
                  <c:v>0</c:v>
                </c:pt>
                <c:pt idx="35">
                  <c:v>0</c:v>
                </c:pt>
                <c:pt idx="36">
                  <c:v>0</c:v>
                </c:pt>
                <c:pt idx="37">
                  <c:v>0</c:v>
                </c:pt>
                <c:pt idx="38">
                  <c:v>0</c:v>
                </c:pt>
                <c:pt idx="39">
                  <c:v>0</c:v>
                </c:pt>
                <c:pt idx="40">
                  <c:v>0.51800000000000002</c:v>
                </c:pt>
                <c:pt idx="41">
                  <c:v>0.11</c:v>
                </c:pt>
                <c:pt idx="42">
                  <c:v>0</c:v>
                </c:pt>
                <c:pt idx="43">
                  <c:v>0</c:v>
                </c:pt>
                <c:pt idx="44">
                  <c:v>0</c:v>
                </c:pt>
                <c:pt idx="45">
                  <c:v>0</c:v>
                </c:pt>
                <c:pt idx="46">
                  <c:v>0</c:v>
                </c:pt>
                <c:pt idx="47">
                  <c:v>0</c:v>
                </c:pt>
                <c:pt idx="48">
                  <c:v>0</c:v>
                </c:pt>
                <c:pt idx="49">
                  <c:v>0</c:v>
                </c:pt>
                <c:pt idx="50">
                  <c:v>0</c:v>
                </c:pt>
                <c:pt idx="51">
                  <c:v>0</c:v>
                </c:pt>
              </c:numCache>
            </c:numRef>
          </c:val>
        </c:ser>
        <c:ser>
          <c:idx val="2"/>
          <c:order val="2"/>
          <c:tx>
            <c:strRef>
              <c:f>Value!$BZ$7</c:f>
              <c:strCache>
                <c:ptCount val="1"/>
                <c:pt idx="0">
                  <c:v>Aged care facilities</c:v>
                </c:pt>
              </c:strCache>
            </c:strRef>
          </c:tx>
          <c:spPr>
            <a:solidFill>
              <a:schemeClr val="accent4"/>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Value!$BZ$49:$BZ$100</c:f>
              <c:numCache>
                <c:formatCode>_-"$"* #,##0_-;\-"$"* #,##0_-;_-"$"* "-"??_-;_-@_-</c:formatCode>
                <c:ptCount val="52"/>
                <c:pt idx="0">
                  <c:v>0</c:v>
                </c:pt>
                <c:pt idx="1">
                  <c:v>6.859</c:v>
                </c:pt>
                <c:pt idx="2">
                  <c:v>10.052</c:v>
                </c:pt>
                <c:pt idx="3">
                  <c:v>23.074999999999999</c:v>
                </c:pt>
                <c:pt idx="4">
                  <c:v>0.9</c:v>
                </c:pt>
                <c:pt idx="5">
                  <c:v>0</c:v>
                </c:pt>
                <c:pt idx="6">
                  <c:v>5.6449999999999996</c:v>
                </c:pt>
                <c:pt idx="7">
                  <c:v>1.8540000000000001</c:v>
                </c:pt>
                <c:pt idx="8">
                  <c:v>0</c:v>
                </c:pt>
                <c:pt idx="9">
                  <c:v>0.18</c:v>
                </c:pt>
                <c:pt idx="10">
                  <c:v>0</c:v>
                </c:pt>
                <c:pt idx="11">
                  <c:v>0</c:v>
                </c:pt>
                <c:pt idx="12">
                  <c:v>0</c:v>
                </c:pt>
                <c:pt idx="13">
                  <c:v>0</c:v>
                </c:pt>
                <c:pt idx="14">
                  <c:v>0.36299999999999999</c:v>
                </c:pt>
                <c:pt idx="15">
                  <c:v>0</c:v>
                </c:pt>
                <c:pt idx="16">
                  <c:v>0.08</c:v>
                </c:pt>
                <c:pt idx="17">
                  <c:v>0</c:v>
                </c:pt>
                <c:pt idx="18">
                  <c:v>0</c:v>
                </c:pt>
                <c:pt idx="19">
                  <c:v>0</c:v>
                </c:pt>
                <c:pt idx="20">
                  <c:v>0</c:v>
                </c:pt>
                <c:pt idx="21">
                  <c:v>45.421999999999997</c:v>
                </c:pt>
                <c:pt idx="22">
                  <c:v>0</c:v>
                </c:pt>
                <c:pt idx="23">
                  <c:v>0</c:v>
                </c:pt>
                <c:pt idx="24">
                  <c:v>0</c:v>
                </c:pt>
                <c:pt idx="25">
                  <c:v>0</c:v>
                </c:pt>
                <c:pt idx="26">
                  <c:v>0</c:v>
                </c:pt>
                <c:pt idx="27">
                  <c:v>0</c:v>
                </c:pt>
                <c:pt idx="28">
                  <c:v>1.159</c:v>
                </c:pt>
                <c:pt idx="29">
                  <c:v>2.5</c:v>
                </c:pt>
                <c:pt idx="30">
                  <c:v>0</c:v>
                </c:pt>
                <c:pt idx="31">
                  <c:v>0</c:v>
                </c:pt>
                <c:pt idx="32">
                  <c:v>0</c:v>
                </c:pt>
                <c:pt idx="33">
                  <c:v>0</c:v>
                </c:pt>
                <c:pt idx="34">
                  <c:v>0</c:v>
                </c:pt>
                <c:pt idx="35">
                  <c:v>0</c:v>
                </c:pt>
                <c:pt idx="36">
                  <c:v>0</c:v>
                </c:pt>
                <c:pt idx="37">
                  <c:v>0</c:v>
                </c:pt>
                <c:pt idx="38">
                  <c:v>0</c:v>
                </c:pt>
                <c:pt idx="39">
                  <c:v>0</c:v>
                </c:pt>
                <c:pt idx="40">
                  <c:v>0.59499999999999997</c:v>
                </c:pt>
                <c:pt idx="41">
                  <c:v>0</c:v>
                </c:pt>
                <c:pt idx="42">
                  <c:v>0</c:v>
                </c:pt>
                <c:pt idx="43">
                  <c:v>0</c:v>
                </c:pt>
                <c:pt idx="44">
                  <c:v>0</c:v>
                </c:pt>
                <c:pt idx="45">
                  <c:v>0</c:v>
                </c:pt>
                <c:pt idx="46">
                  <c:v>12.2</c:v>
                </c:pt>
                <c:pt idx="47">
                  <c:v>0.2</c:v>
                </c:pt>
                <c:pt idx="48">
                  <c:v>0</c:v>
                </c:pt>
                <c:pt idx="49">
                  <c:v>25.74</c:v>
                </c:pt>
                <c:pt idx="50">
                  <c:v>0</c:v>
                </c:pt>
                <c:pt idx="51">
                  <c:v>0</c:v>
                </c:pt>
              </c:numCache>
            </c:numRef>
          </c:val>
        </c:ser>
        <c:ser>
          <c:idx val="3"/>
          <c:order val="3"/>
          <c:tx>
            <c:strRef>
              <c:f>Value!$CA$7</c:f>
              <c:strCache>
                <c:ptCount val="1"/>
                <c:pt idx="0">
                  <c:v>Health buildings</c:v>
                </c:pt>
              </c:strCache>
            </c:strRef>
          </c:tx>
          <c:spPr>
            <a:solidFill>
              <a:schemeClr val="accent6">
                <a:lumMod val="60000"/>
              </a:schemeClr>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Value!$CA$49:$CA$100</c:f>
              <c:numCache>
                <c:formatCode>_-"$"* #,##0_-;\-"$"* #,##0_-;_-"$"* "-"??_-;_-@_-</c:formatCode>
                <c:ptCount val="52"/>
                <c:pt idx="0">
                  <c:v>0</c:v>
                </c:pt>
                <c:pt idx="1">
                  <c:v>4.12</c:v>
                </c:pt>
                <c:pt idx="2">
                  <c:v>9.7360000000000007</c:v>
                </c:pt>
                <c:pt idx="3">
                  <c:v>20.777000000000001</c:v>
                </c:pt>
                <c:pt idx="4">
                  <c:v>10.365</c:v>
                </c:pt>
                <c:pt idx="5">
                  <c:v>0</c:v>
                </c:pt>
                <c:pt idx="6">
                  <c:v>68.031999999999996</c:v>
                </c:pt>
                <c:pt idx="7">
                  <c:v>0.24</c:v>
                </c:pt>
                <c:pt idx="8">
                  <c:v>4.875</c:v>
                </c:pt>
                <c:pt idx="9">
                  <c:v>1.917</c:v>
                </c:pt>
                <c:pt idx="10">
                  <c:v>1.4430000000000001</c:v>
                </c:pt>
                <c:pt idx="11">
                  <c:v>0</c:v>
                </c:pt>
                <c:pt idx="12">
                  <c:v>0</c:v>
                </c:pt>
                <c:pt idx="13">
                  <c:v>0.73799999999999999</c:v>
                </c:pt>
                <c:pt idx="14">
                  <c:v>1.07</c:v>
                </c:pt>
                <c:pt idx="15">
                  <c:v>0.05</c:v>
                </c:pt>
                <c:pt idx="16">
                  <c:v>0.82099999999999995</c:v>
                </c:pt>
                <c:pt idx="17">
                  <c:v>2.3980000000000001</c:v>
                </c:pt>
                <c:pt idx="18">
                  <c:v>0</c:v>
                </c:pt>
                <c:pt idx="19">
                  <c:v>0</c:v>
                </c:pt>
                <c:pt idx="20">
                  <c:v>0</c:v>
                </c:pt>
                <c:pt idx="21">
                  <c:v>0.4</c:v>
                </c:pt>
                <c:pt idx="22">
                  <c:v>0</c:v>
                </c:pt>
                <c:pt idx="23">
                  <c:v>0</c:v>
                </c:pt>
                <c:pt idx="24">
                  <c:v>0.84499999999999997</c:v>
                </c:pt>
                <c:pt idx="25">
                  <c:v>0.46600000000000003</c:v>
                </c:pt>
                <c:pt idx="26">
                  <c:v>0</c:v>
                </c:pt>
                <c:pt idx="27">
                  <c:v>0</c:v>
                </c:pt>
                <c:pt idx="28">
                  <c:v>1.9319999999999999</c:v>
                </c:pt>
                <c:pt idx="29">
                  <c:v>0</c:v>
                </c:pt>
                <c:pt idx="30">
                  <c:v>0.34499999999999997</c:v>
                </c:pt>
                <c:pt idx="31">
                  <c:v>1.7050000000000001</c:v>
                </c:pt>
                <c:pt idx="32">
                  <c:v>4.952</c:v>
                </c:pt>
                <c:pt idx="33">
                  <c:v>0</c:v>
                </c:pt>
                <c:pt idx="34">
                  <c:v>0.50700000000000001</c:v>
                </c:pt>
                <c:pt idx="35">
                  <c:v>0</c:v>
                </c:pt>
                <c:pt idx="36">
                  <c:v>0</c:v>
                </c:pt>
                <c:pt idx="37">
                  <c:v>0</c:v>
                </c:pt>
                <c:pt idx="38">
                  <c:v>0</c:v>
                </c:pt>
                <c:pt idx="39">
                  <c:v>0</c:v>
                </c:pt>
                <c:pt idx="40">
                  <c:v>2.9</c:v>
                </c:pt>
                <c:pt idx="41">
                  <c:v>0</c:v>
                </c:pt>
                <c:pt idx="42">
                  <c:v>4.4340000000000002</c:v>
                </c:pt>
                <c:pt idx="43">
                  <c:v>0</c:v>
                </c:pt>
                <c:pt idx="44">
                  <c:v>0</c:v>
                </c:pt>
                <c:pt idx="45">
                  <c:v>0</c:v>
                </c:pt>
                <c:pt idx="46">
                  <c:v>0.22</c:v>
                </c:pt>
                <c:pt idx="47">
                  <c:v>0.28499999999999998</c:v>
                </c:pt>
                <c:pt idx="48">
                  <c:v>0</c:v>
                </c:pt>
                <c:pt idx="49">
                  <c:v>0.70699999999999996</c:v>
                </c:pt>
                <c:pt idx="50">
                  <c:v>0</c:v>
                </c:pt>
                <c:pt idx="51">
                  <c:v>0.32900000000000001</c:v>
                </c:pt>
              </c:numCache>
            </c:numRef>
          </c:val>
        </c:ser>
        <c:ser>
          <c:idx val="4"/>
          <c:order val="4"/>
          <c:tx>
            <c:strRef>
              <c:f>Value!$CB$7</c:f>
              <c:strCache>
                <c:ptCount val="1"/>
                <c:pt idx="0">
                  <c:v>Entertainment and recreation buildings</c:v>
                </c:pt>
              </c:strCache>
            </c:strRef>
          </c:tx>
          <c:spPr>
            <a:solidFill>
              <a:srgbClr val="FF0000"/>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Value!$CB$49:$CB$100</c:f>
              <c:numCache>
                <c:formatCode>_-"$"* #,##0_-;\-"$"* #,##0_-;_-"$"* "-"??_-;_-@_-</c:formatCode>
                <c:ptCount val="52"/>
                <c:pt idx="0">
                  <c:v>0</c:v>
                </c:pt>
                <c:pt idx="1">
                  <c:v>3.8639999999999999</c:v>
                </c:pt>
                <c:pt idx="2">
                  <c:v>39.581000000000003</c:v>
                </c:pt>
                <c:pt idx="3">
                  <c:v>108.081</c:v>
                </c:pt>
                <c:pt idx="4">
                  <c:v>4.9480000000000004</c:v>
                </c:pt>
                <c:pt idx="5">
                  <c:v>3.0760000000000001</c:v>
                </c:pt>
                <c:pt idx="6">
                  <c:v>1.0169999999999999</c:v>
                </c:pt>
                <c:pt idx="7">
                  <c:v>2.0259999999999998</c:v>
                </c:pt>
                <c:pt idx="8">
                  <c:v>5.5949999999999998</c:v>
                </c:pt>
                <c:pt idx="9">
                  <c:v>1.111</c:v>
                </c:pt>
                <c:pt idx="10">
                  <c:v>0.30099999999999999</c:v>
                </c:pt>
                <c:pt idx="11">
                  <c:v>0</c:v>
                </c:pt>
                <c:pt idx="12">
                  <c:v>0</c:v>
                </c:pt>
                <c:pt idx="13">
                  <c:v>0.67200000000000004</c:v>
                </c:pt>
                <c:pt idx="14">
                  <c:v>0.50800000000000001</c:v>
                </c:pt>
                <c:pt idx="15">
                  <c:v>0.58399999999999996</c:v>
                </c:pt>
                <c:pt idx="16">
                  <c:v>1.669</c:v>
                </c:pt>
                <c:pt idx="17">
                  <c:v>4.7350000000000003</c:v>
                </c:pt>
                <c:pt idx="18">
                  <c:v>0.47199999999999998</c:v>
                </c:pt>
                <c:pt idx="19">
                  <c:v>0</c:v>
                </c:pt>
                <c:pt idx="20">
                  <c:v>0</c:v>
                </c:pt>
                <c:pt idx="21">
                  <c:v>1.016</c:v>
                </c:pt>
                <c:pt idx="22">
                  <c:v>0</c:v>
                </c:pt>
                <c:pt idx="23">
                  <c:v>0</c:v>
                </c:pt>
                <c:pt idx="24">
                  <c:v>0</c:v>
                </c:pt>
                <c:pt idx="25">
                  <c:v>0.97</c:v>
                </c:pt>
                <c:pt idx="26">
                  <c:v>0</c:v>
                </c:pt>
                <c:pt idx="27">
                  <c:v>0.125</c:v>
                </c:pt>
                <c:pt idx="28">
                  <c:v>0.72</c:v>
                </c:pt>
                <c:pt idx="29">
                  <c:v>0.111</c:v>
                </c:pt>
                <c:pt idx="30">
                  <c:v>3.911</c:v>
                </c:pt>
                <c:pt idx="31">
                  <c:v>0.47899999999999998</c:v>
                </c:pt>
                <c:pt idx="32">
                  <c:v>0.439</c:v>
                </c:pt>
                <c:pt idx="33">
                  <c:v>0.06</c:v>
                </c:pt>
                <c:pt idx="34">
                  <c:v>0</c:v>
                </c:pt>
                <c:pt idx="35">
                  <c:v>2.3580000000000001</c:v>
                </c:pt>
                <c:pt idx="36">
                  <c:v>0.06</c:v>
                </c:pt>
                <c:pt idx="37">
                  <c:v>1.1619999999999999</c:v>
                </c:pt>
                <c:pt idx="38">
                  <c:v>0.372</c:v>
                </c:pt>
                <c:pt idx="39">
                  <c:v>0.30599999999999999</c:v>
                </c:pt>
                <c:pt idx="40">
                  <c:v>1.47</c:v>
                </c:pt>
                <c:pt idx="41">
                  <c:v>0.20300000000000001</c:v>
                </c:pt>
                <c:pt idx="42">
                  <c:v>0.97099999999999997</c:v>
                </c:pt>
                <c:pt idx="43">
                  <c:v>0.16700000000000001</c:v>
                </c:pt>
                <c:pt idx="44">
                  <c:v>0</c:v>
                </c:pt>
                <c:pt idx="45">
                  <c:v>0</c:v>
                </c:pt>
                <c:pt idx="46">
                  <c:v>1.2989999999999999</c:v>
                </c:pt>
                <c:pt idx="47">
                  <c:v>0.20300000000000001</c:v>
                </c:pt>
                <c:pt idx="48">
                  <c:v>7.4999999999999997E-2</c:v>
                </c:pt>
                <c:pt idx="49">
                  <c:v>12.372</c:v>
                </c:pt>
                <c:pt idx="50">
                  <c:v>0</c:v>
                </c:pt>
                <c:pt idx="51">
                  <c:v>0.57199999999999995</c:v>
                </c:pt>
              </c:numCache>
            </c:numRef>
          </c:val>
        </c:ser>
        <c:ser>
          <c:idx val="5"/>
          <c:order val="5"/>
          <c:tx>
            <c:strRef>
              <c:f>Value!$CC$7</c:f>
              <c:strCache>
                <c:ptCount val="1"/>
                <c:pt idx="0">
                  <c:v>Short term accommodation buildings</c:v>
                </c:pt>
              </c:strCache>
            </c:strRef>
          </c:tx>
          <c:spPr>
            <a:solidFill>
              <a:schemeClr val="accent4">
                <a:lumMod val="60000"/>
              </a:schemeClr>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Value!$CC$49:$CC$100</c:f>
              <c:numCache>
                <c:formatCode>_-"$"* #,##0_-;\-"$"* #,##0_-;_-"$"* "-"??_-;_-@_-</c:formatCode>
                <c:ptCount val="52"/>
                <c:pt idx="0">
                  <c:v>0</c:v>
                </c:pt>
                <c:pt idx="1">
                  <c:v>1.6919999999999999</c:v>
                </c:pt>
                <c:pt idx="2">
                  <c:v>0.15</c:v>
                </c:pt>
                <c:pt idx="3">
                  <c:v>2.35</c:v>
                </c:pt>
                <c:pt idx="4">
                  <c:v>0.35799999999999998</c:v>
                </c:pt>
                <c:pt idx="5">
                  <c:v>0</c:v>
                </c:pt>
                <c:pt idx="6">
                  <c:v>7.4999999999999997E-2</c:v>
                </c:pt>
                <c:pt idx="7">
                  <c:v>0</c:v>
                </c:pt>
                <c:pt idx="8">
                  <c:v>0</c:v>
                </c:pt>
                <c:pt idx="9">
                  <c:v>1.9</c:v>
                </c:pt>
                <c:pt idx="10">
                  <c:v>0</c:v>
                </c:pt>
                <c:pt idx="11">
                  <c:v>0</c:v>
                </c:pt>
                <c:pt idx="12">
                  <c:v>0</c:v>
                </c:pt>
                <c:pt idx="13">
                  <c:v>0.94499999999999995</c:v>
                </c:pt>
                <c:pt idx="14">
                  <c:v>0.25</c:v>
                </c:pt>
                <c:pt idx="15">
                  <c:v>0.114</c:v>
                </c:pt>
                <c:pt idx="16">
                  <c:v>0.35</c:v>
                </c:pt>
                <c:pt idx="17">
                  <c:v>0</c:v>
                </c:pt>
                <c:pt idx="18">
                  <c:v>0.27500000000000002</c:v>
                </c:pt>
                <c:pt idx="19">
                  <c:v>0.25</c:v>
                </c:pt>
                <c:pt idx="20">
                  <c:v>1.2110000000000001</c:v>
                </c:pt>
                <c:pt idx="21">
                  <c:v>0.40500000000000003</c:v>
                </c:pt>
                <c:pt idx="22">
                  <c:v>0</c:v>
                </c:pt>
                <c:pt idx="23">
                  <c:v>0</c:v>
                </c:pt>
                <c:pt idx="24">
                  <c:v>2.2400000000000002</c:v>
                </c:pt>
                <c:pt idx="25">
                  <c:v>9.5000000000000001E-2</c:v>
                </c:pt>
                <c:pt idx="26">
                  <c:v>0</c:v>
                </c:pt>
                <c:pt idx="27">
                  <c:v>0</c:v>
                </c:pt>
                <c:pt idx="28">
                  <c:v>0.58099999999999996</c:v>
                </c:pt>
                <c:pt idx="29">
                  <c:v>0</c:v>
                </c:pt>
                <c:pt idx="30">
                  <c:v>0.161</c:v>
                </c:pt>
                <c:pt idx="31">
                  <c:v>0</c:v>
                </c:pt>
                <c:pt idx="32">
                  <c:v>0.75</c:v>
                </c:pt>
                <c:pt idx="33">
                  <c:v>0</c:v>
                </c:pt>
                <c:pt idx="34">
                  <c:v>0</c:v>
                </c:pt>
                <c:pt idx="35">
                  <c:v>1.1000000000000001</c:v>
                </c:pt>
                <c:pt idx="36">
                  <c:v>0</c:v>
                </c:pt>
                <c:pt idx="37">
                  <c:v>0</c:v>
                </c:pt>
                <c:pt idx="38">
                  <c:v>0</c:v>
                </c:pt>
                <c:pt idx="39">
                  <c:v>0.247</c:v>
                </c:pt>
                <c:pt idx="40">
                  <c:v>0.47299999999999998</c:v>
                </c:pt>
                <c:pt idx="41">
                  <c:v>0.14000000000000001</c:v>
                </c:pt>
                <c:pt idx="42">
                  <c:v>0</c:v>
                </c:pt>
                <c:pt idx="43">
                  <c:v>0</c:v>
                </c:pt>
                <c:pt idx="44">
                  <c:v>0</c:v>
                </c:pt>
                <c:pt idx="45">
                  <c:v>0.108</c:v>
                </c:pt>
                <c:pt idx="46">
                  <c:v>0</c:v>
                </c:pt>
                <c:pt idx="47">
                  <c:v>0</c:v>
                </c:pt>
                <c:pt idx="48">
                  <c:v>0</c:v>
                </c:pt>
                <c:pt idx="49">
                  <c:v>0.88500000000000001</c:v>
                </c:pt>
                <c:pt idx="50">
                  <c:v>0</c:v>
                </c:pt>
                <c:pt idx="51">
                  <c:v>0</c:v>
                </c:pt>
              </c:numCache>
            </c:numRef>
          </c:val>
        </c:ser>
        <c:ser>
          <c:idx val="6"/>
          <c:order val="6"/>
          <c:tx>
            <c:strRef>
              <c:f>Value!$CD$7</c:f>
              <c:strCache>
                <c:ptCount val="1"/>
                <c:pt idx="0">
                  <c:v>Other non-residential</c:v>
                </c:pt>
              </c:strCache>
            </c:strRef>
          </c:tx>
          <c:spPr>
            <a:solidFill>
              <a:srgbClr val="00B0F0"/>
            </a:solidFill>
            <a:ln>
              <a:solidFill>
                <a:schemeClr val="tx1"/>
              </a:solidFill>
            </a:ln>
            <a:effectLst/>
          </c:spPr>
          <c:invertIfNegative val="0"/>
          <c:cat>
            <c:strRef>
              <c:f>Value!$AC$49:$AC$100</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Value!$CD$49:$CD$100</c:f>
              <c:numCache>
                <c:formatCode>_-"$"* #,##0_-;\-"$"* #,##0_-;_-"$"* "-"??_-;_-@_-</c:formatCode>
                <c:ptCount val="52"/>
                <c:pt idx="0">
                  <c:v>0</c:v>
                </c:pt>
                <c:pt idx="1">
                  <c:v>12.926</c:v>
                </c:pt>
                <c:pt idx="2">
                  <c:v>10.68</c:v>
                </c:pt>
                <c:pt idx="3">
                  <c:v>5.4640000000000004</c:v>
                </c:pt>
                <c:pt idx="4">
                  <c:v>58.411999999999999</c:v>
                </c:pt>
                <c:pt idx="5">
                  <c:v>2.3330000000000002</c:v>
                </c:pt>
                <c:pt idx="6">
                  <c:v>1.05</c:v>
                </c:pt>
                <c:pt idx="7">
                  <c:v>2.2490000000000001</c:v>
                </c:pt>
                <c:pt idx="8">
                  <c:v>1.859</c:v>
                </c:pt>
                <c:pt idx="9">
                  <c:v>1.1739999999999999</c:v>
                </c:pt>
                <c:pt idx="10">
                  <c:v>0.88400000000000001</c:v>
                </c:pt>
                <c:pt idx="11">
                  <c:v>0</c:v>
                </c:pt>
                <c:pt idx="12">
                  <c:v>0</c:v>
                </c:pt>
                <c:pt idx="13">
                  <c:v>0.252</c:v>
                </c:pt>
                <c:pt idx="14">
                  <c:v>1.3360000000000001</c:v>
                </c:pt>
                <c:pt idx="15">
                  <c:v>0.64300000000000002</c:v>
                </c:pt>
                <c:pt idx="16">
                  <c:v>5.0970000000000004</c:v>
                </c:pt>
                <c:pt idx="17">
                  <c:v>1.571</c:v>
                </c:pt>
                <c:pt idx="18">
                  <c:v>0.48</c:v>
                </c:pt>
                <c:pt idx="19">
                  <c:v>0.246</c:v>
                </c:pt>
                <c:pt idx="20">
                  <c:v>4.9290000000000003</c:v>
                </c:pt>
                <c:pt idx="21">
                  <c:v>2.5379999999999998</c:v>
                </c:pt>
                <c:pt idx="22">
                  <c:v>0</c:v>
                </c:pt>
                <c:pt idx="23">
                  <c:v>0</c:v>
                </c:pt>
                <c:pt idx="24">
                  <c:v>7.2999999999999995E-2</c:v>
                </c:pt>
                <c:pt idx="25">
                  <c:v>0.64500000000000002</c:v>
                </c:pt>
                <c:pt idx="26">
                  <c:v>0.14000000000000001</c:v>
                </c:pt>
                <c:pt idx="27">
                  <c:v>0.376</c:v>
                </c:pt>
                <c:pt idx="28">
                  <c:v>12.506</c:v>
                </c:pt>
                <c:pt idx="29">
                  <c:v>1.03</c:v>
                </c:pt>
                <c:pt idx="30">
                  <c:v>0.1</c:v>
                </c:pt>
                <c:pt idx="31">
                  <c:v>0</c:v>
                </c:pt>
                <c:pt idx="32">
                  <c:v>1.62</c:v>
                </c:pt>
                <c:pt idx="33">
                  <c:v>0.316</c:v>
                </c:pt>
                <c:pt idx="34">
                  <c:v>4.6219999999999999</c:v>
                </c:pt>
                <c:pt idx="35">
                  <c:v>0.16700000000000001</c:v>
                </c:pt>
                <c:pt idx="36">
                  <c:v>0</c:v>
                </c:pt>
                <c:pt idx="37">
                  <c:v>0.05</c:v>
                </c:pt>
                <c:pt idx="38">
                  <c:v>0.45300000000000001</c:v>
                </c:pt>
                <c:pt idx="39">
                  <c:v>0.112</c:v>
                </c:pt>
                <c:pt idx="40">
                  <c:v>1.4890000000000001</c:v>
                </c:pt>
                <c:pt idx="41">
                  <c:v>7.5990000000000002</c:v>
                </c:pt>
                <c:pt idx="42">
                  <c:v>0.15</c:v>
                </c:pt>
                <c:pt idx="43">
                  <c:v>0.123</c:v>
                </c:pt>
                <c:pt idx="44">
                  <c:v>1.587</c:v>
                </c:pt>
                <c:pt idx="45">
                  <c:v>0.11</c:v>
                </c:pt>
                <c:pt idx="46">
                  <c:v>2.4670000000000001</c:v>
                </c:pt>
                <c:pt idx="47">
                  <c:v>1.1259999999999999</c:v>
                </c:pt>
                <c:pt idx="48">
                  <c:v>0</c:v>
                </c:pt>
                <c:pt idx="49">
                  <c:v>7.2869999999999999</c:v>
                </c:pt>
                <c:pt idx="50">
                  <c:v>0.13800000000000001</c:v>
                </c:pt>
                <c:pt idx="51">
                  <c:v>8.8999999999999996E-2</c:v>
                </c:pt>
              </c:numCache>
            </c:numRef>
          </c:val>
        </c:ser>
        <c:dLbls>
          <c:showLegendKey val="0"/>
          <c:showVal val="0"/>
          <c:showCatName val="0"/>
          <c:showSerName val="0"/>
          <c:showPercent val="0"/>
          <c:showBubbleSize val="0"/>
        </c:dLbls>
        <c:gapWidth val="30"/>
        <c:overlap val="100"/>
        <c:axId val="209622320"/>
        <c:axId val="209622880"/>
      </c:barChart>
      <c:catAx>
        <c:axId val="209622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22880"/>
        <c:crosses val="autoZero"/>
        <c:auto val="1"/>
        <c:lblAlgn val="ctr"/>
        <c:lblOffset val="100"/>
        <c:noMultiLvlLbl val="0"/>
      </c:catAx>
      <c:valAx>
        <c:axId val="20962288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Approvals (millions)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22320"/>
        <c:crosses val="autoZero"/>
        <c:crossBetween val="between"/>
      </c:valAx>
      <c:spPr>
        <a:noFill/>
        <a:ln>
          <a:noFill/>
        </a:ln>
        <a:effectLst/>
      </c:spPr>
    </c:plotArea>
    <c:legend>
      <c:legendPos val="b"/>
      <c:layout>
        <c:manualLayout>
          <c:xMode val="edge"/>
          <c:yMode val="edge"/>
          <c:x val="0.49576751326158575"/>
          <c:y val="0"/>
          <c:w val="0.50423248673841425"/>
          <c:h val="0.112460428205967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Population</a:t>
            </a:r>
            <a:r>
              <a:rPr lang="en-AU" baseline="0"/>
              <a:t> of Local Government Areas - As of June 30 2016</a:t>
            </a:r>
          </a:p>
          <a:p>
            <a:pPr algn="l">
              <a:defRPr/>
            </a:pPr>
            <a:r>
              <a:rPr lang="en-AU" baseline="0"/>
              <a:t>Metro Melbourne</a:t>
            </a:r>
          </a:p>
          <a:p>
            <a:pPr algn="l">
              <a:defRPr/>
            </a:pPr>
            <a:r>
              <a:rPr lang="en-AU" sz="1000" baseline="0"/>
              <a:t>Source: ABS Demographics </a:t>
            </a:r>
            <a:endParaRPr lang="en-AU"/>
          </a:p>
        </c:rich>
      </c:tx>
      <c:layout>
        <c:manualLayout>
          <c:xMode val="edge"/>
          <c:yMode val="edge"/>
          <c:x val="9.1825256536810296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949290521046773"/>
          <c:y val="9.9185352331960505E-2"/>
          <c:w val="0.76938392904968511"/>
          <c:h val="0.856411615882684"/>
        </c:manualLayout>
      </c:layout>
      <c:barChart>
        <c:barDir val="bar"/>
        <c:grouping val="clustered"/>
        <c:varyColors val="1"/>
        <c:ser>
          <c:idx val="1"/>
          <c:order val="0"/>
          <c:tx>
            <c:strRef>
              <c:f>Sheet2!$C$1</c:f>
              <c:strCache>
                <c:ptCount val="1"/>
                <c:pt idx="0">
                  <c:v>Population 2016</c:v>
                </c:pt>
              </c:strCache>
            </c:strRef>
          </c:tx>
          <c:spPr>
            <a:ln>
              <a:solidFill>
                <a:schemeClr val="tx1"/>
              </a:solidFill>
            </a:ln>
          </c:spPr>
          <c:invertIfNegative val="0"/>
          <c:dPt>
            <c:idx val="0"/>
            <c:invertIfNegative val="0"/>
            <c:bubble3D val="0"/>
            <c:spPr>
              <a:solidFill>
                <a:schemeClr val="accent6"/>
              </a:solidFill>
              <a:ln>
                <a:solidFill>
                  <a:schemeClr val="tx1"/>
                </a:solidFill>
              </a:ln>
              <a:effectLst/>
            </c:spPr>
          </c:dPt>
          <c:dPt>
            <c:idx val="1"/>
            <c:invertIfNegative val="0"/>
            <c:bubble3D val="0"/>
            <c:spPr>
              <a:solidFill>
                <a:schemeClr val="accent5"/>
              </a:solidFill>
              <a:ln>
                <a:solidFill>
                  <a:schemeClr val="tx1"/>
                </a:solidFill>
              </a:ln>
              <a:effectLst/>
            </c:spPr>
          </c:dPt>
          <c:dPt>
            <c:idx val="2"/>
            <c:invertIfNegative val="0"/>
            <c:bubble3D val="0"/>
            <c:spPr>
              <a:solidFill>
                <a:schemeClr val="accent4"/>
              </a:solidFill>
              <a:ln>
                <a:solidFill>
                  <a:schemeClr val="tx1"/>
                </a:solidFill>
              </a:ln>
              <a:effectLst/>
            </c:spPr>
          </c:dPt>
          <c:dPt>
            <c:idx val="3"/>
            <c:invertIfNegative val="0"/>
            <c:bubble3D val="0"/>
            <c:spPr>
              <a:solidFill>
                <a:schemeClr val="accent6">
                  <a:lumMod val="60000"/>
                </a:schemeClr>
              </a:solidFill>
              <a:ln>
                <a:solidFill>
                  <a:schemeClr val="tx1"/>
                </a:solidFill>
              </a:ln>
              <a:effectLst/>
            </c:spPr>
          </c:dPt>
          <c:dPt>
            <c:idx val="4"/>
            <c:invertIfNegative val="0"/>
            <c:bubble3D val="0"/>
            <c:spPr>
              <a:solidFill>
                <a:schemeClr val="accent5">
                  <a:lumMod val="60000"/>
                </a:schemeClr>
              </a:solidFill>
              <a:ln>
                <a:solidFill>
                  <a:schemeClr val="tx1"/>
                </a:solidFill>
              </a:ln>
              <a:effectLst/>
            </c:spPr>
          </c:dPt>
          <c:dPt>
            <c:idx val="5"/>
            <c:invertIfNegative val="0"/>
            <c:bubble3D val="0"/>
            <c:spPr>
              <a:solidFill>
                <a:schemeClr val="accent4">
                  <a:lumMod val="60000"/>
                </a:schemeClr>
              </a:solidFill>
              <a:ln>
                <a:solidFill>
                  <a:schemeClr val="tx1"/>
                </a:solidFill>
              </a:ln>
              <a:effectLst/>
            </c:spPr>
          </c:dPt>
          <c:dPt>
            <c:idx val="6"/>
            <c:invertIfNegative val="0"/>
            <c:bubble3D val="0"/>
            <c:spPr>
              <a:solidFill>
                <a:schemeClr val="accent6">
                  <a:lumMod val="80000"/>
                  <a:lumOff val="20000"/>
                </a:schemeClr>
              </a:solidFill>
              <a:ln>
                <a:solidFill>
                  <a:schemeClr val="tx1"/>
                </a:solidFill>
              </a:ln>
              <a:effectLst/>
            </c:spPr>
          </c:dPt>
          <c:dPt>
            <c:idx val="7"/>
            <c:invertIfNegative val="0"/>
            <c:bubble3D val="0"/>
            <c:spPr>
              <a:solidFill>
                <a:schemeClr val="accent5">
                  <a:lumMod val="80000"/>
                  <a:lumOff val="20000"/>
                </a:schemeClr>
              </a:solidFill>
              <a:ln>
                <a:solidFill>
                  <a:schemeClr val="tx1"/>
                </a:solidFill>
              </a:ln>
              <a:effectLst/>
            </c:spPr>
          </c:dPt>
          <c:dPt>
            <c:idx val="8"/>
            <c:invertIfNegative val="0"/>
            <c:bubble3D val="0"/>
            <c:spPr>
              <a:solidFill>
                <a:schemeClr val="accent4">
                  <a:lumMod val="80000"/>
                  <a:lumOff val="20000"/>
                </a:schemeClr>
              </a:solidFill>
              <a:ln>
                <a:solidFill>
                  <a:schemeClr val="tx1"/>
                </a:solidFill>
              </a:ln>
              <a:effectLst/>
            </c:spPr>
          </c:dPt>
          <c:dPt>
            <c:idx val="9"/>
            <c:invertIfNegative val="0"/>
            <c:bubble3D val="0"/>
            <c:spPr>
              <a:solidFill>
                <a:schemeClr val="accent6">
                  <a:lumMod val="80000"/>
                </a:schemeClr>
              </a:solidFill>
              <a:ln>
                <a:solidFill>
                  <a:schemeClr val="tx1"/>
                </a:solidFill>
              </a:ln>
              <a:effectLst/>
            </c:spPr>
          </c:dPt>
          <c:dPt>
            <c:idx val="10"/>
            <c:invertIfNegative val="0"/>
            <c:bubble3D val="0"/>
            <c:spPr>
              <a:solidFill>
                <a:schemeClr val="accent5">
                  <a:lumMod val="80000"/>
                </a:schemeClr>
              </a:solidFill>
              <a:ln>
                <a:solidFill>
                  <a:schemeClr val="tx1"/>
                </a:solidFill>
              </a:ln>
              <a:effectLst/>
            </c:spPr>
          </c:dPt>
          <c:dPt>
            <c:idx val="11"/>
            <c:invertIfNegative val="0"/>
            <c:bubble3D val="0"/>
            <c:spPr>
              <a:solidFill>
                <a:schemeClr val="accent4">
                  <a:lumMod val="80000"/>
                </a:schemeClr>
              </a:solidFill>
              <a:ln>
                <a:solidFill>
                  <a:schemeClr val="tx1"/>
                </a:solidFill>
              </a:ln>
              <a:effectLst/>
            </c:spPr>
          </c:dPt>
          <c:dPt>
            <c:idx val="12"/>
            <c:invertIfNegative val="0"/>
            <c:bubble3D val="0"/>
            <c:spPr>
              <a:solidFill>
                <a:schemeClr val="accent6">
                  <a:lumMod val="60000"/>
                  <a:lumOff val="40000"/>
                </a:schemeClr>
              </a:solidFill>
              <a:ln>
                <a:solidFill>
                  <a:schemeClr val="tx1"/>
                </a:solidFill>
              </a:ln>
              <a:effectLst/>
            </c:spPr>
          </c:dPt>
          <c:dPt>
            <c:idx val="13"/>
            <c:invertIfNegative val="0"/>
            <c:bubble3D val="0"/>
            <c:spPr>
              <a:solidFill>
                <a:schemeClr val="accent5">
                  <a:lumMod val="60000"/>
                  <a:lumOff val="40000"/>
                </a:schemeClr>
              </a:solidFill>
              <a:ln>
                <a:solidFill>
                  <a:schemeClr val="tx1"/>
                </a:solidFill>
              </a:ln>
              <a:effectLst/>
            </c:spPr>
          </c:dPt>
          <c:dPt>
            <c:idx val="14"/>
            <c:invertIfNegative val="0"/>
            <c:bubble3D val="0"/>
            <c:spPr>
              <a:solidFill>
                <a:schemeClr val="accent4">
                  <a:lumMod val="60000"/>
                  <a:lumOff val="40000"/>
                </a:schemeClr>
              </a:solidFill>
              <a:ln>
                <a:solidFill>
                  <a:schemeClr val="tx1"/>
                </a:solidFill>
              </a:ln>
              <a:effectLst/>
            </c:spPr>
          </c:dPt>
          <c:dPt>
            <c:idx val="15"/>
            <c:invertIfNegative val="0"/>
            <c:bubble3D val="0"/>
            <c:spPr>
              <a:solidFill>
                <a:schemeClr val="accent6">
                  <a:lumMod val="50000"/>
                </a:schemeClr>
              </a:solidFill>
              <a:ln>
                <a:solidFill>
                  <a:schemeClr val="tx1"/>
                </a:solidFill>
              </a:ln>
              <a:effectLst/>
            </c:spPr>
          </c:dPt>
          <c:dPt>
            <c:idx val="16"/>
            <c:invertIfNegative val="0"/>
            <c:bubble3D val="0"/>
            <c:spPr>
              <a:solidFill>
                <a:schemeClr val="accent5">
                  <a:lumMod val="50000"/>
                </a:schemeClr>
              </a:solidFill>
              <a:ln>
                <a:solidFill>
                  <a:schemeClr val="tx1"/>
                </a:solidFill>
              </a:ln>
              <a:effectLst/>
            </c:spPr>
          </c:dPt>
          <c:dPt>
            <c:idx val="17"/>
            <c:invertIfNegative val="0"/>
            <c:bubble3D val="0"/>
            <c:spPr>
              <a:solidFill>
                <a:schemeClr val="accent4">
                  <a:lumMod val="50000"/>
                </a:schemeClr>
              </a:solidFill>
              <a:ln>
                <a:solidFill>
                  <a:schemeClr val="tx1"/>
                </a:solidFill>
              </a:ln>
              <a:effectLst/>
            </c:spPr>
          </c:dPt>
          <c:dPt>
            <c:idx val="18"/>
            <c:invertIfNegative val="0"/>
            <c:bubble3D val="0"/>
            <c:spPr>
              <a:solidFill>
                <a:schemeClr val="accent6">
                  <a:lumMod val="70000"/>
                  <a:lumOff val="30000"/>
                </a:schemeClr>
              </a:solidFill>
              <a:ln>
                <a:solidFill>
                  <a:schemeClr val="tx1"/>
                </a:solidFill>
              </a:ln>
              <a:effectLst/>
            </c:spPr>
          </c:dPt>
          <c:dPt>
            <c:idx val="19"/>
            <c:invertIfNegative val="0"/>
            <c:bubble3D val="0"/>
            <c:spPr>
              <a:solidFill>
                <a:schemeClr val="accent5">
                  <a:lumMod val="70000"/>
                  <a:lumOff val="30000"/>
                </a:schemeClr>
              </a:solidFill>
              <a:ln>
                <a:solidFill>
                  <a:schemeClr val="tx1"/>
                </a:solidFill>
              </a:ln>
              <a:effectLst/>
            </c:spPr>
          </c:dPt>
          <c:dPt>
            <c:idx val="20"/>
            <c:invertIfNegative val="0"/>
            <c:bubble3D val="0"/>
            <c:spPr>
              <a:solidFill>
                <a:schemeClr val="accent4">
                  <a:lumMod val="70000"/>
                  <a:lumOff val="30000"/>
                </a:schemeClr>
              </a:solidFill>
              <a:ln>
                <a:solidFill>
                  <a:schemeClr val="tx1"/>
                </a:solidFill>
              </a:ln>
              <a:effectLst/>
            </c:spPr>
          </c:dPt>
          <c:dPt>
            <c:idx val="21"/>
            <c:invertIfNegative val="0"/>
            <c:bubble3D val="0"/>
            <c:spPr>
              <a:solidFill>
                <a:schemeClr val="accent6">
                  <a:lumMod val="70000"/>
                </a:schemeClr>
              </a:solidFill>
              <a:ln>
                <a:solidFill>
                  <a:schemeClr val="tx1"/>
                </a:solidFill>
              </a:ln>
              <a:effectLst/>
            </c:spPr>
          </c:dPt>
          <c:dPt>
            <c:idx val="22"/>
            <c:invertIfNegative val="0"/>
            <c:bubble3D val="0"/>
            <c:spPr>
              <a:solidFill>
                <a:schemeClr val="accent5">
                  <a:lumMod val="70000"/>
                </a:schemeClr>
              </a:solidFill>
              <a:ln>
                <a:solidFill>
                  <a:schemeClr val="tx1"/>
                </a:solidFill>
              </a:ln>
              <a:effectLst/>
            </c:spPr>
          </c:dPt>
          <c:dPt>
            <c:idx val="23"/>
            <c:invertIfNegative val="0"/>
            <c:bubble3D val="0"/>
            <c:spPr>
              <a:solidFill>
                <a:schemeClr val="accent4">
                  <a:lumMod val="70000"/>
                </a:schemeClr>
              </a:solidFill>
              <a:ln>
                <a:solidFill>
                  <a:schemeClr val="tx1"/>
                </a:solidFill>
              </a:ln>
              <a:effectLst/>
            </c:spPr>
          </c:dPt>
          <c:dPt>
            <c:idx val="24"/>
            <c:invertIfNegative val="0"/>
            <c:bubble3D val="0"/>
            <c:spPr>
              <a:solidFill>
                <a:schemeClr val="accent6">
                  <a:lumMod val="50000"/>
                  <a:lumOff val="50000"/>
                </a:schemeClr>
              </a:solidFill>
              <a:ln>
                <a:solidFill>
                  <a:schemeClr val="tx1"/>
                </a:solidFill>
              </a:ln>
              <a:effectLst/>
            </c:spPr>
          </c:dPt>
          <c:dPt>
            <c:idx val="25"/>
            <c:invertIfNegative val="0"/>
            <c:bubble3D val="0"/>
            <c:spPr>
              <a:solidFill>
                <a:schemeClr val="accent5">
                  <a:lumMod val="50000"/>
                  <a:lumOff val="50000"/>
                </a:schemeClr>
              </a:solidFill>
              <a:ln>
                <a:solidFill>
                  <a:schemeClr val="tx1"/>
                </a:solidFill>
              </a:ln>
              <a:effectLst/>
            </c:spPr>
          </c:dPt>
          <c:dPt>
            <c:idx val="26"/>
            <c:invertIfNegative val="0"/>
            <c:bubble3D val="0"/>
            <c:spPr>
              <a:solidFill>
                <a:schemeClr val="accent4">
                  <a:lumMod val="50000"/>
                  <a:lumOff val="50000"/>
                </a:schemeClr>
              </a:solidFill>
              <a:ln>
                <a:solidFill>
                  <a:schemeClr val="tx1"/>
                </a:solidFill>
              </a:ln>
              <a:effectLst/>
            </c:spPr>
          </c:dPt>
          <c:dPt>
            <c:idx val="27"/>
            <c:invertIfNegative val="0"/>
            <c:bubble3D val="0"/>
            <c:spPr>
              <a:solidFill>
                <a:schemeClr val="accent6"/>
              </a:solidFill>
              <a:ln>
                <a:solidFill>
                  <a:schemeClr val="tx1"/>
                </a:solidFill>
              </a:ln>
              <a:effectLst/>
            </c:spPr>
          </c:dPt>
          <c:dPt>
            <c:idx val="28"/>
            <c:invertIfNegative val="0"/>
            <c:bubble3D val="0"/>
            <c:spPr>
              <a:solidFill>
                <a:schemeClr val="accent5"/>
              </a:solidFill>
              <a:ln>
                <a:solidFill>
                  <a:schemeClr val="tx1"/>
                </a:solidFill>
              </a:ln>
              <a:effectLst/>
            </c:spPr>
          </c:dPt>
          <c:dPt>
            <c:idx val="29"/>
            <c:invertIfNegative val="0"/>
            <c:bubble3D val="0"/>
            <c:spPr>
              <a:solidFill>
                <a:schemeClr val="accent4"/>
              </a:solidFill>
              <a:ln>
                <a:solidFill>
                  <a:schemeClr val="tx1"/>
                </a:solidFill>
              </a:ln>
              <a:effectLst/>
            </c:spPr>
          </c:dPt>
          <c:dPt>
            <c:idx val="30"/>
            <c:invertIfNegative val="0"/>
            <c:bubble3D val="0"/>
            <c:spPr>
              <a:solidFill>
                <a:schemeClr val="accent6">
                  <a:lumMod val="60000"/>
                </a:schemeClr>
              </a:solidFill>
              <a:ln>
                <a:solidFill>
                  <a:schemeClr val="tx1"/>
                </a:solidFill>
              </a:ln>
              <a:effectLst/>
            </c:spPr>
          </c:dPt>
          <c:dPt>
            <c:idx val="31"/>
            <c:invertIfNegative val="0"/>
            <c:bubble3D val="0"/>
            <c:spPr>
              <a:solidFill>
                <a:schemeClr val="accent5">
                  <a:lumMod val="60000"/>
                </a:schemeClr>
              </a:solidFill>
              <a:ln>
                <a:solidFill>
                  <a:schemeClr val="tx1"/>
                </a:solidFill>
              </a:ln>
              <a:effectLst/>
            </c:spPr>
          </c:dPt>
          <c:dPt>
            <c:idx val="32"/>
            <c:invertIfNegative val="0"/>
            <c:bubble3D val="0"/>
            <c:spPr>
              <a:solidFill>
                <a:schemeClr val="accent4">
                  <a:lumMod val="60000"/>
                </a:schemeClr>
              </a:solidFill>
              <a:ln>
                <a:solidFill>
                  <a:schemeClr val="tx1"/>
                </a:solidFill>
              </a:ln>
              <a:effectLst/>
            </c:spPr>
          </c:dPt>
          <c:dPt>
            <c:idx val="33"/>
            <c:invertIfNegative val="0"/>
            <c:bubble3D val="0"/>
            <c:spPr>
              <a:solidFill>
                <a:schemeClr val="accent6">
                  <a:lumMod val="80000"/>
                  <a:lumOff val="20000"/>
                </a:schemeClr>
              </a:solidFill>
              <a:ln>
                <a:solidFill>
                  <a:schemeClr val="tx1"/>
                </a:solidFill>
              </a:ln>
              <a:effectLst/>
            </c:spPr>
          </c:dPt>
          <c:dPt>
            <c:idx val="34"/>
            <c:invertIfNegative val="0"/>
            <c:bubble3D val="0"/>
            <c:spPr>
              <a:solidFill>
                <a:schemeClr val="accent5">
                  <a:lumMod val="80000"/>
                  <a:lumOff val="20000"/>
                </a:schemeClr>
              </a:solidFill>
              <a:ln>
                <a:solidFill>
                  <a:schemeClr val="tx1"/>
                </a:solidFill>
              </a:ln>
              <a:effectLst/>
            </c:spPr>
          </c:dPt>
          <c:dPt>
            <c:idx val="35"/>
            <c:invertIfNegative val="0"/>
            <c:bubble3D val="0"/>
            <c:spPr>
              <a:solidFill>
                <a:schemeClr val="accent4">
                  <a:lumMod val="80000"/>
                  <a:lumOff val="20000"/>
                </a:schemeClr>
              </a:solidFill>
              <a:ln>
                <a:solidFill>
                  <a:schemeClr val="tx1"/>
                </a:solidFill>
              </a:ln>
              <a:effectLst/>
            </c:spPr>
          </c:dPt>
          <c:dPt>
            <c:idx val="36"/>
            <c:invertIfNegative val="0"/>
            <c:bubble3D val="0"/>
            <c:spPr>
              <a:solidFill>
                <a:schemeClr val="accent6">
                  <a:lumMod val="80000"/>
                </a:schemeClr>
              </a:solidFill>
              <a:ln>
                <a:solidFill>
                  <a:schemeClr val="tx1"/>
                </a:solidFill>
              </a:ln>
              <a:effectLst/>
            </c:spPr>
          </c:dPt>
          <c:dPt>
            <c:idx val="37"/>
            <c:invertIfNegative val="0"/>
            <c:bubble3D val="0"/>
            <c:spPr>
              <a:solidFill>
                <a:schemeClr val="accent5">
                  <a:lumMod val="80000"/>
                </a:schemeClr>
              </a:solidFill>
              <a:ln>
                <a:solidFill>
                  <a:schemeClr val="tx1"/>
                </a:solidFill>
              </a:ln>
              <a:effectLst/>
            </c:spPr>
          </c:dPt>
          <c:dPt>
            <c:idx val="38"/>
            <c:invertIfNegative val="0"/>
            <c:bubble3D val="0"/>
            <c:spPr>
              <a:solidFill>
                <a:schemeClr val="accent4">
                  <a:lumMod val="80000"/>
                </a:schemeClr>
              </a:solidFill>
              <a:ln>
                <a:solidFill>
                  <a:schemeClr val="tx1"/>
                </a:solidFill>
              </a:ln>
              <a:effectLst/>
            </c:spPr>
          </c:dPt>
          <c:dPt>
            <c:idx val="39"/>
            <c:invertIfNegative val="0"/>
            <c:bubble3D val="0"/>
            <c:spPr>
              <a:solidFill>
                <a:schemeClr val="accent6">
                  <a:lumMod val="60000"/>
                  <a:lumOff val="40000"/>
                </a:schemeClr>
              </a:solidFill>
              <a:ln>
                <a:solidFill>
                  <a:schemeClr val="tx1"/>
                </a:solidFill>
              </a:ln>
              <a:effectLst/>
            </c:spPr>
          </c:dPt>
          <c:dPt>
            <c:idx val="40"/>
            <c:invertIfNegative val="0"/>
            <c:bubble3D val="0"/>
            <c:spPr>
              <a:solidFill>
                <a:schemeClr val="accent5">
                  <a:lumMod val="60000"/>
                  <a:lumOff val="40000"/>
                </a:schemeClr>
              </a:solidFill>
              <a:ln>
                <a:solidFill>
                  <a:schemeClr val="tx1"/>
                </a:solidFill>
              </a:ln>
              <a:effectLst/>
            </c:spPr>
          </c:dPt>
          <c:dPt>
            <c:idx val="41"/>
            <c:invertIfNegative val="0"/>
            <c:bubble3D val="0"/>
            <c:spPr>
              <a:solidFill>
                <a:schemeClr val="accent4">
                  <a:lumMod val="60000"/>
                  <a:lumOff val="40000"/>
                </a:schemeClr>
              </a:solidFill>
              <a:ln>
                <a:solidFill>
                  <a:schemeClr val="tx1"/>
                </a:solidFill>
              </a:ln>
              <a:effectLst/>
            </c:spPr>
          </c:dPt>
          <c:dPt>
            <c:idx val="42"/>
            <c:invertIfNegative val="0"/>
            <c:bubble3D val="0"/>
            <c:spPr>
              <a:solidFill>
                <a:schemeClr val="accent6">
                  <a:lumMod val="50000"/>
                </a:schemeClr>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Eastern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Sheet2!$C$2:$C$44</c:f>
              <c:numCache>
                <c:formatCode>_-* #,##0_-;\-* #,##0_-;_-* "-"??_-;_-@_-</c:formatCode>
                <c:ptCount val="43"/>
                <c:pt idx="1">
                  <c:v>136336</c:v>
                </c:pt>
                <c:pt idx="2">
                  <c:v>108472</c:v>
                </c:pt>
                <c:pt idx="3">
                  <c:v>91300</c:v>
                </c:pt>
                <c:pt idx="6">
                  <c:v>157052</c:v>
                </c:pt>
                <c:pt idx="7">
                  <c:v>120716</c:v>
                </c:pt>
                <c:pt idx="8">
                  <c:v>113944</c:v>
                </c:pt>
                <c:pt idx="9">
                  <c:v>190234</c:v>
                </c:pt>
                <c:pt idx="10">
                  <c:v>167933</c:v>
                </c:pt>
                <c:pt idx="11">
                  <c:v>152246</c:v>
                </c:pt>
                <c:pt idx="14">
                  <c:v>102882</c:v>
                </c:pt>
                <c:pt idx="15">
                  <c:v>176732</c:v>
                </c:pt>
                <c:pt idx="16">
                  <c:v>148846</c:v>
                </c:pt>
                <c:pt idx="17">
                  <c:v>110569</c:v>
                </c:pt>
                <c:pt idx="20">
                  <c:v>127791</c:v>
                </c:pt>
                <c:pt idx="21">
                  <c:v>153563</c:v>
                </c:pt>
                <c:pt idx="22">
                  <c:v>201304</c:v>
                </c:pt>
                <c:pt idx="23">
                  <c:v>40595</c:v>
                </c:pt>
                <c:pt idx="24">
                  <c:v>170615</c:v>
                </c:pt>
                <c:pt idx="25">
                  <c:v>63158</c:v>
                </c:pt>
                <c:pt idx="26">
                  <c:v>204643</c:v>
                </c:pt>
                <c:pt idx="29">
                  <c:v>95992</c:v>
                </c:pt>
                <c:pt idx="30">
                  <c:v>304071</c:v>
                </c:pt>
                <c:pt idx="31">
                  <c:v>137424</c:v>
                </c:pt>
                <c:pt idx="32">
                  <c:v>155650</c:v>
                </c:pt>
                <c:pt idx="33">
                  <c:v>156754</c:v>
                </c:pt>
                <c:pt idx="34">
                  <c:v>157041</c:v>
                </c:pt>
                <c:pt idx="37">
                  <c:v>202863</c:v>
                </c:pt>
                <c:pt idx="38">
                  <c:v>95046</c:v>
                </c:pt>
                <c:pt idx="39">
                  <c:v>85276</c:v>
                </c:pt>
                <c:pt idx="40">
                  <c:v>138641</c:v>
                </c:pt>
                <c:pt idx="41">
                  <c:v>121703</c:v>
                </c:pt>
                <c:pt idx="42">
                  <c:v>222656</c:v>
                </c:pt>
              </c:numCache>
            </c:numRef>
          </c:val>
        </c:ser>
        <c:dLbls>
          <c:showLegendKey val="0"/>
          <c:showVal val="0"/>
          <c:showCatName val="0"/>
          <c:showSerName val="0"/>
          <c:showPercent val="0"/>
          <c:showBubbleSize val="0"/>
        </c:dLbls>
        <c:gapWidth val="25"/>
        <c:axId val="209625120"/>
        <c:axId val="209625680"/>
      </c:barChart>
      <c:catAx>
        <c:axId val="209625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25680"/>
        <c:crosses val="autoZero"/>
        <c:auto val="1"/>
        <c:lblAlgn val="ctr"/>
        <c:lblOffset val="100"/>
        <c:noMultiLvlLbl val="0"/>
      </c:catAx>
      <c:valAx>
        <c:axId val="209625680"/>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25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Population</a:t>
            </a:r>
            <a:r>
              <a:rPr lang="en-AU" baseline="0"/>
              <a:t> of Local Government Areas - As of June 30th 2016</a:t>
            </a:r>
          </a:p>
          <a:p>
            <a:pPr algn="l">
              <a:defRPr/>
            </a:pPr>
            <a:r>
              <a:rPr lang="en-AU" baseline="0"/>
              <a:t>Regional Victoria</a:t>
            </a:r>
          </a:p>
          <a:p>
            <a:pPr algn="l">
              <a:defRPr/>
            </a:pPr>
            <a:r>
              <a:rPr lang="en-AU" sz="1000" baseline="0"/>
              <a:t>Source: ABS Demographics </a:t>
            </a:r>
            <a:endParaRPr lang="en-AU"/>
          </a:p>
        </c:rich>
      </c:tx>
      <c:layout>
        <c:manualLayout>
          <c:xMode val="edge"/>
          <c:yMode val="edge"/>
          <c:x val="1.7371769206815219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14748039672609"/>
          <c:y val="7.639329699172219E-2"/>
          <c:w val="0.68007963957776318"/>
          <c:h val="0.8792036251878772"/>
        </c:manualLayout>
      </c:layout>
      <c:barChart>
        <c:barDir val="bar"/>
        <c:grouping val="clustered"/>
        <c:varyColors val="1"/>
        <c:ser>
          <c:idx val="1"/>
          <c:order val="0"/>
          <c:tx>
            <c:strRef>
              <c:f>Sheet2!$C$1</c:f>
              <c:strCache>
                <c:ptCount val="1"/>
                <c:pt idx="0">
                  <c:v>Population 2016</c:v>
                </c:pt>
              </c:strCache>
            </c:strRef>
          </c:tx>
          <c:spPr>
            <a:ln>
              <a:solidFill>
                <a:schemeClr val="tx1"/>
              </a:solidFill>
            </a:ln>
          </c:spPr>
          <c:invertIfNegative val="0"/>
          <c:dPt>
            <c:idx val="0"/>
            <c:invertIfNegative val="0"/>
            <c:bubble3D val="0"/>
            <c:spPr>
              <a:solidFill>
                <a:schemeClr val="accent6"/>
              </a:solidFill>
              <a:ln>
                <a:solidFill>
                  <a:schemeClr val="tx1"/>
                </a:solidFill>
              </a:ln>
              <a:effectLst/>
            </c:spPr>
          </c:dPt>
          <c:dPt>
            <c:idx val="1"/>
            <c:invertIfNegative val="0"/>
            <c:bubble3D val="0"/>
            <c:spPr>
              <a:solidFill>
                <a:schemeClr val="accent5"/>
              </a:solidFill>
              <a:ln>
                <a:solidFill>
                  <a:schemeClr val="tx1"/>
                </a:solidFill>
              </a:ln>
              <a:effectLst/>
            </c:spPr>
          </c:dPt>
          <c:dPt>
            <c:idx val="2"/>
            <c:invertIfNegative val="0"/>
            <c:bubble3D val="0"/>
            <c:spPr>
              <a:solidFill>
                <a:schemeClr val="accent4"/>
              </a:solidFill>
              <a:ln>
                <a:solidFill>
                  <a:schemeClr val="tx1"/>
                </a:solidFill>
              </a:ln>
              <a:effectLst/>
            </c:spPr>
          </c:dPt>
          <c:dPt>
            <c:idx val="3"/>
            <c:invertIfNegative val="0"/>
            <c:bubble3D val="0"/>
            <c:spPr>
              <a:solidFill>
                <a:schemeClr val="accent6">
                  <a:lumMod val="60000"/>
                </a:schemeClr>
              </a:solidFill>
              <a:ln>
                <a:solidFill>
                  <a:schemeClr val="tx1"/>
                </a:solidFill>
              </a:ln>
              <a:effectLst/>
            </c:spPr>
          </c:dPt>
          <c:dPt>
            <c:idx val="4"/>
            <c:invertIfNegative val="0"/>
            <c:bubble3D val="0"/>
            <c:spPr>
              <a:solidFill>
                <a:schemeClr val="accent5">
                  <a:lumMod val="60000"/>
                </a:schemeClr>
              </a:solidFill>
              <a:ln>
                <a:solidFill>
                  <a:schemeClr val="tx1"/>
                </a:solidFill>
              </a:ln>
              <a:effectLst/>
            </c:spPr>
          </c:dPt>
          <c:dPt>
            <c:idx val="5"/>
            <c:invertIfNegative val="0"/>
            <c:bubble3D val="0"/>
            <c:spPr>
              <a:solidFill>
                <a:schemeClr val="accent4">
                  <a:lumMod val="60000"/>
                </a:schemeClr>
              </a:solidFill>
              <a:ln>
                <a:solidFill>
                  <a:schemeClr val="tx1"/>
                </a:solidFill>
              </a:ln>
              <a:effectLst/>
            </c:spPr>
          </c:dPt>
          <c:dPt>
            <c:idx val="6"/>
            <c:invertIfNegative val="0"/>
            <c:bubble3D val="0"/>
            <c:spPr>
              <a:solidFill>
                <a:schemeClr val="accent6">
                  <a:lumMod val="80000"/>
                  <a:lumOff val="20000"/>
                </a:schemeClr>
              </a:solidFill>
              <a:ln>
                <a:solidFill>
                  <a:schemeClr val="tx1"/>
                </a:solidFill>
              </a:ln>
              <a:effectLst/>
            </c:spPr>
          </c:dPt>
          <c:dPt>
            <c:idx val="7"/>
            <c:invertIfNegative val="0"/>
            <c:bubble3D val="0"/>
            <c:spPr>
              <a:solidFill>
                <a:schemeClr val="accent5">
                  <a:lumMod val="80000"/>
                  <a:lumOff val="20000"/>
                </a:schemeClr>
              </a:solidFill>
              <a:ln>
                <a:solidFill>
                  <a:schemeClr val="tx1"/>
                </a:solidFill>
              </a:ln>
              <a:effectLst/>
            </c:spPr>
          </c:dPt>
          <c:dPt>
            <c:idx val="8"/>
            <c:invertIfNegative val="0"/>
            <c:bubble3D val="0"/>
            <c:spPr>
              <a:solidFill>
                <a:schemeClr val="accent4">
                  <a:lumMod val="80000"/>
                  <a:lumOff val="20000"/>
                </a:schemeClr>
              </a:solidFill>
              <a:ln>
                <a:solidFill>
                  <a:schemeClr val="tx1"/>
                </a:solidFill>
              </a:ln>
              <a:effectLst/>
            </c:spPr>
          </c:dPt>
          <c:dPt>
            <c:idx val="9"/>
            <c:invertIfNegative val="0"/>
            <c:bubble3D val="0"/>
            <c:spPr>
              <a:solidFill>
                <a:schemeClr val="accent6">
                  <a:lumMod val="80000"/>
                </a:schemeClr>
              </a:solidFill>
              <a:ln>
                <a:solidFill>
                  <a:schemeClr val="tx1"/>
                </a:solidFill>
              </a:ln>
              <a:effectLst/>
            </c:spPr>
          </c:dPt>
          <c:dPt>
            <c:idx val="10"/>
            <c:invertIfNegative val="0"/>
            <c:bubble3D val="0"/>
            <c:spPr>
              <a:solidFill>
                <a:schemeClr val="accent5">
                  <a:lumMod val="80000"/>
                </a:schemeClr>
              </a:solidFill>
              <a:ln>
                <a:solidFill>
                  <a:schemeClr val="tx1"/>
                </a:solidFill>
              </a:ln>
              <a:effectLst/>
            </c:spPr>
          </c:dPt>
          <c:dPt>
            <c:idx val="11"/>
            <c:invertIfNegative val="0"/>
            <c:bubble3D val="0"/>
            <c:spPr>
              <a:solidFill>
                <a:schemeClr val="accent4">
                  <a:lumMod val="80000"/>
                </a:schemeClr>
              </a:solidFill>
              <a:ln>
                <a:solidFill>
                  <a:schemeClr val="tx1"/>
                </a:solidFill>
              </a:ln>
              <a:effectLst/>
            </c:spPr>
          </c:dPt>
          <c:dPt>
            <c:idx val="12"/>
            <c:invertIfNegative val="0"/>
            <c:bubble3D val="0"/>
            <c:spPr>
              <a:solidFill>
                <a:schemeClr val="accent6">
                  <a:lumMod val="60000"/>
                  <a:lumOff val="40000"/>
                </a:schemeClr>
              </a:solidFill>
              <a:ln>
                <a:solidFill>
                  <a:schemeClr val="tx1"/>
                </a:solidFill>
              </a:ln>
              <a:effectLst/>
            </c:spPr>
          </c:dPt>
          <c:dPt>
            <c:idx val="13"/>
            <c:invertIfNegative val="0"/>
            <c:bubble3D val="0"/>
            <c:spPr>
              <a:solidFill>
                <a:schemeClr val="accent5">
                  <a:lumMod val="60000"/>
                  <a:lumOff val="40000"/>
                </a:schemeClr>
              </a:solidFill>
              <a:ln>
                <a:solidFill>
                  <a:schemeClr val="tx1"/>
                </a:solidFill>
              </a:ln>
              <a:effectLst/>
            </c:spPr>
          </c:dPt>
          <c:dPt>
            <c:idx val="14"/>
            <c:invertIfNegative val="0"/>
            <c:bubble3D val="0"/>
            <c:spPr>
              <a:solidFill>
                <a:schemeClr val="accent4">
                  <a:lumMod val="60000"/>
                  <a:lumOff val="40000"/>
                </a:schemeClr>
              </a:solidFill>
              <a:ln>
                <a:solidFill>
                  <a:schemeClr val="tx1"/>
                </a:solidFill>
              </a:ln>
              <a:effectLst/>
            </c:spPr>
          </c:dPt>
          <c:dPt>
            <c:idx val="15"/>
            <c:invertIfNegative val="0"/>
            <c:bubble3D val="0"/>
            <c:spPr>
              <a:solidFill>
                <a:schemeClr val="accent6">
                  <a:lumMod val="50000"/>
                </a:schemeClr>
              </a:solidFill>
              <a:ln>
                <a:solidFill>
                  <a:schemeClr val="tx1"/>
                </a:solidFill>
              </a:ln>
              <a:effectLst/>
            </c:spPr>
          </c:dPt>
          <c:dPt>
            <c:idx val="16"/>
            <c:invertIfNegative val="0"/>
            <c:bubble3D val="0"/>
            <c:spPr>
              <a:solidFill>
                <a:schemeClr val="accent5">
                  <a:lumMod val="50000"/>
                </a:schemeClr>
              </a:solidFill>
              <a:ln>
                <a:solidFill>
                  <a:schemeClr val="tx1"/>
                </a:solidFill>
              </a:ln>
              <a:effectLst/>
            </c:spPr>
          </c:dPt>
          <c:dPt>
            <c:idx val="17"/>
            <c:invertIfNegative val="0"/>
            <c:bubble3D val="0"/>
            <c:spPr>
              <a:solidFill>
                <a:schemeClr val="accent4">
                  <a:lumMod val="50000"/>
                </a:schemeClr>
              </a:solidFill>
              <a:ln>
                <a:solidFill>
                  <a:schemeClr val="tx1"/>
                </a:solidFill>
              </a:ln>
              <a:effectLst/>
            </c:spPr>
          </c:dPt>
          <c:dPt>
            <c:idx val="18"/>
            <c:invertIfNegative val="0"/>
            <c:bubble3D val="0"/>
            <c:spPr>
              <a:solidFill>
                <a:schemeClr val="accent6">
                  <a:lumMod val="70000"/>
                  <a:lumOff val="30000"/>
                </a:schemeClr>
              </a:solidFill>
              <a:ln>
                <a:solidFill>
                  <a:schemeClr val="tx1"/>
                </a:solidFill>
              </a:ln>
              <a:effectLst/>
            </c:spPr>
          </c:dPt>
          <c:dPt>
            <c:idx val="19"/>
            <c:invertIfNegative val="0"/>
            <c:bubble3D val="0"/>
            <c:spPr>
              <a:solidFill>
                <a:schemeClr val="accent5">
                  <a:lumMod val="70000"/>
                  <a:lumOff val="30000"/>
                </a:schemeClr>
              </a:solidFill>
              <a:ln>
                <a:solidFill>
                  <a:schemeClr val="tx1"/>
                </a:solidFill>
              </a:ln>
              <a:effectLst/>
            </c:spPr>
          </c:dPt>
          <c:dPt>
            <c:idx val="20"/>
            <c:invertIfNegative val="0"/>
            <c:bubble3D val="0"/>
            <c:spPr>
              <a:solidFill>
                <a:schemeClr val="accent4">
                  <a:lumMod val="70000"/>
                  <a:lumOff val="30000"/>
                </a:schemeClr>
              </a:solidFill>
              <a:ln>
                <a:solidFill>
                  <a:schemeClr val="tx1"/>
                </a:solidFill>
              </a:ln>
              <a:effectLst/>
            </c:spPr>
          </c:dPt>
          <c:dPt>
            <c:idx val="21"/>
            <c:invertIfNegative val="0"/>
            <c:bubble3D val="0"/>
            <c:spPr>
              <a:solidFill>
                <a:schemeClr val="accent6">
                  <a:lumMod val="70000"/>
                </a:schemeClr>
              </a:solidFill>
              <a:ln>
                <a:solidFill>
                  <a:schemeClr val="tx1"/>
                </a:solidFill>
              </a:ln>
              <a:effectLst/>
            </c:spPr>
          </c:dPt>
          <c:dPt>
            <c:idx val="22"/>
            <c:invertIfNegative val="0"/>
            <c:bubble3D val="0"/>
            <c:spPr>
              <a:solidFill>
                <a:schemeClr val="accent5">
                  <a:lumMod val="70000"/>
                </a:schemeClr>
              </a:solidFill>
              <a:ln>
                <a:solidFill>
                  <a:schemeClr val="tx1"/>
                </a:solidFill>
              </a:ln>
              <a:effectLst/>
            </c:spPr>
          </c:dPt>
          <c:dPt>
            <c:idx val="23"/>
            <c:invertIfNegative val="0"/>
            <c:bubble3D val="0"/>
            <c:spPr>
              <a:solidFill>
                <a:schemeClr val="accent4">
                  <a:lumMod val="70000"/>
                </a:schemeClr>
              </a:solidFill>
              <a:ln>
                <a:solidFill>
                  <a:schemeClr val="tx1"/>
                </a:solidFill>
              </a:ln>
              <a:effectLst/>
            </c:spPr>
          </c:dPt>
          <c:dPt>
            <c:idx val="24"/>
            <c:invertIfNegative val="0"/>
            <c:bubble3D val="0"/>
            <c:spPr>
              <a:solidFill>
                <a:schemeClr val="accent6">
                  <a:lumMod val="50000"/>
                  <a:lumOff val="50000"/>
                </a:schemeClr>
              </a:solidFill>
              <a:ln>
                <a:solidFill>
                  <a:schemeClr val="tx1"/>
                </a:solidFill>
              </a:ln>
              <a:effectLst/>
            </c:spPr>
          </c:dPt>
          <c:dPt>
            <c:idx val="25"/>
            <c:invertIfNegative val="0"/>
            <c:bubble3D val="0"/>
            <c:spPr>
              <a:solidFill>
                <a:schemeClr val="accent5">
                  <a:lumMod val="50000"/>
                  <a:lumOff val="50000"/>
                </a:schemeClr>
              </a:solidFill>
              <a:ln>
                <a:solidFill>
                  <a:schemeClr val="tx1"/>
                </a:solidFill>
              </a:ln>
              <a:effectLst/>
            </c:spPr>
          </c:dPt>
          <c:dPt>
            <c:idx val="26"/>
            <c:invertIfNegative val="0"/>
            <c:bubble3D val="0"/>
            <c:spPr>
              <a:solidFill>
                <a:schemeClr val="accent4">
                  <a:lumMod val="50000"/>
                  <a:lumOff val="50000"/>
                </a:schemeClr>
              </a:solidFill>
              <a:ln>
                <a:solidFill>
                  <a:schemeClr val="tx1"/>
                </a:solidFill>
              </a:ln>
              <a:effectLst/>
            </c:spPr>
          </c:dPt>
          <c:dPt>
            <c:idx val="27"/>
            <c:invertIfNegative val="0"/>
            <c:bubble3D val="0"/>
            <c:spPr>
              <a:solidFill>
                <a:schemeClr val="accent6"/>
              </a:solidFill>
              <a:ln>
                <a:solidFill>
                  <a:schemeClr val="tx1"/>
                </a:solidFill>
              </a:ln>
              <a:effectLst/>
            </c:spPr>
          </c:dPt>
          <c:dPt>
            <c:idx val="28"/>
            <c:invertIfNegative val="0"/>
            <c:bubble3D val="0"/>
            <c:spPr>
              <a:solidFill>
                <a:schemeClr val="accent5"/>
              </a:solidFill>
              <a:ln>
                <a:solidFill>
                  <a:schemeClr val="tx1"/>
                </a:solidFill>
              </a:ln>
              <a:effectLst/>
            </c:spPr>
          </c:dPt>
          <c:dPt>
            <c:idx val="29"/>
            <c:invertIfNegative val="0"/>
            <c:bubble3D val="0"/>
            <c:spPr>
              <a:solidFill>
                <a:schemeClr val="accent4"/>
              </a:solidFill>
              <a:ln>
                <a:solidFill>
                  <a:schemeClr val="tx1"/>
                </a:solidFill>
              </a:ln>
              <a:effectLst/>
            </c:spPr>
          </c:dPt>
          <c:dPt>
            <c:idx val="30"/>
            <c:invertIfNegative val="0"/>
            <c:bubble3D val="0"/>
            <c:spPr>
              <a:solidFill>
                <a:schemeClr val="accent6">
                  <a:lumMod val="60000"/>
                </a:schemeClr>
              </a:solidFill>
              <a:ln>
                <a:solidFill>
                  <a:schemeClr val="tx1"/>
                </a:solidFill>
              </a:ln>
              <a:effectLst/>
            </c:spPr>
          </c:dPt>
          <c:dPt>
            <c:idx val="31"/>
            <c:invertIfNegative val="0"/>
            <c:bubble3D val="0"/>
            <c:spPr>
              <a:solidFill>
                <a:schemeClr val="accent5">
                  <a:lumMod val="60000"/>
                </a:schemeClr>
              </a:solidFill>
              <a:ln>
                <a:solidFill>
                  <a:schemeClr val="tx1"/>
                </a:solidFill>
              </a:ln>
              <a:effectLst/>
            </c:spPr>
          </c:dPt>
          <c:dPt>
            <c:idx val="32"/>
            <c:invertIfNegative val="0"/>
            <c:bubble3D val="0"/>
            <c:spPr>
              <a:solidFill>
                <a:schemeClr val="accent4">
                  <a:lumMod val="60000"/>
                </a:schemeClr>
              </a:solidFill>
              <a:ln>
                <a:solidFill>
                  <a:schemeClr val="tx1"/>
                </a:solidFill>
              </a:ln>
              <a:effectLst/>
            </c:spPr>
          </c:dPt>
          <c:dPt>
            <c:idx val="33"/>
            <c:invertIfNegative val="0"/>
            <c:bubble3D val="0"/>
            <c:spPr>
              <a:solidFill>
                <a:schemeClr val="accent6">
                  <a:lumMod val="80000"/>
                  <a:lumOff val="20000"/>
                </a:schemeClr>
              </a:solidFill>
              <a:ln>
                <a:solidFill>
                  <a:schemeClr val="tx1"/>
                </a:solidFill>
              </a:ln>
              <a:effectLst/>
            </c:spPr>
          </c:dPt>
          <c:dPt>
            <c:idx val="34"/>
            <c:invertIfNegative val="0"/>
            <c:bubble3D val="0"/>
            <c:spPr>
              <a:solidFill>
                <a:schemeClr val="accent5">
                  <a:lumMod val="80000"/>
                  <a:lumOff val="20000"/>
                </a:schemeClr>
              </a:solidFill>
              <a:ln>
                <a:solidFill>
                  <a:schemeClr val="tx1"/>
                </a:solidFill>
              </a:ln>
              <a:effectLst/>
            </c:spPr>
          </c:dPt>
          <c:dPt>
            <c:idx val="35"/>
            <c:invertIfNegative val="0"/>
            <c:bubble3D val="0"/>
            <c:spPr>
              <a:solidFill>
                <a:schemeClr val="accent4">
                  <a:lumMod val="80000"/>
                  <a:lumOff val="20000"/>
                </a:schemeClr>
              </a:solidFill>
              <a:ln>
                <a:solidFill>
                  <a:schemeClr val="tx1"/>
                </a:solidFill>
              </a:ln>
              <a:effectLst/>
            </c:spPr>
          </c:dPt>
          <c:dPt>
            <c:idx val="36"/>
            <c:invertIfNegative val="0"/>
            <c:bubble3D val="0"/>
            <c:spPr>
              <a:solidFill>
                <a:schemeClr val="accent6">
                  <a:lumMod val="80000"/>
                </a:schemeClr>
              </a:solidFill>
              <a:ln>
                <a:solidFill>
                  <a:schemeClr val="tx1"/>
                </a:solidFill>
              </a:ln>
              <a:effectLst/>
            </c:spPr>
          </c:dPt>
          <c:dPt>
            <c:idx val="37"/>
            <c:invertIfNegative val="0"/>
            <c:bubble3D val="0"/>
            <c:spPr>
              <a:solidFill>
                <a:schemeClr val="accent5">
                  <a:lumMod val="80000"/>
                </a:schemeClr>
              </a:solidFill>
              <a:ln>
                <a:solidFill>
                  <a:schemeClr val="tx1"/>
                </a:solidFill>
              </a:ln>
              <a:effectLst/>
            </c:spPr>
          </c:dPt>
          <c:dPt>
            <c:idx val="38"/>
            <c:invertIfNegative val="0"/>
            <c:bubble3D val="0"/>
            <c:spPr>
              <a:solidFill>
                <a:schemeClr val="accent4">
                  <a:lumMod val="80000"/>
                </a:schemeClr>
              </a:solidFill>
              <a:ln>
                <a:solidFill>
                  <a:schemeClr val="tx1"/>
                </a:solidFill>
              </a:ln>
              <a:effectLst/>
            </c:spPr>
          </c:dPt>
          <c:dPt>
            <c:idx val="39"/>
            <c:invertIfNegative val="0"/>
            <c:bubble3D val="0"/>
            <c:spPr>
              <a:solidFill>
                <a:schemeClr val="accent6">
                  <a:lumMod val="60000"/>
                  <a:lumOff val="40000"/>
                </a:schemeClr>
              </a:solidFill>
              <a:ln>
                <a:solidFill>
                  <a:schemeClr val="tx1"/>
                </a:solidFill>
              </a:ln>
              <a:effectLst/>
            </c:spPr>
          </c:dPt>
          <c:dPt>
            <c:idx val="40"/>
            <c:invertIfNegative val="0"/>
            <c:bubble3D val="0"/>
            <c:spPr>
              <a:solidFill>
                <a:schemeClr val="accent5">
                  <a:lumMod val="60000"/>
                  <a:lumOff val="40000"/>
                </a:schemeClr>
              </a:solidFill>
              <a:ln>
                <a:solidFill>
                  <a:schemeClr val="tx1"/>
                </a:solidFill>
              </a:ln>
              <a:effectLst/>
            </c:spPr>
          </c:dPt>
          <c:dPt>
            <c:idx val="41"/>
            <c:invertIfNegative val="0"/>
            <c:bubble3D val="0"/>
            <c:spPr>
              <a:solidFill>
                <a:schemeClr val="accent4">
                  <a:lumMod val="60000"/>
                  <a:lumOff val="40000"/>
                </a:schemeClr>
              </a:solidFill>
              <a:ln>
                <a:solidFill>
                  <a:schemeClr val="tx1"/>
                </a:solidFill>
              </a:ln>
              <a:effectLst/>
            </c:spPr>
          </c:dPt>
          <c:dPt>
            <c:idx val="42"/>
            <c:invertIfNegative val="0"/>
            <c:bubble3D val="0"/>
            <c:spPr>
              <a:solidFill>
                <a:schemeClr val="accent6">
                  <a:lumMod val="50000"/>
                </a:schemeClr>
              </a:solidFill>
              <a:ln>
                <a:solidFill>
                  <a:schemeClr val="tx1"/>
                </a:solidFill>
              </a:ln>
              <a:effectLst/>
            </c:spPr>
          </c:dPt>
          <c:dPt>
            <c:idx val="43"/>
            <c:invertIfNegative val="0"/>
            <c:bubble3D val="0"/>
            <c:spPr>
              <a:solidFill>
                <a:schemeClr val="accent5">
                  <a:lumMod val="50000"/>
                </a:schemeClr>
              </a:solidFill>
              <a:ln>
                <a:solidFill>
                  <a:schemeClr val="tx1"/>
                </a:solidFill>
              </a:ln>
              <a:effectLst/>
            </c:spPr>
          </c:dPt>
          <c:dPt>
            <c:idx val="44"/>
            <c:invertIfNegative val="0"/>
            <c:bubble3D val="0"/>
            <c:spPr>
              <a:solidFill>
                <a:schemeClr val="accent4">
                  <a:lumMod val="50000"/>
                </a:schemeClr>
              </a:solidFill>
              <a:ln>
                <a:solidFill>
                  <a:schemeClr val="tx1"/>
                </a:solidFill>
              </a:ln>
              <a:effectLst/>
            </c:spPr>
          </c:dPt>
          <c:dPt>
            <c:idx val="45"/>
            <c:invertIfNegative val="0"/>
            <c:bubble3D val="0"/>
            <c:spPr>
              <a:solidFill>
                <a:schemeClr val="accent6">
                  <a:lumMod val="70000"/>
                  <a:lumOff val="30000"/>
                </a:schemeClr>
              </a:solidFill>
              <a:ln>
                <a:solidFill>
                  <a:schemeClr val="tx1"/>
                </a:solidFill>
              </a:ln>
              <a:effectLst/>
            </c:spPr>
          </c:dPt>
          <c:dPt>
            <c:idx val="46"/>
            <c:invertIfNegative val="0"/>
            <c:bubble3D val="0"/>
            <c:spPr>
              <a:solidFill>
                <a:schemeClr val="accent5">
                  <a:lumMod val="70000"/>
                  <a:lumOff val="30000"/>
                </a:schemeClr>
              </a:solidFill>
              <a:ln>
                <a:solidFill>
                  <a:schemeClr val="tx1"/>
                </a:solidFill>
              </a:ln>
              <a:effectLst/>
            </c:spPr>
          </c:dPt>
          <c:dPt>
            <c:idx val="47"/>
            <c:invertIfNegative val="0"/>
            <c:bubble3D val="0"/>
            <c:spPr>
              <a:solidFill>
                <a:schemeClr val="accent4">
                  <a:lumMod val="70000"/>
                  <a:lumOff val="30000"/>
                </a:schemeClr>
              </a:solidFill>
              <a:ln>
                <a:solidFill>
                  <a:schemeClr val="tx1"/>
                </a:solidFill>
              </a:ln>
              <a:effectLst/>
            </c:spPr>
          </c:dPt>
          <c:dPt>
            <c:idx val="48"/>
            <c:invertIfNegative val="0"/>
            <c:bubble3D val="0"/>
            <c:spPr>
              <a:solidFill>
                <a:schemeClr val="accent6">
                  <a:lumMod val="70000"/>
                </a:schemeClr>
              </a:solidFill>
              <a:ln>
                <a:solidFill>
                  <a:schemeClr val="tx1"/>
                </a:solidFill>
              </a:ln>
              <a:effectLst/>
            </c:spPr>
          </c:dPt>
          <c:dPt>
            <c:idx val="49"/>
            <c:invertIfNegative val="0"/>
            <c:bubble3D val="0"/>
            <c:spPr>
              <a:solidFill>
                <a:schemeClr val="accent5">
                  <a:lumMod val="70000"/>
                </a:schemeClr>
              </a:solidFill>
              <a:ln>
                <a:solidFill>
                  <a:schemeClr val="tx1"/>
                </a:solidFill>
              </a:ln>
              <a:effectLst/>
            </c:spPr>
          </c:dPt>
          <c:dPt>
            <c:idx val="50"/>
            <c:invertIfNegative val="0"/>
            <c:bubble3D val="0"/>
            <c:spPr>
              <a:solidFill>
                <a:schemeClr val="accent4">
                  <a:lumMod val="70000"/>
                </a:schemeClr>
              </a:solidFill>
              <a:ln>
                <a:solidFill>
                  <a:schemeClr val="tx1"/>
                </a:solidFill>
              </a:ln>
              <a:effectLst/>
            </c:spPr>
          </c:dPt>
          <c:dPt>
            <c:idx val="51"/>
            <c:invertIfNegative val="0"/>
            <c:bubble3D val="0"/>
            <c:spPr>
              <a:solidFill>
                <a:schemeClr val="accent6">
                  <a:lumMod val="50000"/>
                  <a:lumOff val="50000"/>
                </a:schemeClr>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Sheet2!$A$46:$A$97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Sheet2!$C$46:$C$97</c:f>
              <c:numCache>
                <c:formatCode>_-* #,##0_-;\-* #,##0_-;_-* "-"??_-;_-@_-</c:formatCode>
                <c:ptCount val="52"/>
                <c:pt idx="1">
                  <c:v>103964</c:v>
                </c:pt>
                <c:pt idx="2">
                  <c:v>110562</c:v>
                </c:pt>
                <c:pt idx="3">
                  <c:v>235343</c:v>
                </c:pt>
                <c:pt idx="4">
                  <c:v>63652</c:v>
                </c:pt>
                <c:pt idx="5">
                  <c:v>19801</c:v>
                </c:pt>
                <c:pt idx="6">
                  <c:v>74026</c:v>
                </c:pt>
                <c:pt idx="7">
                  <c:v>53326</c:v>
                </c:pt>
                <c:pt idx="8">
                  <c:v>27499</c:v>
                </c:pt>
                <c:pt idx="9">
                  <c:v>33797</c:v>
                </c:pt>
                <c:pt idx="10">
                  <c:v>39249</c:v>
                </c:pt>
                <c:pt idx="13">
                  <c:v>32848</c:v>
                </c:pt>
                <c:pt idx="14">
                  <c:v>48072</c:v>
                </c:pt>
                <c:pt idx="15">
                  <c:v>21355</c:v>
                </c:pt>
                <c:pt idx="16">
                  <c:v>46119</c:v>
                </c:pt>
                <c:pt idx="17">
                  <c:v>32338</c:v>
                </c:pt>
                <c:pt idx="18">
                  <c:v>13882</c:v>
                </c:pt>
                <c:pt idx="19">
                  <c:v>3069</c:v>
                </c:pt>
                <c:pt idx="20">
                  <c:v>28017</c:v>
                </c:pt>
                <c:pt idx="21">
                  <c:v>29839</c:v>
                </c:pt>
                <c:pt idx="24">
                  <c:v>12010</c:v>
                </c:pt>
                <c:pt idx="25">
                  <c:v>11022</c:v>
                </c:pt>
                <c:pt idx="26">
                  <c:v>13444</c:v>
                </c:pt>
                <c:pt idx="27">
                  <c:v>5891</c:v>
                </c:pt>
                <c:pt idx="28">
                  <c:v>36872</c:v>
                </c:pt>
                <c:pt idx="29">
                  <c:v>12648</c:v>
                </c:pt>
                <c:pt idx="30">
                  <c:v>20294</c:v>
                </c:pt>
                <c:pt idx="31">
                  <c:v>15735</c:v>
                </c:pt>
                <c:pt idx="32">
                  <c:v>44542</c:v>
                </c:pt>
                <c:pt idx="33">
                  <c:v>9945</c:v>
                </c:pt>
                <c:pt idx="34">
                  <c:v>19167</c:v>
                </c:pt>
                <c:pt idx="35">
                  <c:v>15017</c:v>
                </c:pt>
                <c:pt idx="36">
                  <c:v>5446</c:v>
                </c:pt>
                <c:pt idx="37">
                  <c:v>15574</c:v>
                </c:pt>
                <c:pt idx="38">
                  <c:v>7291</c:v>
                </c:pt>
                <c:pt idx="39">
                  <c:v>8358</c:v>
                </c:pt>
                <c:pt idx="40">
                  <c:v>28887</c:v>
                </c:pt>
                <c:pt idx="41">
                  <c:v>18497</c:v>
                </c:pt>
                <c:pt idx="42">
                  <c:v>16309</c:v>
                </c:pt>
                <c:pt idx="43">
                  <c:v>11471</c:v>
                </c:pt>
                <c:pt idx="44">
                  <c:v>6943</c:v>
                </c:pt>
                <c:pt idx="45">
                  <c:v>15751</c:v>
                </c:pt>
                <c:pt idx="46">
                  <c:v>9958</c:v>
                </c:pt>
                <c:pt idx="47">
                  <c:v>20361</c:v>
                </c:pt>
                <c:pt idx="48">
                  <c:v>5805</c:v>
                </c:pt>
                <c:pt idx="49">
                  <c:v>42266</c:v>
                </c:pt>
                <c:pt idx="50">
                  <c:v>3855</c:v>
                </c:pt>
                <c:pt idx="51">
                  <c:v>6704</c:v>
                </c:pt>
              </c:numCache>
            </c:numRef>
          </c:val>
        </c:ser>
        <c:dLbls>
          <c:showLegendKey val="0"/>
          <c:showVal val="0"/>
          <c:showCatName val="0"/>
          <c:showSerName val="0"/>
          <c:showPercent val="0"/>
          <c:showBubbleSize val="0"/>
        </c:dLbls>
        <c:gapWidth val="25"/>
        <c:axId val="209627920"/>
        <c:axId val="209628480"/>
      </c:barChart>
      <c:catAx>
        <c:axId val="209627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28480"/>
        <c:crosses val="autoZero"/>
        <c:auto val="1"/>
        <c:lblAlgn val="ctr"/>
        <c:lblOffset val="100"/>
        <c:noMultiLvlLbl val="0"/>
      </c:catAx>
      <c:valAx>
        <c:axId val="209628480"/>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27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Number of Construction Projects by Stage</a:t>
            </a:r>
          </a:p>
          <a:p>
            <a:pPr algn="l">
              <a:defRPr/>
            </a:pPr>
            <a:r>
              <a:rPr lang="en-AU"/>
              <a:t>Metropolitan Melbourne</a:t>
            </a:r>
          </a:p>
          <a:p>
            <a:pPr algn="l">
              <a:defRPr/>
            </a:pPr>
            <a:r>
              <a:rPr lang="en-AU" sz="900"/>
              <a:t>Source: VPA analysis of the Cordell Connect Projects May 2017</a:t>
            </a:r>
            <a:endParaRPr lang="en-AU"/>
          </a:p>
        </c:rich>
      </c:tx>
      <c:layout>
        <c:manualLayout>
          <c:xMode val="edge"/>
          <c:yMode val="edge"/>
          <c:x val="1.451224846894147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665135608048995"/>
          <c:y val="0.13320128630615388"/>
          <c:w val="0.67434164479440073"/>
          <c:h val="0.85553014069962563"/>
        </c:manualLayout>
      </c:layout>
      <c:barChart>
        <c:barDir val="bar"/>
        <c:grouping val="stacked"/>
        <c:varyColors val="0"/>
        <c:ser>
          <c:idx val="0"/>
          <c:order val="0"/>
          <c:tx>
            <c:strRef>
              <c:f>'May 2017'!$D$1</c:f>
              <c:strCache>
                <c:ptCount val="1"/>
                <c:pt idx="0">
                  <c:v>Early</c:v>
                </c:pt>
              </c:strCache>
            </c:strRef>
          </c:tx>
          <c:spPr>
            <a:solidFill>
              <a:schemeClr val="accent1"/>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2017'!$D$2:$D$44</c:f>
              <c:numCache>
                <c:formatCode>General</c:formatCode>
                <c:ptCount val="43"/>
                <c:pt idx="1">
                  <c:v>20</c:v>
                </c:pt>
                <c:pt idx="2">
                  <c:v>2</c:v>
                </c:pt>
                <c:pt idx="3">
                  <c:v>6</c:v>
                </c:pt>
                <c:pt idx="6">
                  <c:v>30</c:v>
                </c:pt>
                <c:pt idx="7">
                  <c:v>6</c:v>
                </c:pt>
                <c:pt idx="8">
                  <c:v>6</c:v>
                </c:pt>
                <c:pt idx="9">
                  <c:v>16</c:v>
                </c:pt>
                <c:pt idx="10">
                  <c:v>7</c:v>
                </c:pt>
                <c:pt idx="11">
                  <c:v>12</c:v>
                </c:pt>
                <c:pt idx="14">
                  <c:v>28</c:v>
                </c:pt>
                <c:pt idx="15">
                  <c:v>43</c:v>
                </c:pt>
                <c:pt idx="16">
                  <c:v>3</c:v>
                </c:pt>
                <c:pt idx="17">
                  <c:v>5</c:v>
                </c:pt>
                <c:pt idx="20">
                  <c:v>12</c:v>
                </c:pt>
                <c:pt idx="21">
                  <c:v>7</c:v>
                </c:pt>
                <c:pt idx="22">
                  <c:v>26</c:v>
                </c:pt>
                <c:pt idx="23">
                  <c:v>10</c:v>
                </c:pt>
                <c:pt idx="24">
                  <c:v>57</c:v>
                </c:pt>
                <c:pt idx="25">
                  <c:v>4</c:v>
                </c:pt>
                <c:pt idx="26">
                  <c:v>35</c:v>
                </c:pt>
                <c:pt idx="29">
                  <c:v>5</c:v>
                </c:pt>
                <c:pt idx="30">
                  <c:v>27</c:v>
                </c:pt>
                <c:pt idx="31">
                  <c:v>5</c:v>
                </c:pt>
                <c:pt idx="32">
                  <c:v>5</c:v>
                </c:pt>
                <c:pt idx="33">
                  <c:v>8</c:v>
                </c:pt>
                <c:pt idx="34">
                  <c:v>11</c:v>
                </c:pt>
                <c:pt idx="37">
                  <c:v>6</c:v>
                </c:pt>
                <c:pt idx="38">
                  <c:v>43</c:v>
                </c:pt>
                <c:pt idx="39">
                  <c:v>31</c:v>
                </c:pt>
                <c:pt idx="40">
                  <c:v>24</c:v>
                </c:pt>
                <c:pt idx="41">
                  <c:v>5</c:v>
                </c:pt>
                <c:pt idx="42">
                  <c:v>30</c:v>
                </c:pt>
              </c:numCache>
            </c:numRef>
          </c:val>
        </c:ser>
        <c:ser>
          <c:idx val="1"/>
          <c:order val="1"/>
          <c:tx>
            <c:strRef>
              <c:f>'May 2017'!$E$1</c:f>
              <c:strCache>
                <c:ptCount val="1"/>
                <c:pt idx="0">
                  <c:v>Registrations</c:v>
                </c:pt>
              </c:strCache>
            </c:strRef>
          </c:tx>
          <c:spPr>
            <a:solidFill>
              <a:schemeClr val="accent2"/>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2017'!$E$2:$E$44</c:f>
              <c:numCache>
                <c:formatCode>General</c:formatCode>
                <c:ptCount val="43"/>
                <c:pt idx="1">
                  <c:v>5</c:v>
                </c:pt>
                <c:pt idx="8">
                  <c:v>1</c:v>
                </c:pt>
                <c:pt idx="9">
                  <c:v>2</c:v>
                </c:pt>
                <c:pt idx="11">
                  <c:v>1</c:v>
                </c:pt>
                <c:pt idx="16">
                  <c:v>1</c:v>
                </c:pt>
                <c:pt idx="20">
                  <c:v>1</c:v>
                </c:pt>
                <c:pt idx="21">
                  <c:v>1</c:v>
                </c:pt>
                <c:pt idx="22">
                  <c:v>3</c:v>
                </c:pt>
                <c:pt idx="23">
                  <c:v>1</c:v>
                </c:pt>
                <c:pt idx="24">
                  <c:v>3</c:v>
                </c:pt>
                <c:pt idx="25">
                  <c:v>1</c:v>
                </c:pt>
                <c:pt idx="26">
                  <c:v>2</c:v>
                </c:pt>
                <c:pt idx="29">
                  <c:v>10</c:v>
                </c:pt>
                <c:pt idx="30">
                  <c:v>1</c:v>
                </c:pt>
                <c:pt idx="33">
                  <c:v>1</c:v>
                </c:pt>
                <c:pt idx="37">
                  <c:v>1</c:v>
                </c:pt>
                <c:pt idx="40">
                  <c:v>6</c:v>
                </c:pt>
                <c:pt idx="41">
                  <c:v>1</c:v>
                </c:pt>
                <c:pt idx="42">
                  <c:v>1</c:v>
                </c:pt>
              </c:numCache>
            </c:numRef>
          </c:val>
        </c:ser>
        <c:ser>
          <c:idx val="2"/>
          <c:order val="2"/>
          <c:tx>
            <c:strRef>
              <c:f>'May 2017'!$F$1</c:f>
              <c:strCache>
                <c:ptCount val="1"/>
                <c:pt idx="0">
                  <c:v>Possible</c:v>
                </c:pt>
              </c:strCache>
            </c:strRef>
          </c:tx>
          <c:spPr>
            <a:solidFill>
              <a:schemeClr val="accent3"/>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2017'!$F$2:$F$44</c:f>
              <c:numCache>
                <c:formatCode>General</c:formatCode>
                <c:ptCount val="43"/>
                <c:pt idx="1">
                  <c:v>336</c:v>
                </c:pt>
                <c:pt idx="2">
                  <c:v>215</c:v>
                </c:pt>
                <c:pt idx="3">
                  <c:v>258</c:v>
                </c:pt>
                <c:pt idx="6">
                  <c:v>303</c:v>
                </c:pt>
                <c:pt idx="7">
                  <c:v>120</c:v>
                </c:pt>
                <c:pt idx="8">
                  <c:v>170</c:v>
                </c:pt>
                <c:pt idx="9">
                  <c:v>445</c:v>
                </c:pt>
                <c:pt idx="10">
                  <c:v>337</c:v>
                </c:pt>
                <c:pt idx="11">
                  <c:v>111</c:v>
                </c:pt>
                <c:pt idx="14">
                  <c:v>163</c:v>
                </c:pt>
                <c:pt idx="15">
                  <c:v>284</c:v>
                </c:pt>
                <c:pt idx="16">
                  <c:v>258</c:v>
                </c:pt>
                <c:pt idx="17">
                  <c:v>244</c:v>
                </c:pt>
                <c:pt idx="20">
                  <c:v>281</c:v>
                </c:pt>
                <c:pt idx="21">
                  <c:v>560</c:v>
                </c:pt>
                <c:pt idx="22">
                  <c:v>418</c:v>
                </c:pt>
                <c:pt idx="23">
                  <c:v>16</c:v>
                </c:pt>
                <c:pt idx="24">
                  <c:v>612</c:v>
                </c:pt>
                <c:pt idx="25">
                  <c:v>55</c:v>
                </c:pt>
                <c:pt idx="26">
                  <c:v>337</c:v>
                </c:pt>
                <c:pt idx="29">
                  <c:v>160</c:v>
                </c:pt>
                <c:pt idx="30">
                  <c:v>417</c:v>
                </c:pt>
                <c:pt idx="31">
                  <c:v>210</c:v>
                </c:pt>
                <c:pt idx="32">
                  <c:v>489</c:v>
                </c:pt>
                <c:pt idx="33">
                  <c:v>402</c:v>
                </c:pt>
                <c:pt idx="34">
                  <c:v>253</c:v>
                </c:pt>
                <c:pt idx="37">
                  <c:v>371</c:v>
                </c:pt>
                <c:pt idx="38">
                  <c:v>230</c:v>
                </c:pt>
                <c:pt idx="39">
                  <c:v>319</c:v>
                </c:pt>
                <c:pt idx="40">
                  <c:v>212</c:v>
                </c:pt>
                <c:pt idx="41">
                  <c:v>338</c:v>
                </c:pt>
                <c:pt idx="42">
                  <c:v>452</c:v>
                </c:pt>
              </c:numCache>
            </c:numRef>
          </c:val>
        </c:ser>
        <c:ser>
          <c:idx val="3"/>
          <c:order val="3"/>
          <c:tx>
            <c:strRef>
              <c:f>'May 2017'!$G$1</c:f>
              <c:strCache>
                <c:ptCount val="1"/>
                <c:pt idx="0">
                  <c:v>Firm</c:v>
                </c:pt>
              </c:strCache>
            </c:strRef>
          </c:tx>
          <c:spPr>
            <a:solidFill>
              <a:schemeClr val="accent4"/>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2017'!$G$2:$G$44</c:f>
              <c:numCache>
                <c:formatCode>General</c:formatCode>
                <c:ptCount val="43"/>
                <c:pt idx="1">
                  <c:v>224</c:v>
                </c:pt>
                <c:pt idx="2">
                  <c:v>106</c:v>
                </c:pt>
                <c:pt idx="3">
                  <c:v>84</c:v>
                </c:pt>
                <c:pt idx="6">
                  <c:v>76</c:v>
                </c:pt>
                <c:pt idx="7">
                  <c:v>96</c:v>
                </c:pt>
                <c:pt idx="8">
                  <c:v>65</c:v>
                </c:pt>
                <c:pt idx="9">
                  <c:v>149</c:v>
                </c:pt>
                <c:pt idx="10">
                  <c:v>103</c:v>
                </c:pt>
                <c:pt idx="11">
                  <c:v>63</c:v>
                </c:pt>
                <c:pt idx="14">
                  <c:v>86</c:v>
                </c:pt>
                <c:pt idx="15">
                  <c:v>100</c:v>
                </c:pt>
                <c:pt idx="16">
                  <c:v>113</c:v>
                </c:pt>
                <c:pt idx="17">
                  <c:v>76</c:v>
                </c:pt>
                <c:pt idx="20">
                  <c:v>56</c:v>
                </c:pt>
                <c:pt idx="21">
                  <c:v>125</c:v>
                </c:pt>
                <c:pt idx="22">
                  <c:v>195</c:v>
                </c:pt>
                <c:pt idx="23">
                  <c:v>46</c:v>
                </c:pt>
                <c:pt idx="24">
                  <c:v>178</c:v>
                </c:pt>
                <c:pt idx="25">
                  <c:v>34</c:v>
                </c:pt>
                <c:pt idx="26">
                  <c:v>137</c:v>
                </c:pt>
                <c:pt idx="29">
                  <c:v>85</c:v>
                </c:pt>
                <c:pt idx="30">
                  <c:v>180</c:v>
                </c:pt>
                <c:pt idx="31">
                  <c:v>81</c:v>
                </c:pt>
                <c:pt idx="32">
                  <c:v>165</c:v>
                </c:pt>
                <c:pt idx="33">
                  <c:v>125</c:v>
                </c:pt>
                <c:pt idx="34">
                  <c:v>143</c:v>
                </c:pt>
                <c:pt idx="37">
                  <c:v>206</c:v>
                </c:pt>
                <c:pt idx="38">
                  <c:v>84</c:v>
                </c:pt>
                <c:pt idx="39">
                  <c:v>95</c:v>
                </c:pt>
                <c:pt idx="40">
                  <c:v>88</c:v>
                </c:pt>
                <c:pt idx="41">
                  <c:v>67</c:v>
                </c:pt>
                <c:pt idx="42">
                  <c:v>241</c:v>
                </c:pt>
              </c:numCache>
            </c:numRef>
          </c:val>
        </c:ser>
        <c:ser>
          <c:idx val="4"/>
          <c:order val="4"/>
          <c:tx>
            <c:strRef>
              <c:f>'May 2017'!$H$1</c:f>
              <c:strCache>
                <c:ptCount val="1"/>
                <c:pt idx="0">
                  <c:v>Commenced</c:v>
                </c:pt>
              </c:strCache>
            </c:strRef>
          </c:tx>
          <c:spPr>
            <a:solidFill>
              <a:schemeClr val="accent5"/>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2017'!$H$2:$H$44</c:f>
              <c:numCache>
                <c:formatCode>General</c:formatCode>
                <c:ptCount val="43"/>
                <c:pt idx="1">
                  <c:v>260</c:v>
                </c:pt>
                <c:pt idx="2">
                  <c:v>98</c:v>
                </c:pt>
                <c:pt idx="3">
                  <c:v>113</c:v>
                </c:pt>
                <c:pt idx="6">
                  <c:v>117</c:v>
                </c:pt>
                <c:pt idx="7">
                  <c:v>103</c:v>
                </c:pt>
                <c:pt idx="8">
                  <c:v>110</c:v>
                </c:pt>
                <c:pt idx="9">
                  <c:v>176</c:v>
                </c:pt>
                <c:pt idx="10">
                  <c:v>159</c:v>
                </c:pt>
                <c:pt idx="11">
                  <c:v>92</c:v>
                </c:pt>
                <c:pt idx="14">
                  <c:v>100</c:v>
                </c:pt>
                <c:pt idx="15">
                  <c:v>166</c:v>
                </c:pt>
                <c:pt idx="16">
                  <c:v>149</c:v>
                </c:pt>
                <c:pt idx="17">
                  <c:v>146</c:v>
                </c:pt>
                <c:pt idx="20">
                  <c:v>114</c:v>
                </c:pt>
                <c:pt idx="21">
                  <c:v>237</c:v>
                </c:pt>
                <c:pt idx="22">
                  <c:v>271</c:v>
                </c:pt>
                <c:pt idx="23">
                  <c:v>18</c:v>
                </c:pt>
                <c:pt idx="24">
                  <c:v>278</c:v>
                </c:pt>
                <c:pt idx="25">
                  <c:v>30</c:v>
                </c:pt>
                <c:pt idx="26">
                  <c:v>197</c:v>
                </c:pt>
                <c:pt idx="29">
                  <c:v>152</c:v>
                </c:pt>
                <c:pt idx="30">
                  <c:v>282</c:v>
                </c:pt>
                <c:pt idx="31">
                  <c:v>118</c:v>
                </c:pt>
                <c:pt idx="32">
                  <c:v>217</c:v>
                </c:pt>
                <c:pt idx="33">
                  <c:v>183</c:v>
                </c:pt>
                <c:pt idx="34">
                  <c:v>154</c:v>
                </c:pt>
                <c:pt idx="37">
                  <c:v>139</c:v>
                </c:pt>
                <c:pt idx="38">
                  <c:v>37</c:v>
                </c:pt>
                <c:pt idx="39">
                  <c:v>117</c:v>
                </c:pt>
                <c:pt idx="40">
                  <c:v>190</c:v>
                </c:pt>
                <c:pt idx="41">
                  <c:v>133</c:v>
                </c:pt>
                <c:pt idx="42">
                  <c:v>441</c:v>
                </c:pt>
              </c:numCache>
            </c:numRef>
          </c:val>
        </c:ser>
        <c:dLbls>
          <c:showLegendKey val="0"/>
          <c:showVal val="0"/>
          <c:showCatName val="0"/>
          <c:showSerName val="0"/>
          <c:showPercent val="0"/>
          <c:showBubbleSize val="0"/>
        </c:dLbls>
        <c:gapWidth val="50"/>
        <c:overlap val="100"/>
        <c:axId val="209632960"/>
        <c:axId val="209633520"/>
      </c:barChart>
      <c:catAx>
        <c:axId val="209632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33520"/>
        <c:crosses val="autoZero"/>
        <c:auto val="1"/>
        <c:lblAlgn val="ctr"/>
        <c:lblOffset val="100"/>
        <c:noMultiLvlLbl val="0"/>
      </c:catAx>
      <c:valAx>
        <c:axId val="2096335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32960"/>
        <c:crosses val="autoZero"/>
        <c:crossBetween val="between"/>
      </c:valAx>
      <c:spPr>
        <a:noFill/>
        <a:ln>
          <a:noFill/>
        </a:ln>
        <a:effectLst/>
      </c:spPr>
    </c:plotArea>
    <c:legend>
      <c:legendPos val="b"/>
      <c:layout>
        <c:manualLayout>
          <c:xMode val="edge"/>
          <c:yMode val="edge"/>
          <c:x val="0.6984472878390201"/>
          <c:y val="1.1611732934209673E-2"/>
          <c:w val="0.27532764654418196"/>
          <c:h val="9.1038426498340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Number of Construction Projects by Stage</a:t>
            </a:r>
          </a:p>
          <a:p>
            <a:pPr algn="l">
              <a:defRPr/>
            </a:pPr>
            <a:r>
              <a:rPr lang="en-AU"/>
              <a:t>Regional</a:t>
            </a:r>
            <a:r>
              <a:rPr lang="en-AU" baseline="0"/>
              <a:t> Victoria</a:t>
            </a:r>
            <a:endParaRPr lang="en-AU"/>
          </a:p>
          <a:p>
            <a:pPr algn="l">
              <a:defRPr/>
            </a:pPr>
            <a:r>
              <a:rPr lang="en-AU" sz="900"/>
              <a:t>Source: VPA analysis of the Cordell Connect Projects May 2017</a:t>
            </a:r>
            <a:endParaRPr lang="en-AU"/>
          </a:p>
        </c:rich>
      </c:tx>
      <c:layout>
        <c:manualLayout>
          <c:xMode val="edge"/>
          <c:yMode val="edge"/>
          <c:x val="1.4511875423112506E-3"/>
          <c:y val="5.6449336720293536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019116225022957"/>
          <c:y val="0.13320128630615388"/>
          <c:w val="0.63524637787149663"/>
          <c:h val="0.85099713129867027"/>
        </c:manualLayout>
      </c:layout>
      <c:barChart>
        <c:barDir val="bar"/>
        <c:grouping val="stacked"/>
        <c:varyColors val="0"/>
        <c:ser>
          <c:idx val="0"/>
          <c:order val="0"/>
          <c:tx>
            <c:strRef>
              <c:f>'May 2017'!$D$1</c:f>
              <c:strCache>
                <c:ptCount val="1"/>
                <c:pt idx="0">
                  <c:v>Early</c:v>
                </c:pt>
              </c:strCache>
            </c:strRef>
          </c:tx>
          <c:spPr>
            <a:solidFill>
              <a:schemeClr val="accent1"/>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2017'!$D$46:$D$97</c:f>
              <c:numCache>
                <c:formatCode>General</c:formatCode>
                <c:ptCount val="52"/>
                <c:pt idx="1">
                  <c:v>20</c:v>
                </c:pt>
                <c:pt idx="2">
                  <c:v>17</c:v>
                </c:pt>
                <c:pt idx="3">
                  <c:v>47</c:v>
                </c:pt>
                <c:pt idx="4">
                  <c:v>5</c:v>
                </c:pt>
                <c:pt idx="5">
                  <c:v>4</c:v>
                </c:pt>
                <c:pt idx="6">
                  <c:v>23</c:v>
                </c:pt>
                <c:pt idx="7">
                  <c:v>7</c:v>
                </c:pt>
                <c:pt idx="8">
                  <c:v>5</c:v>
                </c:pt>
                <c:pt idx="9">
                  <c:v>9</c:v>
                </c:pt>
                <c:pt idx="10">
                  <c:v>2</c:v>
                </c:pt>
                <c:pt idx="13">
                  <c:v>5</c:v>
                </c:pt>
                <c:pt idx="14">
                  <c:v>11</c:v>
                </c:pt>
                <c:pt idx="15">
                  <c:v>4</c:v>
                </c:pt>
                <c:pt idx="16">
                  <c:v>9</c:v>
                </c:pt>
                <c:pt idx="17">
                  <c:v>25</c:v>
                </c:pt>
                <c:pt idx="19">
                  <c:v>4</c:v>
                </c:pt>
                <c:pt idx="20">
                  <c:v>36</c:v>
                </c:pt>
                <c:pt idx="21">
                  <c:v>4</c:v>
                </c:pt>
                <c:pt idx="24">
                  <c:v>5</c:v>
                </c:pt>
                <c:pt idx="25">
                  <c:v>6</c:v>
                </c:pt>
                <c:pt idx="26">
                  <c:v>3</c:v>
                </c:pt>
                <c:pt idx="27">
                  <c:v>6</c:v>
                </c:pt>
                <c:pt idx="28">
                  <c:v>22</c:v>
                </c:pt>
                <c:pt idx="29">
                  <c:v>5</c:v>
                </c:pt>
                <c:pt idx="30">
                  <c:v>3</c:v>
                </c:pt>
                <c:pt idx="31">
                  <c:v>3</c:v>
                </c:pt>
                <c:pt idx="32">
                  <c:v>6</c:v>
                </c:pt>
                <c:pt idx="33">
                  <c:v>5</c:v>
                </c:pt>
                <c:pt idx="34">
                  <c:v>1</c:v>
                </c:pt>
                <c:pt idx="35">
                  <c:v>20</c:v>
                </c:pt>
                <c:pt idx="36">
                  <c:v>2</c:v>
                </c:pt>
                <c:pt idx="37">
                  <c:v>4</c:v>
                </c:pt>
                <c:pt idx="38">
                  <c:v>3</c:v>
                </c:pt>
                <c:pt idx="39">
                  <c:v>1</c:v>
                </c:pt>
                <c:pt idx="40">
                  <c:v>4</c:v>
                </c:pt>
                <c:pt idx="41">
                  <c:v>10</c:v>
                </c:pt>
                <c:pt idx="42">
                  <c:v>7</c:v>
                </c:pt>
                <c:pt idx="43">
                  <c:v>3</c:v>
                </c:pt>
                <c:pt idx="44">
                  <c:v>1</c:v>
                </c:pt>
                <c:pt idx="45">
                  <c:v>7</c:v>
                </c:pt>
                <c:pt idx="46">
                  <c:v>1</c:v>
                </c:pt>
                <c:pt idx="47">
                  <c:v>8</c:v>
                </c:pt>
                <c:pt idx="48">
                  <c:v>1</c:v>
                </c:pt>
                <c:pt idx="49">
                  <c:v>2</c:v>
                </c:pt>
                <c:pt idx="50">
                  <c:v>2</c:v>
                </c:pt>
                <c:pt idx="51">
                  <c:v>3</c:v>
                </c:pt>
              </c:numCache>
            </c:numRef>
          </c:val>
        </c:ser>
        <c:ser>
          <c:idx val="1"/>
          <c:order val="1"/>
          <c:tx>
            <c:strRef>
              <c:f>'May 2017'!$E$1</c:f>
              <c:strCache>
                <c:ptCount val="1"/>
                <c:pt idx="0">
                  <c:v>Registrations</c:v>
                </c:pt>
              </c:strCache>
            </c:strRef>
          </c:tx>
          <c:spPr>
            <a:solidFill>
              <a:schemeClr val="accent2"/>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2017'!$E$46:$E$97</c:f>
              <c:numCache>
                <c:formatCode>General</c:formatCode>
                <c:ptCount val="52"/>
                <c:pt idx="1">
                  <c:v>1</c:v>
                </c:pt>
                <c:pt idx="3">
                  <c:v>4</c:v>
                </c:pt>
                <c:pt idx="4">
                  <c:v>3</c:v>
                </c:pt>
                <c:pt idx="6">
                  <c:v>2</c:v>
                </c:pt>
                <c:pt idx="7">
                  <c:v>1</c:v>
                </c:pt>
                <c:pt idx="9">
                  <c:v>1</c:v>
                </c:pt>
                <c:pt idx="10">
                  <c:v>1</c:v>
                </c:pt>
                <c:pt idx="13">
                  <c:v>1</c:v>
                </c:pt>
                <c:pt idx="14">
                  <c:v>1</c:v>
                </c:pt>
                <c:pt idx="21">
                  <c:v>1</c:v>
                </c:pt>
                <c:pt idx="26">
                  <c:v>1</c:v>
                </c:pt>
                <c:pt idx="30">
                  <c:v>1</c:v>
                </c:pt>
                <c:pt idx="34">
                  <c:v>1</c:v>
                </c:pt>
                <c:pt idx="37">
                  <c:v>3</c:v>
                </c:pt>
                <c:pt idx="39">
                  <c:v>1</c:v>
                </c:pt>
                <c:pt idx="40">
                  <c:v>2</c:v>
                </c:pt>
                <c:pt idx="41">
                  <c:v>1</c:v>
                </c:pt>
                <c:pt idx="43">
                  <c:v>1</c:v>
                </c:pt>
                <c:pt idx="51">
                  <c:v>1</c:v>
                </c:pt>
              </c:numCache>
            </c:numRef>
          </c:val>
        </c:ser>
        <c:ser>
          <c:idx val="2"/>
          <c:order val="2"/>
          <c:tx>
            <c:strRef>
              <c:f>'May 2017'!$F$1</c:f>
              <c:strCache>
                <c:ptCount val="1"/>
                <c:pt idx="0">
                  <c:v>Possible</c:v>
                </c:pt>
              </c:strCache>
            </c:strRef>
          </c:tx>
          <c:spPr>
            <a:solidFill>
              <a:schemeClr val="accent3"/>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2017'!$F$46:$F$97</c:f>
              <c:numCache>
                <c:formatCode>General</c:formatCode>
                <c:ptCount val="52"/>
                <c:pt idx="1">
                  <c:v>168</c:v>
                </c:pt>
                <c:pt idx="2">
                  <c:v>137</c:v>
                </c:pt>
                <c:pt idx="3">
                  <c:v>385</c:v>
                </c:pt>
                <c:pt idx="4">
                  <c:v>48</c:v>
                </c:pt>
                <c:pt idx="5">
                  <c:v>4</c:v>
                </c:pt>
                <c:pt idx="6">
                  <c:v>31</c:v>
                </c:pt>
                <c:pt idx="7">
                  <c:v>18</c:v>
                </c:pt>
                <c:pt idx="8">
                  <c:v>10</c:v>
                </c:pt>
                <c:pt idx="9">
                  <c:v>23</c:v>
                </c:pt>
                <c:pt idx="10">
                  <c:v>11</c:v>
                </c:pt>
                <c:pt idx="13">
                  <c:v>31</c:v>
                </c:pt>
                <c:pt idx="14">
                  <c:v>28</c:v>
                </c:pt>
                <c:pt idx="15">
                  <c:v>8</c:v>
                </c:pt>
                <c:pt idx="16">
                  <c:v>27</c:v>
                </c:pt>
                <c:pt idx="17">
                  <c:v>47</c:v>
                </c:pt>
                <c:pt idx="18">
                  <c:v>11</c:v>
                </c:pt>
                <c:pt idx="19">
                  <c:v>6</c:v>
                </c:pt>
                <c:pt idx="20">
                  <c:v>4</c:v>
                </c:pt>
                <c:pt idx="21">
                  <c:v>34</c:v>
                </c:pt>
                <c:pt idx="24">
                  <c:v>8</c:v>
                </c:pt>
                <c:pt idx="25">
                  <c:v>5</c:v>
                </c:pt>
                <c:pt idx="26">
                  <c:v>2</c:v>
                </c:pt>
                <c:pt idx="27">
                  <c:v>6</c:v>
                </c:pt>
                <c:pt idx="28">
                  <c:v>9</c:v>
                </c:pt>
                <c:pt idx="29">
                  <c:v>1</c:v>
                </c:pt>
                <c:pt idx="30">
                  <c:v>13</c:v>
                </c:pt>
                <c:pt idx="31">
                  <c:v>7</c:v>
                </c:pt>
                <c:pt idx="32">
                  <c:v>6</c:v>
                </c:pt>
                <c:pt idx="33">
                  <c:v>5</c:v>
                </c:pt>
                <c:pt idx="34">
                  <c:v>4</c:v>
                </c:pt>
                <c:pt idx="35">
                  <c:v>6</c:v>
                </c:pt>
                <c:pt idx="36">
                  <c:v>4</c:v>
                </c:pt>
                <c:pt idx="37">
                  <c:v>5</c:v>
                </c:pt>
                <c:pt idx="38">
                  <c:v>4</c:v>
                </c:pt>
                <c:pt idx="39">
                  <c:v>4</c:v>
                </c:pt>
                <c:pt idx="40">
                  <c:v>11</c:v>
                </c:pt>
                <c:pt idx="41">
                  <c:v>23</c:v>
                </c:pt>
                <c:pt idx="42">
                  <c:v>12</c:v>
                </c:pt>
                <c:pt idx="43">
                  <c:v>8</c:v>
                </c:pt>
                <c:pt idx="44">
                  <c:v>4</c:v>
                </c:pt>
                <c:pt idx="45">
                  <c:v>5</c:v>
                </c:pt>
                <c:pt idx="46">
                  <c:v>3</c:v>
                </c:pt>
                <c:pt idx="47">
                  <c:v>11</c:v>
                </c:pt>
                <c:pt idx="48">
                  <c:v>2</c:v>
                </c:pt>
                <c:pt idx="49">
                  <c:v>13</c:v>
                </c:pt>
                <c:pt idx="51">
                  <c:v>5</c:v>
                </c:pt>
              </c:numCache>
            </c:numRef>
          </c:val>
        </c:ser>
        <c:ser>
          <c:idx val="3"/>
          <c:order val="3"/>
          <c:tx>
            <c:strRef>
              <c:f>'May 2017'!$G$1</c:f>
              <c:strCache>
                <c:ptCount val="1"/>
                <c:pt idx="0">
                  <c:v>Firm</c:v>
                </c:pt>
              </c:strCache>
            </c:strRef>
          </c:tx>
          <c:spPr>
            <a:solidFill>
              <a:schemeClr val="accent4"/>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2017'!$G$46:$G$97</c:f>
              <c:numCache>
                <c:formatCode>General</c:formatCode>
                <c:ptCount val="52"/>
                <c:pt idx="1">
                  <c:v>132</c:v>
                </c:pt>
                <c:pt idx="2">
                  <c:v>108</c:v>
                </c:pt>
                <c:pt idx="3">
                  <c:v>188</c:v>
                </c:pt>
                <c:pt idx="4">
                  <c:v>54</c:v>
                </c:pt>
                <c:pt idx="5">
                  <c:v>30</c:v>
                </c:pt>
                <c:pt idx="6">
                  <c:v>61</c:v>
                </c:pt>
                <c:pt idx="7">
                  <c:v>38</c:v>
                </c:pt>
                <c:pt idx="8">
                  <c:v>30</c:v>
                </c:pt>
                <c:pt idx="9">
                  <c:v>23</c:v>
                </c:pt>
                <c:pt idx="10">
                  <c:v>44</c:v>
                </c:pt>
                <c:pt idx="13">
                  <c:v>30</c:v>
                </c:pt>
                <c:pt idx="14">
                  <c:v>47</c:v>
                </c:pt>
                <c:pt idx="15">
                  <c:v>9</c:v>
                </c:pt>
                <c:pt idx="16">
                  <c:v>37</c:v>
                </c:pt>
                <c:pt idx="17">
                  <c:v>22</c:v>
                </c:pt>
                <c:pt idx="18">
                  <c:v>21</c:v>
                </c:pt>
                <c:pt idx="19">
                  <c:v>4</c:v>
                </c:pt>
                <c:pt idx="20">
                  <c:v>20</c:v>
                </c:pt>
                <c:pt idx="21">
                  <c:v>38</c:v>
                </c:pt>
                <c:pt idx="24">
                  <c:v>31</c:v>
                </c:pt>
                <c:pt idx="25">
                  <c:v>28</c:v>
                </c:pt>
                <c:pt idx="26">
                  <c:v>17</c:v>
                </c:pt>
                <c:pt idx="27">
                  <c:v>11</c:v>
                </c:pt>
                <c:pt idx="28">
                  <c:v>22</c:v>
                </c:pt>
                <c:pt idx="29">
                  <c:v>23</c:v>
                </c:pt>
                <c:pt idx="30">
                  <c:v>38</c:v>
                </c:pt>
                <c:pt idx="31">
                  <c:v>10</c:v>
                </c:pt>
                <c:pt idx="32">
                  <c:v>55</c:v>
                </c:pt>
                <c:pt idx="33">
                  <c:v>8</c:v>
                </c:pt>
                <c:pt idx="34">
                  <c:v>29</c:v>
                </c:pt>
                <c:pt idx="35">
                  <c:v>22</c:v>
                </c:pt>
                <c:pt idx="36">
                  <c:v>9</c:v>
                </c:pt>
                <c:pt idx="37">
                  <c:v>16</c:v>
                </c:pt>
                <c:pt idx="38">
                  <c:v>8</c:v>
                </c:pt>
                <c:pt idx="39">
                  <c:v>10</c:v>
                </c:pt>
                <c:pt idx="40">
                  <c:v>21</c:v>
                </c:pt>
                <c:pt idx="41">
                  <c:v>22</c:v>
                </c:pt>
                <c:pt idx="42">
                  <c:v>15</c:v>
                </c:pt>
                <c:pt idx="43">
                  <c:v>5</c:v>
                </c:pt>
                <c:pt idx="44">
                  <c:v>13</c:v>
                </c:pt>
                <c:pt idx="45">
                  <c:v>22</c:v>
                </c:pt>
                <c:pt idx="46">
                  <c:v>22</c:v>
                </c:pt>
                <c:pt idx="47">
                  <c:v>14</c:v>
                </c:pt>
                <c:pt idx="48">
                  <c:v>7</c:v>
                </c:pt>
                <c:pt idx="49">
                  <c:v>54</c:v>
                </c:pt>
                <c:pt idx="50">
                  <c:v>8</c:v>
                </c:pt>
                <c:pt idx="51">
                  <c:v>6</c:v>
                </c:pt>
              </c:numCache>
            </c:numRef>
          </c:val>
        </c:ser>
        <c:ser>
          <c:idx val="4"/>
          <c:order val="4"/>
          <c:tx>
            <c:strRef>
              <c:f>'May 2017'!$H$1</c:f>
              <c:strCache>
                <c:ptCount val="1"/>
                <c:pt idx="0">
                  <c:v>Commenced</c:v>
                </c:pt>
              </c:strCache>
            </c:strRef>
          </c:tx>
          <c:spPr>
            <a:solidFill>
              <a:schemeClr val="accent5"/>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2017'!$H$46:$H$97</c:f>
              <c:numCache>
                <c:formatCode>General</c:formatCode>
                <c:ptCount val="52"/>
                <c:pt idx="1">
                  <c:v>177</c:v>
                </c:pt>
                <c:pt idx="2">
                  <c:v>96</c:v>
                </c:pt>
                <c:pt idx="3">
                  <c:v>303</c:v>
                </c:pt>
                <c:pt idx="4">
                  <c:v>64</c:v>
                </c:pt>
                <c:pt idx="5">
                  <c:v>12</c:v>
                </c:pt>
                <c:pt idx="6">
                  <c:v>30</c:v>
                </c:pt>
                <c:pt idx="7">
                  <c:v>20</c:v>
                </c:pt>
                <c:pt idx="8">
                  <c:v>25</c:v>
                </c:pt>
                <c:pt idx="9">
                  <c:v>26</c:v>
                </c:pt>
                <c:pt idx="10">
                  <c:v>32</c:v>
                </c:pt>
                <c:pt idx="13">
                  <c:v>29</c:v>
                </c:pt>
                <c:pt idx="14">
                  <c:v>32</c:v>
                </c:pt>
                <c:pt idx="15">
                  <c:v>9</c:v>
                </c:pt>
                <c:pt idx="16">
                  <c:v>27</c:v>
                </c:pt>
                <c:pt idx="17">
                  <c:v>51</c:v>
                </c:pt>
                <c:pt idx="18">
                  <c:v>8</c:v>
                </c:pt>
                <c:pt idx="19">
                  <c:v>3</c:v>
                </c:pt>
                <c:pt idx="20">
                  <c:v>10</c:v>
                </c:pt>
                <c:pt idx="21">
                  <c:v>35</c:v>
                </c:pt>
                <c:pt idx="24">
                  <c:v>17</c:v>
                </c:pt>
                <c:pt idx="25">
                  <c:v>8</c:v>
                </c:pt>
                <c:pt idx="26">
                  <c:v>2</c:v>
                </c:pt>
                <c:pt idx="27">
                  <c:v>7</c:v>
                </c:pt>
                <c:pt idx="28">
                  <c:v>17</c:v>
                </c:pt>
                <c:pt idx="29">
                  <c:v>6</c:v>
                </c:pt>
                <c:pt idx="30">
                  <c:v>8</c:v>
                </c:pt>
                <c:pt idx="31">
                  <c:v>12</c:v>
                </c:pt>
                <c:pt idx="32">
                  <c:v>16</c:v>
                </c:pt>
                <c:pt idx="33">
                  <c:v>6</c:v>
                </c:pt>
                <c:pt idx="34">
                  <c:v>10</c:v>
                </c:pt>
                <c:pt idx="35">
                  <c:v>6</c:v>
                </c:pt>
                <c:pt idx="36">
                  <c:v>4</c:v>
                </c:pt>
                <c:pt idx="37">
                  <c:v>10</c:v>
                </c:pt>
                <c:pt idx="38">
                  <c:v>6</c:v>
                </c:pt>
                <c:pt idx="39">
                  <c:v>13</c:v>
                </c:pt>
                <c:pt idx="40">
                  <c:v>10</c:v>
                </c:pt>
                <c:pt idx="41">
                  <c:v>11</c:v>
                </c:pt>
                <c:pt idx="42">
                  <c:v>13</c:v>
                </c:pt>
                <c:pt idx="43">
                  <c:v>11</c:v>
                </c:pt>
                <c:pt idx="44">
                  <c:v>5</c:v>
                </c:pt>
                <c:pt idx="45">
                  <c:v>10</c:v>
                </c:pt>
                <c:pt idx="46">
                  <c:v>10</c:v>
                </c:pt>
                <c:pt idx="47">
                  <c:v>10</c:v>
                </c:pt>
                <c:pt idx="48">
                  <c:v>3</c:v>
                </c:pt>
                <c:pt idx="49">
                  <c:v>72</c:v>
                </c:pt>
                <c:pt idx="50">
                  <c:v>1</c:v>
                </c:pt>
                <c:pt idx="51">
                  <c:v>8</c:v>
                </c:pt>
              </c:numCache>
            </c:numRef>
          </c:val>
        </c:ser>
        <c:dLbls>
          <c:showLegendKey val="0"/>
          <c:showVal val="0"/>
          <c:showCatName val="0"/>
          <c:showSerName val="0"/>
          <c:showPercent val="0"/>
          <c:showBubbleSize val="0"/>
        </c:dLbls>
        <c:gapWidth val="50"/>
        <c:overlap val="100"/>
        <c:axId val="209638000"/>
        <c:axId val="209638560"/>
      </c:barChart>
      <c:catAx>
        <c:axId val="209638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38560"/>
        <c:crosses val="autoZero"/>
        <c:auto val="1"/>
        <c:lblAlgn val="ctr"/>
        <c:lblOffset val="100"/>
        <c:noMultiLvlLbl val="0"/>
      </c:catAx>
      <c:valAx>
        <c:axId val="2096385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38000"/>
        <c:crosses val="autoZero"/>
        <c:crossBetween val="between"/>
      </c:valAx>
      <c:spPr>
        <a:noFill/>
        <a:ln>
          <a:noFill/>
        </a:ln>
        <a:effectLst/>
      </c:spPr>
    </c:plotArea>
    <c:legend>
      <c:legendPos val="b"/>
      <c:layout>
        <c:manualLayout>
          <c:xMode val="edge"/>
          <c:yMode val="edge"/>
          <c:x val="0.6984472878390201"/>
          <c:y val="1.1611732934209673E-2"/>
          <c:w val="0.27532764654418196"/>
          <c:h val="9.1038426498340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Valueof Construction Projects by Stage</a:t>
            </a:r>
          </a:p>
          <a:p>
            <a:pPr algn="l">
              <a:defRPr/>
            </a:pPr>
            <a:r>
              <a:rPr lang="en-AU"/>
              <a:t>Metropolitan Melbourne </a:t>
            </a:r>
            <a:r>
              <a:rPr lang="en-AU" sz="1400" b="0" i="0" u="none" strike="noStrike" baseline="0">
                <a:effectLst/>
              </a:rPr>
              <a:t> ($ Millions) </a:t>
            </a:r>
            <a:endParaRPr lang="en-AU"/>
          </a:p>
          <a:p>
            <a:pPr algn="l">
              <a:defRPr/>
            </a:pPr>
            <a:r>
              <a:rPr lang="en-AU" sz="900"/>
              <a:t>Source: VPA analysis of the Cordell Connect Projects May 2017</a:t>
            </a:r>
            <a:endParaRPr lang="en-AU"/>
          </a:p>
        </c:rich>
      </c:tx>
      <c:layout>
        <c:manualLayout>
          <c:xMode val="edge"/>
          <c:yMode val="edge"/>
          <c:x val="1.451224846894147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665135608048995"/>
          <c:y val="0.13320128630615388"/>
          <c:w val="0.67434164479440073"/>
          <c:h val="0.82966511385029762"/>
        </c:manualLayout>
      </c:layout>
      <c:barChart>
        <c:barDir val="bar"/>
        <c:grouping val="stacked"/>
        <c:varyColors val="0"/>
        <c:ser>
          <c:idx val="0"/>
          <c:order val="0"/>
          <c:tx>
            <c:strRef>
              <c:f>'May 2017'!$J$1</c:f>
              <c:strCache>
                <c:ptCount val="1"/>
                <c:pt idx="0">
                  <c:v>Early</c:v>
                </c:pt>
              </c:strCache>
            </c:strRef>
          </c:tx>
          <c:spPr>
            <a:solidFill>
              <a:schemeClr val="accent1"/>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2017'!$J$2:$J$44</c:f>
              <c:numCache>
                <c:formatCode>_-"$"* #,##0_-;\-"$"* #,##0_-;_-"$"* "-"??_-;_-@_-</c:formatCode>
                <c:ptCount val="43"/>
                <c:pt idx="1">
                  <c:v>4848.6000000000004</c:v>
                </c:pt>
                <c:pt idx="2">
                  <c:v>330</c:v>
                </c:pt>
                <c:pt idx="3">
                  <c:v>66.150000000000006</c:v>
                </c:pt>
                <c:pt idx="6">
                  <c:v>11.694000000000001</c:v>
                </c:pt>
                <c:pt idx="7">
                  <c:v>17031</c:v>
                </c:pt>
                <c:pt idx="8">
                  <c:v>119.55</c:v>
                </c:pt>
                <c:pt idx="9">
                  <c:v>647.12699999999995</c:v>
                </c:pt>
                <c:pt idx="10">
                  <c:v>650.25800000000004</c:v>
                </c:pt>
                <c:pt idx="11">
                  <c:v>222.80500000000001</c:v>
                </c:pt>
                <c:pt idx="14">
                  <c:v>24.393999999999998</c:v>
                </c:pt>
                <c:pt idx="15">
                  <c:v>353.81299999999999</c:v>
                </c:pt>
                <c:pt idx="16">
                  <c:v>886</c:v>
                </c:pt>
                <c:pt idx="17">
                  <c:v>335.3</c:v>
                </c:pt>
                <c:pt idx="20">
                  <c:v>57.408000000000001</c:v>
                </c:pt>
                <c:pt idx="21">
                  <c:v>205.7</c:v>
                </c:pt>
                <c:pt idx="22">
                  <c:v>1508.183</c:v>
                </c:pt>
                <c:pt idx="23">
                  <c:v>212.29499999999999</c:v>
                </c:pt>
                <c:pt idx="24">
                  <c:v>122.371</c:v>
                </c:pt>
                <c:pt idx="25">
                  <c:v>31.294</c:v>
                </c:pt>
                <c:pt idx="26">
                  <c:v>475.73399999999998</c:v>
                </c:pt>
                <c:pt idx="29">
                  <c:v>50.17</c:v>
                </c:pt>
                <c:pt idx="30">
                  <c:v>427.25</c:v>
                </c:pt>
                <c:pt idx="31">
                  <c:v>38.82</c:v>
                </c:pt>
                <c:pt idx="32">
                  <c:v>161</c:v>
                </c:pt>
                <c:pt idx="33">
                  <c:v>661.26499999999999</c:v>
                </c:pt>
                <c:pt idx="34">
                  <c:v>420.65600000000001</c:v>
                </c:pt>
                <c:pt idx="35">
                  <c:v>0</c:v>
                </c:pt>
                <c:pt idx="36">
                  <c:v>0</c:v>
                </c:pt>
                <c:pt idx="37">
                  <c:v>109</c:v>
                </c:pt>
                <c:pt idx="38">
                  <c:v>65.971999999999994</c:v>
                </c:pt>
                <c:pt idx="39">
                  <c:v>1751.9</c:v>
                </c:pt>
                <c:pt idx="40">
                  <c:v>227.65799999999999</c:v>
                </c:pt>
                <c:pt idx="41">
                  <c:v>400</c:v>
                </c:pt>
                <c:pt idx="42">
                  <c:v>788.2</c:v>
                </c:pt>
              </c:numCache>
            </c:numRef>
          </c:val>
        </c:ser>
        <c:ser>
          <c:idx val="1"/>
          <c:order val="1"/>
          <c:tx>
            <c:strRef>
              <c:f>'May 2017'!$K$1</c:f>
              <c:strCache>
                <c:ptCount val="1"/>
                <c:pt idx="0">
                  <c:v>Registrations</c:v>
                </c:pt>
              </c:strCache>
            </c:strRef>
          </c:tx>
          <c:spPr>
            <a:solidFill>
              <a:schemeClr val="accent2"/>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2017'!$K$2:$K$44</c:f>
              <c:numCache>
                <c:formatCode>_-"$"* #,##0_-;\-"$"* #,##0_-;_-"$"* "-"??_-;_-@_-</c:formatCode>
                <c:ptCount val="43"/>
                <c:pt idx="1">
                  <c:v>43.45</c:v>
                </c:pt>
                <c:pt idx="2">
                  <c:v>0</c:v>
                </c:pt>
                <c:pt idx="3">
                  <c:v>0</c:v>
                </c:pt>
                <c:pt idx="6">
                  <c:v>0</c:v>
                </c:pt>
                <c:pt idx="7">
                  <c:v>0</c:v>
                </c:pt>
                <c:pt idx="8">
                  <c:v>1.5</c:v>
                </c:pt>
                <c:pt idx="9">
                  <c:v>105</c:v>
                </c:pt>
                <c:pt idx="10">
                  <c:v>0</c:v>
                </c:pt>
                <c:pt idx="11">
                  <c:v>0.5</c:v>
                </c:pt>
                <c:pt idx="14">
                  <c:v>0</c:v>
                </c:pt>
                <c:pt idx="15">
                  <c:v>0</c:v>
                </c:pt>
                <c:pt idx="16">
                  <c:v>1.2</c:v>
                </c:pt>
                <c:pt idx="17">
                  <c:v>0</c:v>
                </c:pt>
                <c:pt idx="20">
                  <c:v>0.4</c:v>
                </c:pt>
                <c:pt idx="21">
                  <c:v>0.65</c:v>
                </c:pt>
                <c:pt idx="22">
                  <c:v>105.8</c:v>
                </c:pt>
                <c:pt idx="23">
                  <c:v>0.4</c:v>
                </c:pt>
                <c:pt idx="24">
                  <c:v>106.89100000000001</c:v>
                </c:pt>
                <c:pt idx="25">
                  <c:v>95</c:v>
                </c:pt>
                <c:pt idx="26">
                  <c:v>1.3</c:v>
                </c:pt>
                <c:pt idx="29">
                  <c:v>18</c:v>
                </c:pt>
                <c:pt idx="30">
                  <c:v>0.45</c:v>
                </c:pt>
                <c:pt idx="31">
                  <c:v>0</c:v>
                </c:pt>
                <c:pt idx="32">
                  <c:v>0</c:v>
                </c:pt>
                <c:pt idx="33">
                  <c:v>6.3</c:v>
                </c:pt>
                <c:pt idx="34">
                  <c:v>0</c:v>
                </c:pt>
                <c:pt idx="35">
                  <c:v>0</c:v>
                </c:pt>
                <c:pt idx="36">
                  <c:v>0</c:v>
                </c:pt>
                <c:pt idx="37">
                  <c:v>200</c:v>
                </c:pt>
                <c:pt idx="38">
                  <c:v>0</c:v>
                </c:pt>
                <c:pt idx="39">
                  <c:v>0</c:v>
                </c:pt>
                <c:pt idx="40">
                  <c:v>1001.2</c:v>
                </c:pt>
                <c:pt idx="41">
                  <c:v>100</c:v>
                </c:pt>
                <c:pt idx="42">
                  <c:v>0.4</c:v>
                </c:pt>
              </c:numCache>
            </c:numRef>
          </c:val>
        </c:ser>
        <c:ser>
          <c:idx val="2"/>
          <c:order val="2"/>
          <c:tx>
            <c:strRef>
              <c:f>'May 2017'!$L$1</c:f>
              <c:strCache>
                <c:ptCount val="1"/>
                <c:pt idx="0">
                  <c:v>Possible</c:v>
                </c:pt>
              </c:strCache>
            </c:strRef>
          </c:tx>
          <c:spPr>
            <a:solidFill>
              <a:schemeClr val="accent3"/>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2017'!$L$2:$L$44</c:f>
              <c:numCache>
                <c:formatCode>_-"$"* #,##0_-;\-"$"* #,##0_-;_-"$"* "-"??_-;_-@_-</c:formatCode>
                <c:ptCount val="43"/>
                <c:pt idx="1">
                  <c:v>18170.326000000001</c:v>
                </c:pt>
                <c:pt idx="2">
                  <c:v>4851.5249999999996</c:v>
                </c:pt>
                <c:pt idx="3">
                  <c:v>3735.0590000000002</c:v>
                </c:pt>
                <c:pt idx="6">
                  <c:v>970.90599999999995</c:v>
                </c:pt>
                <c:pt idx="7">
                  <c:v>736.94799999999998</c:v>
                </c:pt>
                <c:pt idx="8">
                  <c:v>404.02800000000002</c:v>
                </c:pt>
                <c:pt idx="9">
                  <c:v>2050.665</c:v>
                </c:pt>
                <c:pt idx="10">
                  <c:v>2050.9349999999999</c:v>
                </c:pt>
                <c:pt idx="11">
                  <c:v>306.62299999999999</c:v>
                </c:pt>
                <c:pt idx="14">
                  <c:v>902.24300000000005</c:v>
                </c:pt>
                <c:pt idx="15">
                  <c:v>1273.779</c:v>
                </c:pt>
                <c:pt idx="16">
                  <c:v>1048.039</c:v>
                </c:pt>
                <c:pt idx="17">
                  <c:v>2189.9</c:v>
                </c:pt>
                <c:pt idx="20">
                  <c:v>840.63900000000001</c:v>
                </c:pt>
                <c:pt idx="21">
                  <c:v>1617.4849999999999</c:v>
                </c:pt>
                <c:pt idx="22">
                  <c:v>4008.1779999999999</c:v>
                </c:pt>
                <c:pt idx="23">
                  <c:v>66.147999999999996</c:v>
                </c:pt>
                <c:pt idx="24">
                  <c:v>1589.54</c:v>
                </c:pt>
                <c:pt idx="25">
                  <c:v>115.593</c:v>
                </c:pt>
                <c:pt idx="26">
                  <c:v>1228.5820000000001</c:v>
                </c:pt>
                <c:pt idx="29">
                  <c:v>492.52499999999998</c:v>
                </c:pt>
                <c:pt idx="30">
                  <c:v>1591.3620000000001</c:v>
                </c:pt>
                <c:pt idx="31">
                  <c:v>632.827</c:v>
                </c:pt>
                <c:pt idx="32">
                  <c:v>1243.1199999999999</c:v>
                </c:pt>
                <c:pt idx="33">
                  <c:v>1834.192</c:v>
                </c:pt>
                <c:pt idx="34">
                  <c:v>745.74900000000002</c:v>
                </c:pt>
                <c:pt idx="35">
                  <c:v>0</c:v>
                </c:pt>
                <c:pt idx="36">
                  <c:v>0</c:v>
                </c:pt>
                <c:pt idx="37">
                  <c:v>940.49300000000005</c:v>
                </c:pt>
                <c:pt idx="38">
                  <c:v>570.42999999999995</c:v>
                </c:pt>
                <c:pt idx="39">
                  <c:v>2417.098</c:v>
                </c:pt>
                <c:pt idx="40">
                  <c:v>2815.569</c:v>
                </c:pt>
                <c:pt idx="41">
                  <c:v>2348.2379999999998</c:v>
                </c:pt>
                <c:pt idx="42">
                  <c:v>5586.7120000000004</c:v>
                </c:pt>
              </c:numCache>
            </c:numRef>
          </c:val>
        </c:ser>
        <c:ser>
          <c:idx val="3"/>
          <c:order val="3"/>
          <c:tx>
            <c:strRef>
              <c:f>'May 2017'!$M$1</c:f>
              <c:strCache>
                <c:ptCount val="1"/>
                <c:pt idx="0">
                  <c:v>Firm</c:v>
                </c:pt>
              </c:strCache>
            </c:strRef>
          </c:tx>
          <c:spPr>
            <a:solidFill>
              <a:schemeClr val="accent4"/>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2017'!$M$2:$M$44</c:f>
              <c:numCache>
                <c:formatCode>_-"$"* #,##0_-;\-"$"* #,##0_-;_-"$"* "-"??_-;_-@_-</c:formatCode>
                <c:ptCount val="43"/>
                <c:pt idx="1">
                  <c:v>16484.958999999999</c:v>
                </c:pt>
                <c:pt idx="2">
                  <c:v>5701.223</c:v>
                </c:pt>
                <c:pt idx="3">
                  <c:v>808.43600000000004</c:v>
                </c:pt>
                <c:pt idx="6">
                  <c:v>168.56200000000001</c:v>
                </c:pt>
                <c:pt idx="7">
                  <c:v>469.22</c:v>
                </c:pt>
                <c:pt idx="8">
                  <c:v>126.328</c:v>
                </c:pt>
                <c:pt idx="9">
                  <c:v>1327.9490000000001</c:v>
                </c:pt>
                <c:pt idx="10">
                  <c:v>834.36900000000003</c:v>
                </c:pt>
                <c:pt idx="11">
                  <c:v>147.31800000000001</c:v>
                </c:pt>
                <c:pt idx="14">
                  <c:v>446.09500000000003</c:v>
                </c:pt>
                <c:pt idx="15">
                  <c:v>580.447</c:v>
                </c:pt>
                <c:pt idx="16">
                  <c:v>1704.1289999999999</c:v>
                </c:pt>
                <c:pt idx="17">
                  <c:v>722.40099999999995</c:v>
                </c:pt>
                <c:pt idx="20">
                  <c:v>365.61900000000003</c:v>
                </c:pt>
                <c:pt idx="21">
                  <c:v>299.83</c:v>
                </c:pt>
                <c:pt idx="22">
                  <c:v>552.91600000000005</c:v>
                </c:pt>
                <c:pt idx="23">
                  <c:v>56.459000000000003</c:v>
                </c:pt>
                <c:pt idx="24">
                  <c:v>624.41</c:v>
                </c:pt>
                <c:pt idx="25">
                  <c:v>38.694000000000003</c:v>
                </c:pt>
                <c:pt idx="26">
                  <c:v>323.25900000000001</c:v>
                </c:pt>
                <c:pt idx="29">
                  <c:v>730.40599999999995</c:v>
                </c:pt>
                <c:pt idx="30">
                  <c:v>518.08500000000004</c:v>
                </c:pt>
                <c:pt idx="31">
                  <c:v>276.45600000000002</c:v>
                </c:pt>
                <c:pt idx="32">
                  <c:v>1423.9159999999999</c:v>
                </c:pt>
                <c:pt idx="33">
                  <c:v>284.56200000000001</c:v>
                </c:pt>
                <c:pt idx="34">
                  <c:v>428.57900000000001</c:v>
                </c:pt>
                <c:pt idx="35">
                  <c:v>0</c:v>
                </c:pt>
                <c:pt idx="36">
                  <c:v>0</c:v>
                </c:pt>
                <c:pt idx="37">
                  <c:v>739.971</c:v>
                </c:pt>
                <c:pt idx="38">
                  <c:v>156.946</c:v>
                </c:pt>
                <c:pt idx="39">
                  <c:v>194.44399999999999</c:v>
                </c:pt>
                <c:pt idx="40">
                  <c:v>191.29300000000001</c:v>
                </c:pt>
                <c:pt idx="41">
                  <c:v>282.089</c:v>
                </c:pt>
                <c:pt idx="42">
                  <c:v>854.58699999999999</c:v>
                </c:pt>
              </c:numCache>
            </c:numRef>
          </c:val>
        </c:ser>
        <c:ser>
          <c:idx val="4"/>
          <c:order val="4"/>
          <c:tx>
            <c:strRef>
              <c:f>'May 2017'!$N$1</c:f>
              <c:strCache>
                <c:ptCount val="1"/>
                <c:pt idx="0">
                  <c:v>Commenced</c:v>
                </c:pt>
              </c:strCache>
            </c:strRef>
          </c:tx>
          <c:spPr>
            <a:solidFill>
              <a:schemeClr val="accent5"/>
            </a:solidFill>
            <a:ln>
              <a:noFill/>
            </a:ln>
            <a:effectLst/>
          </c:spPr>
          <c:invertIfNegative val="0"/>
          <c:cat>
            <c:strRef>
              <c:f>'May 2017'!$C$2:$C$44</c:f>
              <c:strCache>
                <c:ptCount val="43"/>
                <c:pt idx="0">
                  <c:v>Central Subregion</c:v>
                </c:pt>
                <c:pt idx="1">
                  <c:v>Melbourne</c:v>
                </c:pt>
                <c:pt idx="2">
                  <c:v>Port Phillip</c:v>
                </c:pt>
                <c:pt idx="3">
                  <c:v>Yarra</c:v>
                </c:pt>
                <c:pt idx="5">
                  <c:v>Eastern Subregion</c:v>
                </c:pt>
                <c:pt idx="6">
                  <c:v>Knox</c:v>
                </c:pt>
                <c:pt idx="7">
                  <c:v>Manningham</c:v>
                </c:pt>
                <c:pt idx="8">
                  <c:v>Maroondah</c:v>
                </c:pt>
                <c:pt idx="9">
                  <c:v>Monash</c:v>
                </c:pt>
                <c:pt idx="10">
                  <c:v>Whitehorse</c:v>
                </c:pt>
                <c:pt idx="11">
                  <c:v>Yarra Ranges</c:v>
                </c:pt>
                <c:pt idx="13">
                  <c:v>Inner East Subregion</c:v>
                </c:pt>
                <c:pt idx="14">
                  <c:v>Bayside</c:v>
                </c:pt>
                <c:pt idx="15">
                  <c:v>Boroondara</c:v>
                </c:pt>
                <c:pt idx="16">
                  <c:v>Glen Eira</c:v>
                </c:pt>
                <c:pt idx="17">
                  <c:v>Stonnington</c:v>
                </c:pt>
                <c:pt idx="19">
                  <c:v>Northern Subregion</c:v>
                </c:pt>
                <c:pt idx="20">
                  <c:v>Banyule</c:v>
                </c:pt>
                <c:pt idx="21">
                  <c:v>Darebin</c:v>
                </c:pt>
                <c:pt idx="22">
                  <c:v>Hume</c:v>
                </c:pt>
                <c:pt idx="23">
                  <c:v>Mitchell</c:v>
                </c:pt>
                <c:pt idx="24">
                  <c:v>Moreland</c:v>
                </c:pt>
                <c:pt idx="25">
                  <c:v>Nillumbik</c:v>
                </c:pt>
                <c:pt idx="26">
                  <c:v>Whittlesea</c:v>
                </c:pt>
                <c:pt idx="28">
                  <c:v>Southern Subregion</c:v>
                </c:pt>
                <c:pt idx="29">
                  <c:v>Cardinia</c:v>
                </c:pt>
                <c:pt idx="30">
                  <c:v>Casey</c:v>
                </c:pt>
                <c:pt idx="31">
                  <c:v>Frankston</c:v>
                </c:pt>
                <c:pt idx="32">
                  <c:v>Greater Dandenong</c:v>
                </c:pt>
                <c:pt idx="33">
                  <c:v>Kingston</c:v>
                </c:pt>
                <c:pt idx="34">
                  <c:v>Mornington Peninsula</c:v>
                </c:pt>
                <c:pt idx="36">
                  <c:v>Western Subregion</c:v>
                </c:pt>
                <c:pt idx="37">
                  <c:v>Brimbank</c:v>
                </c:pt>
                <c:pt idx="38">
                  <c:v>Hobsons Bay</c:v>
                </c:pt>
                <c:pt idx="39">
                  <c:v>Maribyrnong</c:v>
                </c:pt>
                <c:pt idx="40">
                  <c:v>Melton</c:v>
                </c:pt>
                <c:pt idx="41">
                  <c:v>Moonee Valley</c:v>
                </c:pt>
                <c:pt idx="42">
                  <c:v>Wyndham</c:v>
                </c:pt>
              </c:strCache>
            </c:strRef>
          </c:cat>
          <c:val>
            <c:numRef>
              <c:f>'May 2017'!$N$2:$N$44</c:f>
              <c:numCache>
                <c:formatCode>_-"$"* #,##0_-;\-"$"* #,##0_-;_-"$"* "-"??_-;_-@_-</c:formatCode>
                <c:ptCount val="43"/>
                <c:pt idx="1">
                  <c:v>8519.4639999999999</c:v>
                </c:pt>
                <c:pt idx="2">
                  <c:v>603.36400000000003</c:v>
                </c:pt>
                <c:pt idx="3">
                  <c:v>690.83</c:v>
                </c:pt>
                <c:pt idx="6">
                  <c:v>217.96100000000001</c:v>
                </c:pt>
                <c:pt idx="7">
                  <c:v>415.00799999999998</c:v>
                </c:pt>
                <c:pt idx="8">
                  <c:v>724.92100000000005</c:v>
                </c:pt>
                <c:pt idx="9">
                  <c:v>1429.0039999999999</c:v>
                </c:pt>
                <c:pt idx="10">
                  <c:v>848.43499999999995</c:v>
                </c:pt>
                <c:pt idx="11">
                  <c:v>139.25899999999999</c:v>
                </c:pt>
                <c:pt idx="14">
                  <c:v>336.846</c:v>
                </c:pt>
                <c:pt idx="15">
                  <c:v>569.61800000000005</c:v>
                </c:pt>
                <c:pt idx="16">
                  <c:v>535.17399999999998</c:v>
                </c:pt>
                <c:pt idx="17">
                  <c:v>1444.1469999999999</c:v>
                </c:pt>
                <c:pt idx="20">
                  <c:v>395.71800000000002</c:v>
                </c:pt>
                <c:pt idx="21">
                  <c:v>569.31200000000001</c:v>
                </c:pt>
                <c:pt idx="22">
                  <c:v>615.40599999999995</c:v>
                </c:pt>
                <c:pt idx="23">
                  <c:v>40.097999999999999</c:v>
                </c:pt>
                <c:pt idx="24">
                  <c:v>803.55</c:v>
                </c:pt>
                <c:pt idx="25">
                  <c:v>68.575999999999993</c:v>
                </c:pt>
                <c:pt idx="26">
                  <c:v>1440.338</c:v>
                </c:pt>
                <c:pt idx="29">
                  <c:v>262.57900000000001</c:v>
                </c:pt>
                <c:pt idx="30">
                  <c:v>1047.125</c:v>
                </c:pt>
                <c:pt idx="31">
                  <c:v>251.05</c:v>
                </c:pt>
                <c:pt idx="32">
                  <c:v>717.78599999999994</c:v>
                </c:pt>
                <c:pt idx="33">
                  <c:v>465.363</c:v>
                </c:pt>
                <c:pt idx="34">
                  <c:v>351.88799999999998</c:v>
                </c:pt>
                <c:pt idx="35">
                  <c:v>0</c:v>
                </c:pt>
                <c:pt idx="36">
                  <c:v>0</c:v>
                </c:pt>
                <c:pt idx="37">
                  <c:v>1408.6969999999999</c:v>
                </c:pt>
                <c:pt idx="38">
                  <c:v>52.92</c:v>
                </c:pt>
                <c:pt idx="39">
                  <c:v>886.66</c:v>
                </c:pt>
                <c:pt idx="40">
                  <c:v>1122.425</c:v>
                </c:pt>
                <c:pt idx="41">
                  <c:v>677.03399999999999</c:v>
                </c:pt>
                <c:pt idx="42">
                  <c:v>1155.0920000000001</c:v>
                </c:pt>
              </c:numCache>
            </c:numRef>
          </c:val>
        </c:ser>
        <c:dLbls>
          <c:showLegendKey val="0"/>
          <c:showVal val="0"/>
          <c:showCatName val="0"/>
          <c:showSerName val="0"/>
          <c:showPercent val="0"/>
          <c:showBubbleSize val="0"/>
        </c:dLbls>
        <c:gapWidth val="50"/>
        <c:overlap val="100"/>
        <c:axId val="210625888"/>
        <c:axId val="210626448"/>
      </c:barChart>
      <c:catAx>
        <c:axId val="210625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26448"/>
        <c:crosses val="autoZero"/>
        <c:auto val="1"/>
        <c:lblAlgn val="ctr"/>
        <c:lblOffset val="100"/>
        <c:noMultiLvlLbl val="0"/>
      </c:catAx>
      <c:valAx>
        <c:axId val="210626448"/>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25888"/>
        <c:crosses val="autoZero"/>
        <c:crossBetween val="between"/>
      </c:valAx>
      <c:spPr>
        <a:noFill/>
        <a:ln>
          <a:noFill/>
        </a:ln>
        <a:effectLst/>
      </c:spPr>
    </c:plotArea>
    <c:legend>
      <c:legendPos val="b"/>
      <c:layout>
        <c:manualLayout>
          <c:xMode val="edge"/>
          <c:yMode val="edge"/>
          <c:x val="0.6984472878390201"/>
          <c:y val="1.1611732934209673E-2"/>
          <c:w val="0.27532764654418196"/>
          <c:h val="9.1038426498340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Value of Construction Projects by Stage</a:t>
            </a:r>
          </a:p>
          <a:p>
            <a:pPr algn="l">
              <a:defRPr/>
            </a:pPr>
            <a:r>
              <a:rPr lang="en-AU"/>
              <a:t>Regional Victoria </a:t>
            </a:r>
            <a:r>
              <a:rPr lang="en-AU" sz="1400" b="0" i="0" u="none" strike="noStrike" baseline="0">
                <a:effectLst/>
              </a:rPr>
              <a:t>($ Millions)</a:t>
            </a:r>
            <a:endParaRPr lang="en-AU"/>
          </a:p>
          <a:p>
            <a:pPr algn="l">
              <a:defRPr/>
            </a:pPr>
            <a:r>
              <a:rPr lang="en-AU" sz="900"/>
              <a:t>Source: VPA analysis of the Cordell Connect Projects May 2017</a:t>
            </a:r>
            <a:endParaRPr lang="en-AU"/>
          </a:p>
        </c:rich>
      </c:tx>
      <c:layout>
        <c:manualLayout>
          <c:xMode val="edge"/>
          <c:yMode val="edge"/>
          <c:x val="1.451224846894147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453086493959249"/>
          <c:y val="0.13320128293091996"/>
          <c:w val="0.67434164479440073"/>
          <c:h val="0.83634409494946704"/>
        </c:manualLayout>
      </c:layout>
      <c:barChart>
        <c:barDir val="bar"/>
        <c:grouping val="stacked"/>
        <c:varyColors val="0"/>
        <c:ser>
          <c:idx val="0"/>
          <c:order val="0"/>
          <c:tx>
            <c:strRef>
              <c:f>'May 2017'!$J$1</c:f>
              <c:strCache>
                <c:ptCount val="1"/>
                <c:pt idx="0">
                  <c:v>Early</c:v>
                </c:pt>
              </c:strCache>
            </c:strRef>
          </c:tx>
          <c:spPr>
            <a:solidFill>
              <a:schemeClr val="accent1"/>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2017'!$J$46:$J$97</c:f>
              <c:numCache>
                <c:formatCode>_-"$"* #,##0_-;\-"$"* #,##0_-;_-"$"* "-"??_-;_-@_-</c:formatCode>
                <c:ptCount val="52"/>
                <c:pt idx="1">
                  <c:v>296.77499999999998</c:v>
                </c:pt>
                <c:pt idx="2">
                  <c:v>81.320999999999998</c:v>
                </c:pt>
                <c:pt idx="3">
                  <c:v>5374.2060000000001</c:v>
                </c:pt>
                <c:pt idx="4">
                  <c:v>1123.94</c:v>
                </c:pt>
                <c:pt idx="5">
                  <c:v>9.4770000000000003</c:v>
                </c:pt>
                <c:pt idx="6">
                  <c:v>111.673</c:v>
                </c:pt>
                <c:pt idx="7">
                  <c:v>304.5</c:v>
                </c:pt>
                <c:pt idx="8">
                  <c:v>43.325000000000003</c:v>
                </c:pt>
                <c:pt idx="9">
                  <c:v>130.50700000000001</c:v>
                </c:pt>
                <c:pt idx="10">
                  <c:v>4.798</c:v>
                </c:pt>
                <c:pt idx="13">
                  <c:v>34.299999999999997</c:v>
                </c:pt>
                <c:pt idx="14">
                  <c:v>208.04300000000001</c:v>
                </c:pt>
                <c:pt idx="15">
                  <c:v>301.8</c:v>
                </c:pt>
                <c:pt idx="16">
                  <c:v>61.984999999999999</c:v>
                </c:pt>
                <c:pt idx="17">
                  <c:v>72.53</c:v>
                </c:pt>
                <c:pt idx="18">
                  <c:v>0</c:v>
                </c:pt>
                <c:pt idx="19">
                  <c:v>10.129</c:v>
                </c:pt>
                <c:pt idx="20">
                  <c:v>155.364</c:v>
                </c:pt>
                <c:pt idx="21">
                  <c:v>128.19999999999999</c:v>
                </c:pt>
                <c:pt idx="24">
                  <c:v>22.350999999999999</c:v>
                </c:pt>
                <c:pt idx="25">
                  <c:v>71.45</c:v>
                </c:pt>
                <c:pt idx="26">
                  <c:v>4.5</c:v>
                </c:pt>
                <c:pt idx="27">
                  <c:v>11.1</c:v>
                </c:pt>
                <c:pt idx="28">
                  <c:v>118.636</c:v>
                </c:pt>
                <c:pt idx="29">
                  <c:v>21.004999999999999</c:v>
                </c:pt>
                <c:pt idx="30">
                  <c:v>3.5</c:v>
                </c:pt>
                <c:pt idx="31">
                  <c:v>31.2</c:v>
                </c:pt>
                <c:pt idx="32">
                  <c:v>15.9</c:v>
                </c:pt>
                <c:pt idx="33">
                  <c:v>27.376000000000001</c:v>
                </c:pt>
                <c:pt idx="34">
                  <c:v>0.2</c:v>
                </c:pt>
                <c:pt idx="35">
                  <c:v>8.1210000000000004</c:v>
                </c:pt>
                <c:pt idx="36">
                  <c:v>4.0759999999999996</c:v>
                </c:pt>
                <c:pt idx="37">
                  <c:v>48.85</c:v>
                </c:pt>
                <c:pt idx="38">
                  <c:v>110.4</c:v>
                </c:pt>
                <c:pt idx="39">
                  <c:v>0.2</c:v>
                </c:pt>
                <c:pt idx="40">
                  <c:v>46.26</c:v>
                </c:pt>
                <c:pt idx="41">
                  <c:v>65.197999999999993</c:v>
                </c:pt>
                <c:pt idx="42">
                  <c:v>208.06</c:v>
                </c:pt>
                <c:pt idx="43">
                  <c:v>2.2000000000000002</c:v>
                </c:pt>
                <c:pt idx="44">
                  <c:v>20</c:v>
                </c:pt>
                <c:pt idx="45">
                  <c:v>7.12</c:v>
                </c:pt>
                <c:pt idx="46">
                  <c:v>3</c:v>
                </c:pt>
                <c:pt idx="47">
                  <c:v>3.85</c:v>
                </c:pt>
                <c:pt idx="48">
                  <c:v>4</c:v>
                </c:pt>
                <c:pt idx="49">
                  <c:v>10.199999999999999</c:v>
                </c:pt>
                <c:pt idx="50">
                  <c:v>2</c:v>
                </c:pt>
                <c:pt idx="51">
                  <c:v>5.05</c:v>
                </c:pt>
              </c:numCache>
            </c:numRef>
          </c:val>
        </c:ser>
        <c:ser>
          <c:idx val="1"/>
          <c:order val="1"/>
          <c:tx>
            <c:strRef>
              <c:f>'May 2017'!$K$1</c:f>
              <c:strCache>
                <c:ptCount val="1"/>
                <c:pt idx="0">
                  <c:v>Registrations</c:v>
                </c:pt>
              </c:strCache>
            </c:strRef>
          </c:tx>
          <c:spPr>
            <a:solidFill>
              <a:schemeClr val="accent2"/>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2017'!$K$46:$K$97</c:f>
              <c:numCache>
                <c:formatCode>_-"$"* #,##0_-;\-"$"* #,##0_-;_-"$"* "-"??_-;_-@_-</c:formatCode>
                <c:ptCount val="52"/>
                <c:pt idx="1">
                  <c:v>0.6</c:v>
                </c:pt>
                <c:pt idx="2">
                  <c:v>0</c:v>
                </c:pt>
                <c:pt idx="3">
                  <c:v>110.85</c:v>
                </c:pt>
                <c:pt idx="4">
                  <c:v>177.7</c:v>
                </c:pt>
                <c:pt idx="5">
                  <c:v>0</c:v>
                </c:pt>
                <c:pt idx="6">
                  <c:v>2.2000000000000002</c:v>
                </c:pt>
                <c:pt idx="7">
                  <c:v>0.25</c:v>
                </c:pt>
                <c:pt idx="8">
                  <c:v>0</c:v>
                </c:pt>
                <c:pt idx="9">
                  <c:v>0.6</c:v>
                </c:pt>
                <c:pt idx="10">
                  <c:v>0.15</c:v>
                </c:pt>
                <c:pt idx="13">
                  <c:v>58.2</c:v>
                </c:pt>
                <c:pt idx="14">
                  <c:v>0.6</c:v>
                </c:pt>
                <c:pt idx="15">
                  <c:v>0</c:v>
                </c:pt>
                <c:pt idx="16">
                  <c:v>0</c:v>
                </c:pt>
                <c:pt idx="17">
                  <c:v>0</c:v>
                </c:pt>
                <c:pt idx="18">
                  <c:v>0</c:v>
                </c:pt>
                <c:pt idx="19">
                  <c:v>0</c:v>
                </c:pt>
                <c:pt idx="20">
                  <c:v>0</c:v>
                </c:pt>
                <c:pt idx="21">
                  <c:v>0.5</c:v>
                </c:pt>
                <c:pt idx="24">
                  <c:v>0</c:v>
                </c:pt>
                <c:pt idx="25">
                  <c:v>0</c:v>
                </c:pt>
                <c:pt idx="26">
                  <c:v>5</c:v>
                </c:pt>
                <c:pt idx="27">
                  <c:v>0</c:v>
                </c:pt>
                <c:pt idx="28">
                  <c:v>0</c:v>
                </c:pt>
                <c:pt idx="29">
                  <c:v>0</c:v>
                </c:pt>
                <c:pt idx="30">
                  <c:v>80</c:v>
                </c:pt>
                <c:pt idx="31">
                  <c:v>0</c:v>
                </c:pt>
                <c:pt idx="32">
                  <c:v>0</c:v>
                </c:pt>
                <c:pt idx="33">
                  <c:v>0</c:v>
                </c:pt>
                <c:pt idx="34">
                  <c:v>0.65</c:v>
                </c:pt>
                <c:pt idx="35">
                  <c:v>0</c:v>
                </c:pt>
                <c:pt idx="36">
                  <c:v>0</c:v>
                </c:pt>
                <c:pt idx="37">
                  <c:v>1.01</c:v>
                </c:pt>
                <c:pt idx="38">
                  <c:v>0</c:v>
                </c:pt>
                <c:pt idx="39">
                  <c:v>1</c:v>
                </c:pt>
                <c:pt idx="40">
                  <c:v>2.7</c:v>
                </c:pt>
                <c:pt idx="41">
                  <c:v>1.1000000000000001</c:v>
                </c:pt>
                <c:pt idx="42">
                  <c:v>0</c:v>
                </c:pt>
                <c:pt idx="43">
                  <c:v>0.4</c:v>
                </c:pt>
                <c:pt idx="44">
                  <c:v>0</c:v>
                </c:pt>
                <c:pt idx="45">
                  <c:v>0</c:v>
                </c:pt>
                <c:pt idx="46">
                  <c:v>0</c:v>
                </c:pt>
                <c:pt idx="47">
                  <c:v>0</c:v>
                </c:pt>
                <c:pt idx="48">
                  <c:v>0</c:v>
                </c:pt>
                <c:pt idx="49">
                  <c:v>0</c:v>
                </c:pt>
                <c:pt idx="50">
                  <c:v>0</c:v>
                </c:pt>
                <c:pt idx="51">
                  <c:v>0.15</c:v>
                </c:pt>
              </c:numCache>
            </c:numRef>
          </c:val>
        </c:ser>
        <c:ser>
          <c:idx val="2"/>
          <c:order val="2"/>
          <c:tx>
            <c:strRef>
              <c:f>'May 2017'!$L$1</c:f>
              <c:strCache>
                <c:ptCount val="1"/>
                <c:pt idx="0">
                  <c:v>Possible</c:v>
                </c:pt>
              </c:strCache>
            </c:strRef>
          </c:tx>
          <c:spPr>
            <a:solidFill>
              <a:schemeClr val="accent3"/>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2017'!$L$46:$L$97</c:f>
              <c:numCache>
                <c:formatCode>_-"$"* #,##0_-;\-"$"* #,##0_-;_-"$"* "-"??_-;_-@_-</c:formatCode>
                <c:ptCount val="52"/>
                <c:pt idx="1">
                  <c:v>341.41199999999998</c:v>
                </c:pt>
                <c:pt idx="2">
                  <c:v>305.62</c:v>
                </c:pt>
                <c:pt idx="3">
                  <c:v>2977.5309999999999</c:v>
                </c:pt>
                <c:pt idx="4">
                  <c:v>115.474</c:v>
                </c:pt>
                <c:pt idx="5">
                  <c:v>57.8</c:v>
                </c:pt>
                <c:pt idx="6">
                  <c:v>717.85</c:v>
                </c:pt>
                <c:pt idx="7">
                  <c:v>519.01</c:v>
                </c:pt>
                <c:pt idx="8">
                  <c:v>148</c:v>
                </c:pt>
                <c:pt idx="9">
                  <c:v>93.1</c:v>
                </c:pt>
                <c:pt idx="10">
                  <c:v>233.06</c:v>
                </c:pt>
                <c:pt idx="13">
                  <c:v>71.138000000000005</c:v>
                </c:pt>
                <c:pt idx="14">
                  <c:v>99.097999999999999</c:v>
                </c:pt>
                <c:pt idx="15">
                  <c:v>6.45</c:v>
                </c:pt>
                <c:pt idx="16">
                  <c:v>104.976</c:v>
                </c:pt>
                <c:pt idx="17">
                  <c:v>556.86099999999999</c:v>
                </c:pt>
                <c:pt idx="18">
                  <c:v>15.019</c:v>
                </c:pt>
                <c:pt idx="19">
                  <c:v>6.5</c:v>
                </c:pt>
                <c:pt idx="20">
                  <c:v>29.8</c:v>
                </c:pt>
                <c:pt idx="21">
                  <c:v>55.981000000000002</c:v>
                </c:pt>
                <c:pt idx="24">
                  <c:v>117.508</c:v>
                </c:pt>
                <c:pt idx="25">
                  <c:v>9.4</c:v>
                </c:pt>
                <c:pt idx="26">
                  <c:v>11.932</c:v>
                </c:pt>
                <c:pt idx="27">
                  <c:v>10.885</c:v>
                </c:pt>
                <c:pt idx="28">
                  <c:v>284.27</c:v>
                </c:pt>
                <c:pt idx="29">
                  <c:v>1</c:v>
                </c:pt>
                <c:pt idx="30">
                  <c:v>21.95</c:v>
                </c:pt>
                <c:pt idx="31">
                  <c:v>133.75</c:v>
                </c:pt>
                <c:pt idx="32">
                  <c:v>17.951000000000001</c:v>
                </c:pt>
                <c:pt idx="33">
                  <c:v>41.33</c:v>
                </c:pt>
                <c:pt idx="34">
                  <c:v>3.7349999999999999</c:v>
                </c:pt>
                <c:pt idx="35">
                  <c:v>28.25</c:v>
                </c:pt>
                <c:pt idx="36">
                  <c:v>19.600000000000001</c:v>
                </c:pt>
                <c:pt idx="37">
                  <c:v>4.1500000000000004</c:v>
                </c:pt>
                <c:pt idx="38">
                  <c:v>127.5</c:v>
                </c:pt>
                <c:pt idx="39">
                  <c:v>40.6</c:v>
                </c:pt>
                <c:pt idx="40">
                  <c:v>16.64</c:v>
                </c:pt>
                <c:pt idx="41">
                  <c:v>43.814999999999998</c:v>
                </c:pt>
                <c:pt idx="42">
                  <c:v>331.54899999999998</c:v>
                </c:pt>
                <c:pt idx="43">
                  <c:v>532.65</c:v>
                </c:pt>
                <c:pt idx="44">
                  <c:v>42.6</c:v>
                </c:pt>
                <c:pt idx="45">
                  <c:v>243.684</c:v>
                </c:pt>
                <c:pt idx="46">
                  <c:v>2.17</c:v>
                </c:pt>
                <c:pt idx="47">
                  <c:v>240.31899999999999</c:v>
                </c:pt>
                <c:pt idx="48">
                  <c:v>1.75</c:v>
                </c:pt>
                <c:pt idx="49">
                  <c:v>132.828</c:v>
                </c:pt>
                <c:pt idx="50">
                  <c:v>0</c:v>
                </c:pt>
                <c:pt idx="51">
                  <c:v>671.3</c:v>
                </c:pt>
              </c:numCache>
            </c:numRef>
          </c:val>
        </c:ser>
        <c:ser>
          <c:idx val="3"/>
          <c:order val="3"/>
          <c:tx>
            <c:strRef>
              <c:f>'May 2017'!$M$1</c:f>
              <c:strCache>
                <c:ptCount val="1"/>
                <c:pt idx="0">
                  <c:v>Firm</c:v>
                </c:pt>
              </c:strCache>
            </c:strRef>
          </c:tx>
          <c:spPr>
            <a:solidFill>
              <a:schemeClr val="accent4"/>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2017'!$M$46:$M$97</c:f>
              <c:numCache>
                <c:formatCode>_-"$"* #,##0_-;\-"$"* #,##0_-;_-"$"* "-"??_-;_-@_-</c:formatCode>
                <c:ptCount val="52"/>
                <c:pt idx="1">
                  <c:v>191.40899999999999</c:v>
                </c:pt>
                <c:pt idx="2">
                  <c:v>857.94899999999996</c:v>
                </c:pt>
                <c:pt idx="3">
                  <c:v>473.17099999999999</c:v>
                </c:pt>
                <c:pt idx="4">
                  <c:v>169.24</c:v>
                </c:pt>
                <c:pt idx="5">
                  <c:v>10.388</c:v>
                </c:pt>
                <c:pt idx="6">
                  <c:v>86.311999999999998</c:v>
                </c:pt>
                <c:pt idx="7">
                  <c:v>22.186</c:v>
                </c:pt>
                <c:pt idx="8">
                  <c:v>30.475999999999999</c:v>
                </c:pt>
                <c:pt idx="9">
                  <c:v>26.068999999999999</c:v>
                </c:pt>
                <c:pt idx="10">
                  <c:v>75.244</c:v>
                </c:pt>
                <c:pt idx="13">
                  <c:v>21.367000000000001</c:v>
                </c:pt>
                <c:pt idx="14">
                  <c:v>70.525999999999996</c:v>
                </c:pt>
                <c:pt idx="15">
                  <c:v>6.3650000000000002</c:v>
                </c:pt>
                <c:pt idx="16">
                  <c:v>33.360999999999997</c:v>
                </c:pt>
                <c:pt idx="17">
                  <c:v>40.356999999999999</c:v>
                </c:pt>
                <c:pt idx="18">
                  <c:v>18.82</c:v>
                </c:pt>
                <c:pt idx="19">
                  <c:v>9.1999999999999993</c:v>
                </c:pt>
                <c:pt idx="20">
                  <c:v>18.323</c:v>
                </c:pt>
                <c:pt idx="21">
                  <c:v>106.54300000000001</c:v>
                </c:pt>
                <c:pt idx="24">
                  <c:v>55.439</c:v>
                </c:pt>
                <c:pt idx="25">
                  <c:v>186.697</c:v>
                </c:pt>
                <c:pt idx="26">
                  <c:v>7.45</c:v>
                </c:pt>
                <c:pt idx="27">
                  <c:v>20.166</c:v>
                </c:pt>
                <c:pt idx="28">
                  <c:v>29.919</c:v>
                </c:pt>
                <c:pt idx="29">
                  <c:v>13.388999999999999</c:v>
                </c:pt>
                <c:pt idx="30">
                  <c:v>79.168999999999997</c:v>
                </c:pt>
                <c:pt idx="31">
                  <c:v>56.813000000000002</c:v>
                </c:pt>
                <c:pt idx="32">
                  <c:v>45.646999999999998</c:v>
                </c:pt>
                <c:pt idx="33">
                  <c:v>15.292</c:v>
                </c:pt>
                <c:pt idx="34">
                  <c:v>22.556999999999999</c:v>
                </c:pt>
                <c:pt idx="35">
                  <c:v>19.609000000000002</c:v>
                </c:pt>
                <c:pt idx="36">
                  <c:v>5.0090000000000003</c:v>
                </c:pt>
                <c:pt idx="37">
                  <c:v>8</c:v>
                </c:pt>
                <c:pt idx="38">
                  <c:v>5.367</c:v>
                </c:pt>
                <c:pt idx="39">
                  <c:v>8.9450000000000003</c:v>
                </c:pt>
                <c:pt idx="40">
                  <c:v>49.917999999999999</c:v>
                </c:pt>
                <c:pt idx="41">
                  <c:v>12.189</c:v>
                </c:pt>
                <c:pt idx="42">
                  <c:v>14.726000000000001</c:v>
                </c:pt>
                <c:pt idx="43">
                  <c:v>12.8</c:v>
                </c:pt>
                <c:pt idx="44">
                  <c:v>255.721</c:v>
                </c:pt>
                <c:pt idx="45">
                  <c:v>20.254999999999999</c:v>
                </c:pt>
                <c:pt idx="46">
                  <c:v>15.997999999999999</c:v>
                </c:pt>
                <c:pt idx="47">
                  <c:v>120.5</c:v>
                </c:pt>
                <c:pt idx="48">
                  <c:v>2.2999999999999998</c:v>
                </c:pt>
                <c:pt idx="49">
                  <c:v>118.536</c:v>
                </c:pt>
                <c:pt idx="50">
                  <c:v>3.9980000000000002</c:v>
                </c:pt>
                <c:pt idx="51">
                  <c:v>2.6</c:v>
                </c:pt>
              </c:numCache>
            </c:numRef>
          </c:val>
        </c:ser>
        <c:ser>
          <c:idx val="4"/>
          <c:order val="4"/>
          <c:tx>
            <c:strRef>
              <c:f>'May 2017'!$N$1</c:f>
              <c:strCache>
                <c:ptCount val="1"/>
                <c:pt idx="0">
                  <c:v>Commenced</c:v>
                </c:pt>
              </c:strCache>
            </c:strRef>
          </c:tx>
          <c:spPr>
            <a:solidFill>
              <a:schemeClr val="accent5"/>
            </a:solidFill>
            <a:ln>
              <a:noFill/>
            </a:ln>
            <a:effectLst/>
          </c:spPr>
          <c:invertIfNegative val="0"/>
          <c:cat>
            <c:strRef>
              <c:f>'May 2017'!$C$46:$C$97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Coastal &amp; Peri-Urban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'May 2017'!$N$46:$N$97</c:f>
              <c:numCache>
                <c:formatCode>_-"$"* #,##0_-;\-"$"* #,##0_-;_-"$"* "-"??_-;_-@_-</c:formatCode>
                <c:ptCount val="52"/>
                <c:pt idx="1">
                  <c:v>455.90199999999999</c:v>
                </c:pt>
                <c:pt idx="2">
                  <c:v>232.256</c:v>
                </c:pt>
                <c:pt idx="3">
                  <c:v>1130.155</c:v>
                </c:pt>
                <c:pt idx="4">
                  <c:v>113.916</c:v>
                </c:pt>
                <c:pt idx="5">
                  <c:v>29.890999999999998</c:v>
                </c:pt>
                <c:pt idx="6">
                  <c:v>133.583</c:v>
                </c:pt>
                <c:pt idx="7">
                  <c:v>54.185000000000002</c:v>
                </c:pt>
                <c:pt idx="8">
                  <c:v>11.869</c:v>
                </c:pt>
                <c:pt idx="9">
                  <c:v>41.725000000000001</c:v>
                </c:pt>
                <c:pt idx="10">
                  <c:v>111.524</c:v>
                </c:pt>
                <c:pt idx="13">
                  <c:v>33.78</c:v>
                </c:pt>
                <c:pt idx="14">
                  <c:v>61.393000000000001</c:v>
                </c:pt>
                <c:pt idx="15">
                  <c:v>26.995999999999999</c:v>
                </c:pt>
                <c:pt idx="16">
                  <c:v>23.63</c:v>
                </c:pt>
                <c:pt idx="17">
                  <c:v>67.385999999999996</c:v>
                </c:pt>
                <c:pt idx="18">
                  <c:v>8.4250000000000007</c:v>
                </c:pt>
                <c:pt idx="19">
                  <c:v>1.391</c:v>
                </c:pt>
                <c:pt idx="20">
                  <c:v>19.744</c:v>
                </c:pt>
                <c:pt idx="21">
                  <c:v>99.228999999999999</c:v>
                </c:pt>
                <c:pt idx="24">
                  <c:v>11.234999999999999</c:v>
                </c:pt>
                <c:pt idx="25">
                  <c:v>128.15</c:v>
                </c:pt>
                <c:pt idx="26">
                  <c:v>0.75</c:v>
                </c:pt>
                <c:pt idx="27">
                  <c:v>5.45</c:v>
                </c:pt>
                <c:pt idx="28">
                  <c:v>41.454000000000001</c:v>
                </c:pt>
                <c:pt idx="29">
                  <c:v>42.707999999999998</c:v>
                </c:pt>
                <c:pt idx="30">
                  <c:v>224.91800000000001</c:v>
                </c:pt>
                <c:pt idx="31">
                  <c:v>16.86</c:v>
                </c:pt>
                <c:pt idx="32">
                  <c:v>12.789</c:v>
                </c:pt>
                <c:pt idx="33">
                  <c:v>13.42</c:v>
                </c:pt>
                <c:pt idx="34">
                  <c:v>15.933999999999999</c:v>
                </c:pt>
                <c:pt idx="35">
                  <c:v>3.55</c:v>
                </c:pt>
                <c:pt idx="36">
                  <c:v>41.45</c:v>
                </c:pt>
                <c:pt idx="37">
                  <c:v>5.2759999999999998</c:v>
                </c:pt>
                <c:pt idx="38">
                  <c:v>23.248999999999999</c:v>
                </c:pt>
                <c:pt idx="39">
                  <c:v>4.3780000000000001</c:v>
                </c:pt>
                <c:pt idx="40">
                  <c:v>157.19</c:v>
                </c:pt>
                <c:pt idx="41">
                  <c:v>15.977</c:v>
                </c:pt>
                <c:pt idx="42">
                  <c:v>17.666</c:v>
                </c:pt>
                <c:pt idx="43">
                  <c:v>31.92</c:v>
                </c:pt>
                <c:pt idx="44">
                  <c:v>1.87</c:v>
                </c:pt>
                <c:pt idx="45">
                  <c:v>23.600999999999999</c:v>
                </c:pt>
                <c:pt idx="46">
                  <c:v>27.655000000000001</c:v>
                </c:pt>
                <c:pt idx="47">
                  <c:v>7.76</c:v>
                </c:pt>
                <c:pt idx="48">
                  <c:v>1.31</c:v>
                </c:pt>
                <c:pt idx="49">
                  <c:v>94.474999999999994</c:v>
                </c:pt>
                <c:pt idx="50">
                  <c:v>0.2</c:v>
                </c:pt>
                <c:pt idx="51">
                  <c:v>1.839</c:v>
                </c:pt>
              </c:numCache>
            </c:numRef>
          </c:val>
        </c:ser>
        <c:dLbls>
          <c:showLegendKey val="0"/>
          <c:showVal val="0"/>
          <c:showCatName val="0"/>
          <c:showSerName val="0"/>
          <c:showPercent val="0"/>
          <c:showBubbleSize val="0"/>
        </c:dLbls>
        <c:gapWidth val="50"/>
        <c:overlap val="100"/>
        <c:axId val="210630928"/>
        <c:axId val="210631488"/>
      </c:barChart>
      <c:catAx>
        <c:axId val="210630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1488"/>
        <c:crosses val="autoZero"/>
        <c:auto val="1"/>
        <c:lblAlgn val="ctr"/>
        <c:lblOffset val="100"/>
        <c:noMultiLvlLbl val="0"/>
      </c:catAx>
      <c:valAx>
        <c:axId val="210631488"/>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0928"/>
        <c:crosses val="autoZero"/>
        <c:crossBetween val="between"/>
      </c:valAx>
      <c:spPr>
        <a:noFill/>
        <a:ln>
          <a:noFill/>
        </a:ln>
        <a:effectLst/>
      </c:spPr>
    </c:plotArea>
    <c:legend>
      <c:legendPos val="b"/>
      <c:layout>
        <c:manualLayout>
          <c:xMode val="edge"/>
          <c:yMode val="edge"/>
          <c:x val="0.6984472878390201"/>
          <c:y val="1.1611732934209673E-2"/>
          <c:w val="0.27532764654418196"/>
          <c:h val="9.1038426498340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Residential Property Sales Rates </a:t>
            </a:r>
            <a:r>
              <a:rPr lang="en-AU" baseline="0"/>
              <a:t> -  2015</a:t>
            </a:r>
          </a:p>
          <a:p>
            <a:pPr algn="l">
              <a:defRPr/>
            </a:pPr>
            <a:r>
              <a:rPr lang="en-AU" baseline="0"/>
              <a:t>Metropolitan Melbourne</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761969971"/>
          <c:y val="0.11943012881547195"/>
          <c:w val="0.76617321509053793"/>
          <c:h val="0.84702727376469245"/>
        </c:manualLayout>
      </c:layout>
      <c:barChart>
        <c:barDir val="bar"/>
        <c:grouping val="stacked"/>
        <c:varyColors val="0"/>
        <c:ser>
          <c:idx val="0"/>
          <c:order val="0"/>
          <c:tx>
            <c:strRef>
              <c:f>Summary!$D$3</c:f>
              <c:strCache>
                <c:ptCount val="1"/>
                <c:pt idx="0">
                  <c:v>Detached House Sales</c:v>
                </c:pt>
              </c:strCache>
            </c:strRef>
          </c:tx>
          <c:spPr>
            <a:solidFill>
              <a:schemeClr val="accent1"/>
            </a:solidFill>
            <a:ln>
              <a:solidFill>
                <a:schemeClr val="tx1"/>
              </a:solidFill>
            </a:ln>
            <a:effectLst/>
          </c:spPr>
          <c:invertIfNegative val="0"/>
          <c:cat>
            <c:strRef>
              <c:f>Summary!$C$4:$C$44</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Summary!$D$4:$D$44</c:f>
              <c:numCache>
                <c:formatCode>General</c:formatCode>
                <c:ptCount val="41"/>
                <c:pt idx="1">
                  <c:v>912</c:v>
                </c:pt>
                <c:pt idx="2">
                  <c:v>287</c:v>
                </c:pt>
                <c:pt idx="3">
                  <c:v>689</c:v>
                </c:pt>
                <c:pt idx="4">
                  <c:v>973</c:v>
                </c:pt>
                <c:pt idx="5">
                  <c:v>728</c:v>
                </c:pt>
                <c:pt idx="8">
                  <c:v>2088</c:v>
                </c:pt>
                <c:pt idx="9">
                  <c:v>2091</c:v>
                </c:pt>
                <c:pt idx="10">
                  <c:v>1387</c:v>
                </c:pt>
                <c:pt idx="11">
                  <c:v>1472</c:v>
                </c:pt>
                <c:pt idx="12">
                  <c:v>2279</c:v>
                </c:pt>
                <c:pt idx="13">
                  <c:v>2062</c:v>
                </c:pt>
                <c:pt idx="14">
                  <c:v>2326</c:v>
                </c:pt>
                <c:pt idx="17">
                  <c:v>1420</c:v>
                </c:pt>
                <c:pt idx="18">
                  <c:v>1402</c:v>
                </c:pt>
                <c:pt idx="19">
                  <c:v>3022</c:v>
                </c:pt>
                <c:pt idx="20">
                  <c:v>487</c:v>
                </c:pt>
                <c:pt idx="21">
                  <c:v>1724</c:v>
                </c:pt>
                <c:pt idx="22">
                  <c:v>676</c:v>
                </c:pt>
                <c:pt idx="23">
                  <c:v>2876</c:v>
                </c:pt>
                <c:pt idx="26">
                  <c:v>1244</c:v>
                </c:pt>
                <c:pt idx="27">
                  <c:v>1680</c:v>
                </c:pt>
                <c:pt idx="28">
                  <c:v>5186</c:v>
                </c:pt>
                <c:pt idx="29">
                  <c:v>2429</c:v>
                </c:pt>
                <c:pt idx="30">
                  <c:v>1352</c:v>
                </c:pt>
                <c:pt idx="31">
                  <c:v>1534</c:v>
                </c:pt>
                <c:pt idx="32">
                  <c:v>1677</c:v>
                </c:pt>
                <c:pt idx="33">
                  <c:v>4126</c:v>
                </c:pt>
                <c:pt idx="36">
                  <c:v>2487</c:v>
                </c:pt>
                <c:pt idx="37">
                  <c:v>1291</c:v>
                </c:pt>
                <c:pt idx="38">
                  <c:v>2172</c:v>
                </c:pt>
                <c:pt idx="39">
                  <c:v>1408</c:v>
                </c:pt>
                <c:pt idx="40">
                  <c:v>4146</c:v>
                </c:pt>
              </c:numCache>
            </c:numRef>
          </c:val>
        </c:ser>
        <c:ser>
          <c:idx val="1"/>
          <c:order val="1"/>
          <c:tx>
            <c:strRef>
              <c:f>Summary!$E$3</c:f>
              <c:strCache>
                <c:ptCount val="1"/>
                <c:pt idx="0">
                  <c:v>Semi-Detached House Sales</c:v>
                </c:pt>
              </c:strCache>
            </c:strRef>
          </c:tx>
          <c:spPr>
            <a:solidFill>
              <a:srgbClr val="C00000"/>
            </a:solidFill>
            <a:ln>
              <a:solidFill>
                <a:schemeClr val="tx1"/>
              </a:solidFill>
            </a:ln>
            <a:effectLst/>
          </c:spPr>
          <c:invertIfNegative val="0"/>
          <c:cat>
            <c:strRef>
              <c:f>Summary!$C$4:$C$44</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Summary!$E$4:$E$44</c:f>
              <c:numCache>
                <c:formatCode>General</c:formatCode>
                <c:ptCount val="41"/>
                <c:pt idx="1">
                  <c:v>131</c:v>
                </c:pt>
                <c:pt idx="2">
                  <c:v>143</c:v>
                </c:pt>
                <c:pt idx="3">
                  <c:v>192</c:v>
                </c:pt>
                <c:pt idx="4">
                  <c:v>219</c:v>
                </c:pt>
                <c:pt idx="5">
                  <c:v>172</c:v>
                </c:pt>
                <c:pt idx="8">
                  <c:v>261</c:v>
                </c:pt>
                <c:pt idx="9">
                  <c:v>177</c:v>
                </c:pt>
                <c:pt idx="10">
                  <c:v>117</c:v>
                </c:pt>
                <c:pt idx="11">
                  <c:v>240</c:v>
                </c:pt>
                <c:pt idx="12">
                  <c:v>186</c:v>
                </c:pt>
                <c:pt idx="13">
                  <c:v>205</c:v>
                </c:pt>
                <c:pt idx="14">
                  <c:v>110</c:v>
                </c:pt>
                <c:pt idx="17">
                  <c:v>208</c:v>
                </c:pt>
                <c:pt idx="18">
                  <c:v>463</c:v>
                </c:pt>
                <c:pt idx="19">
                  <c:v>133</c:v>
                </c:pt>
                <c:pt idx="20">
                  <c:v>27</c:v>
                </c:pt>
                <c:pt idx="21">
                  <c:v>336</c:v>
                </c:pt>
                <c:pt idx="22">
                  <c:v>33</c:v>
                </c:pt>
                <c:pt idx="23">
                  <c:v>134</c:v>
                </c:pt>
                <c:pt idx="26">
                  <c:v>166</c:v>
                </c:pt>
                <c:pt idx="27">
                  <c:v>58</c:v>
                </c:pt>
                <c:pt idx="28">
                  <c:v>154</c:v>
                </c:pt>
                <c:pt idx="29">
                  <c:v>194</c:v>
                </c:pt>
                <c:pt idx="30">
                  <c:v>317</c:v>
                </c:pt>
                <c:pt idx="31">
                  <c:v>231</c:v>
                </c:pt>
                <c:pt idx="32">
                  <c:v>322</c:v>
                </c:pt>
                <c:pt idx="33">
                  <c:v>199</c:v>
                </c:pt>
                <c:pt idx="36">
                  <c:v>134</c:v>
                </c:pt>
                <c:pt idx="37">
                  <c:v>123</c:v>
                </c:pt>
                <c:pt idx="38">
                  <c:v>49</c:v>
                </c:pt>
                <c:pt idx="39">
                  <c:v>148</c:v>
                </c:pt>
                <c:pt idx="40">
                  <c:v>93</c:v>
                </c:pt>
              </c:numCache>
            </c:numRef>
          </c:val>
        </c:ser>
        <c:ser>
          <c:idx val="2"/>
          <c:order val="2"/>
          <c:tx>
            <c:strRef>
              <c:f>Summary!$F$3</c:f>
              <c:strCache>
                <c:ptCount val="1"/>
                <c:pt idx="0">
                  <c:v>Strata Dwelling Sales</c:v>
                </c:pt>
              </c:strCache>
            </c:strRef>
          </c:tx>
          <c:spPr>
            <a:solidFill>
              <a:schemeClr val="accent6">
                <a:lumMod val="50000"/>
              </a:schemeClr>
            </a:solidFill>
            <a:ln>
              <a:solidFill>
                <a:schemeClr val="tx1"/>
              </a:solidFill>
            </a:ln>
            <a:effectLst/>
          </c:spPr>
          <c:invertIfNegative val="0"/>
          <c:cat>
            <c:strRef>
              <c:f>Summary!$C$4:$C$44</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Summary!$F$4:$F$44</c:f>
              <c:numCache>
                <c:formatCode>General</c:formatCode>
                <c:ptCount val="41"/>
                <c:pt idx="1">
                  <c:v>619</c:v>
                </c:pt>
                <c:pt idx="2">
                  <c:v>3610</c:v>
                </c:pt>
                <c:pt idx="3">
                  <c:v>1675</c:v>
                </c:pt>
                <c:pt idx="4">
                  <c:v>1586</c:v>
                </c:pt>
                <c:pt idx="5">
                  <c:v>1036</c:v>
                </c:pt>
                <c:pt idx="8">
                  <c:v>1203</c:v>
                </c:pt>
                <c:pt idx="9">
                  <c:v>597</c:v>
                </c:pt>
                <c:pt idx="10">
                  <c:v>522</c:v>
                </c:pt>
                <c:pt idx="11">
                  <c:v>706</c:v>
                </c:pt>
                <c:pt idx="12">
                  <c:v>1073</c:v>
                </c:pt>
                <c:pt idx="13">
                  <c:v>890</c:v>
                </c:pt>
                <c:pt idx="14">
                  <c:v>282</c:v>
                </c:pt>
                <c:pt idx="17">
                  <c:v>560</c:v>
                </c:pt>
                <c:pt idx="18">
                  <c:v>802</c:v>
                </c:pt>
                <c:pt idx="19">
                  <c:v>377</c:v>
                </c:pt>
                <c:pt idx="20">
                  <c:v>40</c:v>
                </c:pt>
                <c:pt idx="21">
                  <c:v>1080</c:v>
                </c:pt>
                <c:pt idx="22">
                  <c:v>112</c:v>
                </c:pt>
                <c:pt idx="23">
                  <c:v>324</c:v>
                </c:pt>
                <c:pt idx="26">
                  <c:v>656</c:v>
                </c:pt>
                <c:pt idx="27">
                  <c:v>152</c:v>
                </c:pt>
                <c:pt idx="28">
                  <c:v>414</c:v>
                </c:pt>
                <c:pt idx="29">
                  <c:v>697</c:v>
                </c:pt>
                <c:pt idx="30">
                  <c:v>1258</c:v>
                </c:pt>
                <c:pt idx="31">
                  <c:v>527</c:v>
                </c:pt>
                <c:pt idx="32">
                  <c:v>1184</c:v>
                </c:pt>
                <c:pt idx="33">
                  <c:v>666</c:v>
                </c:pt>
                <c:pt idx="36">
                  <c:v>491</c:v>
                </c:pt>
                <c:pt idx="37">
                  <c:v>417</c:v>
                </c:pt>
                <c:pt idx="38">
                  <c:v>273</c:v>
                </c:pt>
                <c:pt idx="39">
                  <c:v>756</c:v>
                </c:pt>
                <c:pt idx="40">
                  <c:v>365</c:v>
                </c:pt>
              </c:numCache>
            </c:numRef>
          </c:val>
        </c:ser>
        <c:dLbls>
          <c:showLegendKey val="0"/>
          <c:showVal val="0"/>
          <c:showCatName val="0"/>
          <c:showSerName val="0"/>
          <c:showPercent val="0"/>
          <c:showBubbleSize val="0"/>
        </c:dLbls>
        <c:gapWidth val="30"/>
        <c:overlap val="100"/>
        <c:axId val="210634848"/>
        <c:axId val="210635408"/>
      </c:barChart>
      <c:catAx>
        <c:axId val="21063484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5408"/>
        <c:crosses val="autoZero"/>
        <c:auto val="1"/>
        <c:lblAlgn val="ctr"/>
        <c:lblOffset val="100"/>
        <c:noMultiLvlLbl val="0"/>
      </c:catAx>
      <c:valAx>
        <c:axId val="21063540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4848"/>
        <c:crosses val="autoZero"/>
        <c:crossBetween val="between"/>
      </c:valAx>
      <c:spPr>
        <a:noFill/>
        <a:ln>
          <a:solidFill>
            <a:schemeClr val="tx1"/>
          </a:solidFill>
        </a:ln>
        <a:effectLst/>
      </c:spPr>
    </c:plotArea>
    <c:legend>
      <c:legendPos val="b"/>
      <c:layout>
        <c:manualLayout>
          <c:xMode val="edge"/>
          <c:yMode val="edge"/>
          <c:x val="0.69154984888252602"/>
          <c:y val="0"/>
          <c:w val="0.3084501393847508"/>
          <c:h val="8.585627906573085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Population</a:t>
            </a:r>
            <a:r>
              <a:rPr lang="en-AU" baseline="0"/>
              <a:t> Growth of Local Government Areas - 2015/16</a:t>
            </a:r>
          </a:p>
          <a:p>
            <a:pPr algn="l">
              <a:defRPr/>
            </a:pPr>
            <a:r>
              <a:rPr lang="en-AU" baseline="0"/>
              <a:t>Regional Victoria</a:t>
            </a:r>
          </a:p>
          <a:p>
            <a:pPr algn="l">
              <a:defRPr/>
            </a:pPr>
            <a:r>
              <a:rPr lang="en-AU" sz="1000" baseline="0"/>
              <a:t>Source: ABS Demographics </a:t>
            </a:r>
            <a:endParaRPr lang="en-AU"/>
          </a:p>
        </c:rich>
      </c:tx>
      <c:layout>
        <c:manualLayout>
          <c:xMode val="edge"/>
          <c:yMode val="edge"/>
          <c:x val="1.7371769206815219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168656945148474"/>
          <c:y val="7.7532898131323344E-2"/>
          <c:w val="0.7479169859364132"/>
          <c:h val="0.9013682857544042"/>
        </c:manualLayout>
      </c:layout>
      <c:barChart>
        <c:barDir val="bar"/>
        <c:grouping val="clustered"/>
        <c:varyColors val="1"/>
        <c:ser>
          <c:idx val="1"/>
          <c:order val="0"/>
          <c:tx>
            <c:strRef>
              <c:f>Sheet2!$D$1</c:f>
              <c:strCache>
                <c:ptCount val="1"/>
              </c:strCache>
            </c:strRef>
          </c:tx>
          <c:spPr>
            <a:ln>
              <a:solidFill>
                <a:schemeClr val="tx1"/>
              </a:solidFill>
            </a:ln>
          </c:spPr>
          <c:invertIfNegative val="0"/>
          <c:dPt>
            <c:idx val="0"/>
            <c:invertIfNegative val="0"/>
            <c:bubble3D val="0"/>
            <c:spPr>
              <a:solidFill>
                <a:schemeClr val="accent1"/>
              </a:solidFill>
              <a:ln>
                <a:solidFill>
                  <a:schemeClr val="tx1"/>
                </a:solidFill>
              </a:ln>
              <a:effectLst/>
            </c:spPr>
          </c:dPt>
          <c:dPt>
            <c:idx val="1"/>
            <c:invertIfNegative val="0"/>
            <c:bubble3D val="0"/>
            <c:spPr>
              <a:solidFill>
                <a:schemeClr val="accent2"/>
              </a:solidFill>
              <a:ln>
                <a:solidFill>
                  <a:schemeClr val="tx1"/>
                </a:solidFill>
              </a:ln>
              <a:effectLst/>
            </c:spPr>
          </c:dPt>
          <c:dPt>
            <c:idx val="2"/>
            <c:invertIfNegative val="0"/>
            <c:bubble3D val="0"/>
            <c:spPr>
              <a:solidFill>
                <a:schemeClr val="accent3"/>
              </a:solidFill>
              <a:ln>
                <a:solidFill>
                  <a:schemeClr val="tx1"/>
                </a:solidFill>
              </a:ln>
              <a:effectLst/>
            </c:spPr>
          </c:dPt>
          <c:dPt>
            <c:idx val="3"/>
            <c:invertIfNegative val="0"/>
            <c:bubble3D val="0"/>
            <c:spPr>
              <a:solidFill>
                <a:schemeClr val="accent4"/>
              </a:solidFill>
              <a:ln>
                <a:solidFill>
                  <a:schemeClr val="tx1"/>
                </a:solidFill>
              </a:ln>
              <a:effectLst/>
            </c:spPr>
          </c:dPt>
          <c:dPt>
            <c:idx val="4"/>
            <c:invertIfNegative val="0"/>
            <c:bubble3D val="0"/>
            <c:spPr>
              <a:solidFill>
                <a:schemeClr val="accent5"/>
              </a:solidFill>
              <a:ln>
                <a:solidFill>
                  <a:schemeClr val="tx1"/>
                </a:solidFill>
              </a:ln>
              <a:effectLst/>
            </c:spPr>
          </c:dPt>
          <c:dPt>
            <c:idx val="5"/>
            <c:invertIfNegative val="0"/>
            <c:bubble3D val="0"/>
            <c:spPr>
              <a:solidFill>
                <a:schemeClr val="accent6"/>
              </a:solidFill>
              <a:ln>
                <a:solidFill>
                  <a:schemeClr val="tx1"/>
                </a:solidFill>
              </a:ln>
              <a:effectLst/>
            </c:spPr>
          </c:dPt>
          <c:dPt>
            <c:idx val="6"/>
            <c:invertIfNegative val="0"/>
            <c:bubble3D val="0"/>
            <c:spPr>
              <a:solidFill>
                <a:schemeClr val="accent1">
                  <a:lumMod val="60000"/>
                </a:schemeClr>
              </a:solidFill>
              <a:ln>
                <a:solidFill>
                  <a:schemeClr val="tx1"/>
                </a:solidFill>
              </a:ln>
              <a:effectLst/>
            </c:spPr>
          </c:dPt>
          <c:dPt>
            <c:idx val="7"/>
            <c:invertIfNegative val="0"/>
            <c:bubble3D val="0"/>
            <c:spPr>
              <a:solidFill>
                <a:schemeClr val="accent2">
                  <a:lumMod val="60000"/>
                </a:schemeClr>
              </a:solidFill>
              <a:ln>
                <a:solidFill>
                  <a:schemeClr val="tx1"/>
                </a:solidFill>
              </a:ln>
              <a:effectLst/>
            </c:spPr>
          </c:dPt>
          <c:dPt>
            <c:idx val="8"/>
            <c:invertIfNegative val="0"/>
            <c:bubble3D val="0"/>
            <c:spPr>
              <a:solidFill>
                <a:schemeClr val="accent3">
                  <a:lumMod val="60000"/>
                </a:schemeClr>
              </a:solidFill>
              <a:ln>
                <a:solidFill>
                  <a:schemeClr val="tx1"/>
                </a:solidFill>
              </a:ln>
              <a:effectLst/>
            </c:spPr>
          </c:dPt>
          <c:dPt>
            <c:idx val="9"/>
            <c:invertIfNegative val="0"/>
            <c:bubble3D val="0"/>
            <c:spPr>
              <a:solidFill>
                <a:schemeClr val="accent4">
                  <a:lumMod val="60000"/>
                </a:schemeClr>
              </a:solidFill>
              <a:ln>
                <a:solidFill>
                  <a:schemeClr val="tx1"/>
                </a:solidFill>
              </a:ln>
              <a:effectLst/>
            </c:spPr>
          </c:dPt>
          <c:dPt>
            <c:idx val="10"/>
            <c:invertIfNegative val="0"/>
            <c:bubble3D val="0"/>
            <c:spPr>
              <a:solidFill>
                <a:schemeClr val="accent5">
                  <a:lumMod val="60000"/>
                </a:schemeClr>
              </a:solidFill>
              <a:ln>
                <a:solidFill>
                  <a:schemeClr val="tx1"/>
                </a:solidFill>
              </a:ln>
              <a:effectLst/>
            </c:spPr>
          </c:dPt>
          <c:dPt>
            <c:idx val="11"/>
            <c:invertIfNegative val="0"/>
            <c:bubble3D val="0"/>
            <c:spPr>
              <a:solidFill>
                <a:schemeClr val="accent6">
                  <a:lumMod val="60000"/>
                </a:schemeClr>
              </a:solidFill>
              <a:ln>
                <a:solidFill>
                  <a:schemeClr val="tx1"/>
                </a:solidFill>
              </a:ln>
              <a:effectLst/>
            </c:spPr>
          </c:dPt>
          <c:dPt>
            <c:idx val="12"/>
            <c:invertIfNegative val="0"/>
            <c:bubble3D val="0"/>
            <c:spPr>
              <a:solidFill>
                <a:schemeClr val="accent1">
                  <a:lumMod val="80000"/>
                  <a:lumOff val="20000"/>
                </a:schemeClr>
              </a:solidFill>
              <a:ln>
                <a:solidFill>
                  <a:schemeClr val="tx1"/>
                </a:solidFill>
              </a:ln>
              <a:effectLst/>
            </c:spPr>
          </c:dPt>
          <c:dPt>
            <c:idx val="13"/>
            <c:invertIfNegative val="0"/>
            <c:bubble3D val="0"/>
            <c:spPr>
              <a:solidFill>
                <a:schemeClr val="accent2">
                  <a:lumMod val="80000"/>
                  <a:lumOff val="20000"/>
                </a:schemeClr>
              </a:solidFill>
              <a:ln>
                <a:solidFill>
                  <a:schemeClr val="tx1"/>
                </a:solidFill>
              </a:ln>
              <a:effectLst/>
            </c:spPr>
          </c:dPt>
          <c:dPt>
            <c:idx val="14"/>
            <c:invertIfNegative val="0"/>
            <c:bubble3D val="0"/>
            <c:spPr>
              <a:solidFill>
                <a:schemeClr val="accent3">
                  <a:lumMod val="80000"/>
                  <a:lumOff val="20000"/>
                </a:schemeClr>
              </a:solidFill>
              <a:ln>
                <a:solidFill>
                  <a:schemeClr val="tx1"/>
                </a:solidFill>
              </a:ln>
              <a:effectLst/>
            </c:spPr>
          </c:dPt>
          <c:dPt>
            <c:idx val="15"/>
            <c:invertIfNegative val="0"/>
            <c:bubble3D val="0"/>
            <c:spPr>
              <a:solidFill>
                <a:schemeClr val="accent4">
                  <a:lumMod val="80000"/>
                  <a:lumOff val="20000"/>
                </a:schemeClr>
              </a:solidFill>
              <a:ln>
                <a:solidFill>
                  <a:schemeClr val="tx1"/>
                </a:solidFill>
              </a:ln>
              <a:effectLst/>
            </c:spPr>
          </c:dPt>
          <c:dPt>
            <c:idx val="16"/>
            <c:invertIfNegative val="0"/>
            <c:bubble3D val="0"/>
            <c:spPr>
              <a:solidFill>
                <a:schemeClr val="accent5">
                  <a:lumMod val="80000"/>
                  <a:lumOff val="20000"/>
                </a:schemeClr>
              </a:solidFill>
              <a:ln>
                <a:solidFill>
                  <a:schemeClr val="tx1"/>
                </a:solidFill>
              </a:ln>
              <a:effectLst/>
            </c:spPr>
          </c:dPt>
          <c:dPt>
            <c:idx val="17"/>
            <c:invertIfNegative val="0"/>
            <c:bubble3D val="0"/>
            <c:spPr>
              <a:solidFill>
                <a:schemeClr val="accent6">
                  <a:lumMod val="80000"/>
                  <a:lumOff val="20000"/>
                </a:schemeClr>
              </a:solidFill>
              <a:ln>
                <a:solidFill>
                  <a:schemeClr val="tx1"/>
                </a:solidFill>
              </a:ln>
              <a:effectLst/>
            </c:spPr>
          </c:dPt>
          <c:dPt>
            <c:idx val="18"/>
            <c:invertIfNegative val="0"/>
            <c:bubble3D val="0"/>
            <c:spPr>
              <a:solidFill>
                <a:schemeClr val="accent1">
                  <a:lumMod val="80000"/>
                </a:schemeClr>
              </a:solidFill>
              <a:ln>
                <a:solidFill>
                  <a:schemeClr val="tx1"/>
                </a:solidFill>
              </a:ln>
              <a:effectLst/>
            </c:spPr>
          </c:dPt>
          <c:dPt>
            <c:idx val="19"/>
            <c:invertIfNegative val="0"/>
            <c:bubble3D val="0"/>
            <c:spPr>
              <a:solidFill>
                <a:schemeClr val="accent2">
                  <a:lumMod val="80000"/>
                </a:schemeClr>
              </a:solidFill>
              <a:ln>
                <a:solidFill>
                  <a:schemeClr val="tx1"/>
                </a:solidFill>
              </a:ln>
              <a:effectLst/>
            </c:spPr>
          </c:dPt>
          <c:dPt>
            <c:idx val="20"/>
            <c:invertIfNegative val="0"/>
            <c:bubble3D val="0"/>
            <c:spPr>
              <a:solidFill>
                <a:schemeClr val="accent3">
                  <a:lumMod val="80000"/>
                </a:schemeClr>
              </a:solidFill>
              <a:ln>
                <a:solidFill>
                  <a:schemeClr val="tx1"/>
                </a:solidFill>
              </a:ln>
              <a:effectLst/>
            </c:spPr>
          </c:dPt>
          <c:dPt>
            <c:idx val="21"/>
            <c:invertIfNegative val="0"/>
            <c:bubble3D val="0"/>
            <c:spPr>
              <a:solidFill>
                <a:schemeClr val="accent4">
                  <a:lumMod val="80000"/>
                </a:schemeClr>
              </a:solidFill>
              <a:ln>
                <a:solidFill>
                  <a:schemeClr val="tx1"/>
                </a:solidFill>
              </a:ln>
              <a:effectLst/>
            </c:spPr>
          </c:dPt>
          <c:dPt>
            <c:idx val="22"/>
            <c:invertIfNegative val="0"/>
            <c:bubble3D val="0"/>
            <c:spPr>
              <a:solidFill>
                <a:schemeClr val="accent5">
                  <a:lumMod val="80000"/>
                </a:schemeClr>
              </a:solidFill>
              <a:ln>
                <a:solidFill>
                  <a:schemeClr val="tx1"/>
                </a:solidFill>
              </a:ln>
              <a:effectLst/>
            </c:spPr>
          </c:dPt>
          <c:dPt>
            <c:idx val="23"/>
            <c:invertIfNegative val="0"/>
            <c:bubble3D val="0"/>
            <c:spPr>
              <a:solidFill>
                <a:schemeClr val="accent6">
                  <a:lumMod val="80000"/>
                </a:schemeClr>
              </a:solidFill>
              <a:ln>
                <a:solidFill>
                  <a:schemeClr val="tx1"/>
                </a:solidFill>
              </a:ln>
              <a:effectLst/>
            </c:spPr>
          </c:dPt>
          <c:dPt>
            <c:idx val="24"/>
            <c:invertIfNegative val="0"/>
            <c:bubble3D val="0"/>
            <c:spPr>
              <a:solidFill>
                <a:schemeClr val="accent1">
                  <a:lumMod val="60000"/>
                  <a:lumOff val="40000"/>
                </a:schemeClr>
              </a:solidFill>
              <a:ln>
                <a:solidFill>
                  <a:schemeClr val="tx1"/>
                </a:solidFill>
              </a:ln>
              <a:effectLst/>
            </c:spPr>
          </c:dPt>
          <c:dPt>
            <c:idx val="25"/>
            <c:invertIfNegative val="0"/>
            <c:bubble3D val="0"/>
            <c:spPr>
              <a:solidFill>
                <a:schemeClr val="accent2">
                  <a:lumMod val="60000"/>
                  <a:lumOff val="40000"/>
                </a:schemeClr>
              </a:solidFill>
              <a:ln>
                <a:solidFill>
                  <a:schemeClr val="tx1"/>
                </a:solidFill>
              </a:ln>
              <a:effectLst/>
            </c:spPr>
          </c:dPt>
          <c:dPt>
            <c:idx val="26"/>
            <c:invertIfNegative val="0"/>
            <c:bubble3D val="0"/>
            <c:spPr>
              <a:solidFill>
                <a:schemeClr val="accent3">
                  <a:lumMod val="60000"/>
                  <a:lumOff val="40000"/>
                </a:schemeClr>
              </a:solidFill>
              <a:ln>
                <a:solidFill>
                  <a:schemeClr val="tx1"/>
                </a:solidFill>
              </a:ln>
              <a:effectLst/>
            </c:spPr>
          </c:dPt>
          <c:dPt>
            <c:idx val="27"/>
            <c:invertIfNegative val="0"/>
            <c:bubble3D val="0"/>
            <c:spPr>
              <a:solidFill>
                <a:schemeClr val="accent4">
                  <a:lumMod val="60000"/>
                  <a:lumOff val="40000"/>
                </a:schemeClr>
              </a:solidFill>
              <a:ln>
                <a:solidFill>
                  <a:schemeClr val="tx1"/>
                </a:solidFill>
              </a:ln>
              <a:effectLst/>
            </c:spPr>
          </c:dPt>
          <c:dPt>
            <c:idx val="28"/>
            <c:invertIfNegative val="0"/>
            <c:bubble3D val="0"/>
            <c:spPr>
              <a:solidFill>
                <a:schemeClr val="accent5">
                  <a:lumMod val="60000"/>
                  <a:lumOff val="40000"/>
                </a:schemeClr>
              </a:solidFill>
              <a:ln>
                <a:solidFill>
                  <a:schemeClr val="tx1"/>
                </a:solidFill>
              </a:ln>
              <a:effectLst/>
            </c:spPr>
          </c:dPt>
          <c:dPt>
            <c:idx val="29"/>
            <c:invertIfNegative val="0"/>
            <c:bubble3D val="0"/>
            <c:spPr>
              <a:solidFill>
                <a:schemeClr val="accent6">
                  <a:lumMod val="60000"/>
                  <a:lumOff val="40000"/>
                </a:schemeClr>
              </a:solidFill>
              <a:ln>
                <a:solidFill>
                  <a:schemeClr val="tx1"/>
                </a:solidFill>
              </a:ln>
              <a:effectLst/>
            </c:spPr>
          </c:dPt>
          <c:dPt>
            <c:idx val="30"/>
            <c:invertIfNegative val="0"/>
            <c:bubble3D val="0"/>
            <c:spPr>
              <a:solidFill>
                <a:schemeClr val="accent1">
                  <a:lumMod val="50000"/>
                </a:schemeClr>
              </a:solidFill>
              <a:ln>
                <a:solidFill>
                  <a:schemeClr val="tx1"/>
                </a:solidFill>
              </a:ln>
              <a:effectLst/>
            </c:spPr>
          </c:dPt>
          <c:dPt>
            <c:idx val="31"/>
            <c:invertIfNegative val="0"/>
            <c:bubble3D val="0"/>
            <c:spPr>
              <a:solidFill>
                <a:schemeClr val="accent2">
                  <a:lumMod val="50000"/>
                </a:schemeClr>
              </a:solidFill>
              <a:ln>
                <a:solidFill>
                  <a:schemeClr val="tx1"/>
                </a:solidFill>
              </a:ln>
              <a:effectLst/>
            </c:spPr>
          </c:dPt>
          <c:dPt>
            <c:idx val="32"/>
            <c:invertIfNegative val="0"/>
            <c:bubble3D val="0"/>
            <c:spPr>
              <a:solidFill>
                <a:schemeClr val="accent3">
                  <a:lumMod val="50000"/>
                </a:schemeClr>
              </a:solidFill>
              <a:ln>
                <a:solidFill>
                  <a:schemeClr val="tx1"/>
                </a:solidFill>
              </a:ln>
              <a:effectLst/>
            </c:spPr>
          </c:dPt>
          <c:dPt>
            <c:idx val="33"/>
            <c:invertIfNegative val="0"/>
            <c:bubble3D val="0"/>
            <c:spPr>
              <a:solidFill>
                <a:schemeClr val="accent4">
                  <a:lumMod val="50000"/>
                </a:schemeClr>
              </a:solidFill>
              <a:ln>
                <a:solidFill>
                  <a:schemeClr val="tx1"/>
                </a:solidFill>
              </a:ln>
              <a:effectLst/>
            </c:spPr>
          </c:dPt>
          <c:dPt>
            <c:idx val="34"/>
            <c:invertIfNegative val="0"/>
            <c:bubble3D val="0"/>
            <c:spPr>
              <a:solidFill>
                <a:schemeClr val="accent5">
                  <a:lumMod val="50000"/>
                </a:schemeClr>
              </a:solidFill>
              <a:ln>
                <a:solidFill>
                  <a:schemeClr val="tx1"/>
                </a:solidFill>
              </a:ln>
              <a:effectLst/>
            </c:spPr>
          </c:dPt>
          <c:dPt>
            <c:idx val="35"/>
            <c:invertIfNegative val="0"/>
            <c:bubble3D val="0"/>
            <c:spPr>
              <a:solidFill>
                <a:schemeClr val="accent6">
                  <a:lumMod val="50000"/>
                </a:schemeClr>
              </a:solidFill>
              <a:ln>
                <a:solidFill>
                  <a:schemeClr val="tx1"/>
                </a:solidFill>
              </a:ln>
              <a:effectLst/>
            </c:spPr>
          </c:dPt>
          <c:dPt>
            <c:idx val="36"/>
            <c:invertIfNegative val="0"/>
            <c:bubble3D val="0"/>
            <c:spPr>
              <a:solidFill>
                <a:schemeClr val="accent1">
                  <a:lumMod val="70000"/>
                  <a:lumOff val="30000"/>
                </a:schemeClr>
              </a:solidFill>
              <a:ln>
                <a:solidFill>
                  <a:schemeClr val="tx1"/>
                </a:solidFill>
              </a:ln>
              <a:effectLst/>
            </c:spPr>
          </c:dPt>
          <c:dPt>
            <c:idx val="37"/>
            <c:invertIfNegative val="0"/>
            <c:bubble3D val="0"/>
            <c:spPr>
              <a:solidFill>
                <a:schemeClr val="accent2">
                  <a:lumMod val="70000"/>
                  <a:lumOff val="30000"/>
                </a:schemeClr>
              </a:solidFill>
              <a:ln>
                <a:solidFill>
                  <a:schemeClr val="tx1"/>
                </a:solidFill>
              </a:ln>
              <a:effectLst/>
            </c:spPr>
          </c:dPt>
          <c:dPt>
            <c:idx val="38"/>
            <c:invertIfNegative val="0"/>
            <c:bubble3D val="0"/>
            <c:spPr>
              <a:solidFill>
                <a:schemeClr val="accent3">
                  <a:lumMod val="70000"/>
                  <a:lumOff val="30000"/>
                </a:schemeClr>
              </a:solidFill>
              <a:ln>
                <a:solidFill>
                  <a:schemeClr val="tx1"/>
                </a:solidFill>
              </a:ln>
              <a:effectLst/>
            </c:spPr>
          </c:dPt>
          <c:dPt>
            <c:idx val="39"/>
            <c:invertIfNegative val="0"/>
            <c:bubble3D val="0"/>
            <c:spPr>
              <a:solidFill>
                <a:schemeClr val="accent4">
                  <a:lumMod val="70000"/>
                  <a:lumOff val="30000"/>
                </a:schemeClr>
              </a:solidFill>
              <a:ln>
                <a:solidFill>
                  <a:schemeClr val="tx1"/>
                </a:solidFill>
              </a:ln>
              <a:effectLst/>
            </c:spPr>
          </c:dPt>
          <c:dPt>
            <c:idx val="40"/>
            <c:invertIfNegative val="0"/>
            <c:bubble3D val="0"/>
            <c:spPr>
              <a:solidFill>
                <a:schemeClr val="accent5">
                  <a:lumMod val="70000"/>
                  <a:lumOff val="30000"/>
                </a:schemeClr>
              </a:solidFill>
              <a:ln>
                <a:solidFill>
                  <a:schemeClr val="tx1"/>
                </a:solidFill>
              </a:ln>
              <a:effectLst/>
            </c:spPr>
          </c:dPt>
          <c:dPt>
            <c:idx val="41"/>
            <c:invertIfNegative val="0"/>
            <c:bubble3D val="0"/>
            <c:spPr>
              <a:solidFill>
                <a:schemeClr val="accent6">
                  <a:lumMod val="70000"/>
                  <a:lumOff val="30000"/>
                </a:schemeClr>
              </a:solidFill>
              <a:ln>
                <a:solidFill>
                  <a:schemeClr val="tx1"/>
                </a:solidFill>
              </a:ln>
              <a:effectLst/>
            </c:spPr>
          </c:dPt>
          <c:dPt>
            <c:idx val="42"/>
            <c:invertIfNegative val="0"/>
            <c:bubble3D val="0"/>
            <c:spPr>
              <a:solidFill>
                <a:schemeClr val="accent1">
                  <a:lumMod val="70000"/>
                </a:schemeClr>
              </a:solidFill>
              <a:ln>
                <a:solidFill>
                  <a:schemeClr val="tx1"/>
                </a:solidFill>
              </a:ln>
              <a:effectLst/>
            </c:spPr>
          </c:dPt>
          <c:dPt>
            <c:idx val="43"/>
            <c:invertIfNegative val="0"/>
            <c:bubble3D val="0"/>
            <c:spPr>
              <a:solidFill>
                <a:schemeClr val="accent2">
                  <a:lumMod val="70000"/>
                </a:schemeClr>
              </a:solidFill>
              <a:ln>
                <a:solidFill>
                  <a:schemeClr val="tx1"/>
                </a:solidFill>
              </a:ln>
              <a:effectLst/>
            </c:spPr>
          </c:dPt>
          <c:dPt>
            <c:idx val="44"/>
            <c:invertIfNegative val="0"/>
            <c:bubble3D val="0"/>
            <c:spPr>
              <a:solidFill>
                <a:schemeClr val="accent3">
                  <a:lumMod val="70000"/>
                </a:schemeClr>
              </a:solidFill>
              <a:ln>
                <a:solidFill>
                  <a:schemeClr val="tx1"/>
                </a:solidFill>
              </a:ln>
              <a:effectLst/>
            </c:spPr>
          </c:dPt>
          <c:dPt>
            <c:idx val="45"/>
            <c:invertIfNegative val="0"/>
            <c:bubble3D val="0"/>
            <c:spPr>
              <a:solidFill>
                <a:schemeClr val="accent4">
                  <a:lumMod val="70000"/>
                </a:schemeClr>
              </a:solidFill>
              <a:ln>
                <a:solidFill>
                  <a:schemeClr val="tx1"/>
                </a:solidFill>
              </a:ln>
              <a:effectLst/>
            </c:spPr>
          </c:dPt>
          <c:dPt>
            <c:idx val="46"/>
            <c:invertIfNegative val="0"/>
            <c:bubble3D val="0"/>
            <c:spPr>
              <a:solidFill>
                <a:schemeClr val="accent5">
                  <a:lumMod val="70000"/>
                </a:schemeClr>
              </a:solidFill>
              <a:ln>
                <a:solidFill>
                  <a:schemeClr val="tx1"/>
                </a:solidFill>
              </a:ln>
              <a:effectLst/>
            </c:spPr>
          </c:dPt>
          <c:dPt>
            <c:idx val="47"/>
            <c:invertIfNegative val="0"/>
            <c:bubble3D val="0"/>
            <c:spPr>
              <a:solidFill>
                <a:schemeClr val="accent6">
                  <a:lumMod val="70000"/>
                </a:schemeClr>
              </a:solidFill>
              <a:ln>
                <a:solidFill>
                  <a:schemeClr val="tx1"/>
                </a:solidFill>
              </a:ln>
              <a:effectLst/>
            </c:spPr>
          </c:dPt>
          <c:dPt>
            <c:idx val="48"/>
            <c:invertIfNegative val="0"/>
            <c:bubble3D val="0"/>
            <c:spPr>
              <a:solidFill>
                <a:schemeClr val="accent1">
                  <a:lumMod val="50000"/>
                  <a:lumOff val="50000"/>
                </a:schemeClr>
              </a:solidFill>
              <a:ln>
                <a:solidFill>
                  <a:schemeClr val="tx1"/>
                </a:solidFill>
              </a:ln>
              <a:effectLst/>
            </c:spPr>
          </c:dPt>
          <c:dPt>
            <c:idx val="49"/>
            <c:invertIfNegative val="0"/>
            <c:bubble3D val="0"/>
            <c:spPr>
              <a:solidFill>
                <a:schemeClr val="accent2">
                  <a:lumMod val="50000"/>
                  <a:lumOff val="50000"/>
                </a:schemeClr>
              </a:solidFill>
              <a:ln>
                <a:solidFill>
                  <a:schemeClr val="tx1"/>
                </a:solidFill>
              </a:ln>
              <a:effectLst/>
            </c:spPr>
          </c:dPt>
          <c:dPt>
            <c:idx val="50"/>
            <c:invertIfNegative val="0"/>
            <c:bubble3D val="0"/>
            <c:spPr>
              <a:solidFill>
                <a:schemeClr val="accent3">
                  <a:lumMod val="50000"/>
                  <a:lumOff val="50000"/>
                </a:schemeClr>
              </a:solidFill>
              <a:ln>
                <a:solidFill>
                  <a:schemeClr val="tx1"/>
                </a:solidFill>
              </a:ln>
              <a:effectLst/>
            </c:spPr>
          </c:dPt>
          <c:dPt>
            <c:idx val="51"/>
            <c:invertIfNegative val="0"/>
            <c:bubble3D val="0"/>
            <c:spPr>
              <a:solidFill>
                <a:schemeClr val="accent4">
                  <a:lumMod val="50000"/>
                  <a:lumOff val="50000"/>
                </a:schemeClr>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Sheet2!$A$46:$A$97</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Sheet2!$D$46:$D$97</c:f>
              <c:numCache>
                <c:formatCode>_-* #,##0_-;\-* #,##0_-;_-* "-"??_-;_-@_-</c:formatCode>
                <c:ptCount val="52"/>
                <c:pt idx="1">
                  <c:v>2058</c:v>
                </c:pt>
                <c:pt idx="2">
                  <c:v>1890</c:v>
                </c:pt>
                <c:pt idx="3">
                  <c:v>5621</c:v>
                </c:pt>
                <c:pt idx="4">
                  <c:v>190</c:v>
                </c:pt>
                <c:pt idx="5">
                  <c:v>55</c:v>
                </c:pt>
                <c:pt idx="6">
                  <c:v>268</c:v>
                </c:pt>
                <c:pt idx="7">
                  <c:v>114</c:v>
                </c:pt>
                <c:pt idx="8">
                  <c:v>253</c:v>
                </c:pt>
                <c:pt idx="9">
                  <c:v>116</c:v>
                </c:pt>
                <c:pt idx="10">
                  <c:v>645</c:v>
                </c:pt>
                <c:pt idx="13">
                  <c:v>779</c:v>
                </c:pt>
                <c:pt idx="14">
                  <c:v>1173</c:v>
                </c:pt>
                <c:pt idx="15">
                  <c:v>481</c:v>
                </c:pt>
                <c:pt idx="16">
                  <c:v>758</c:v>
                </c:pt>
                <c:pt idx="17">
                  <c:v>801</c:v>
                </c:pt>
                <c:pt idx="18">
                  <c:v>138</c:v>
                </c:pt>
                <c:pt idx="19">
                  <c:v>28</c:v>
                </c:pt>
                <c:pt idx="20">
                  <c:v>125</c:v>
                </c:pt>
                <c:pt idx="21">
                  <c:v>711</c:v>
                </c:pt>
                <c:pt idx="24">
                  <c:v>49</c:v>
                </c:pt>
                <c:pt idx="25">
                  <c:v>-82</c:v>
                </c:pt>
                <c:pt idx="26">
                  <c:v>-66</c:v>
                </c:pt>
                <c:pt idx="27">
                  <c:v>-108</c:v>
                </c:pt>
                <c:pt idx="28">
                  <c:v>25</c:v>
                </c:pt>
                <c:pt idx="29">
                  <c:v>44</c:v>
                </c:pt>
                <c:pt idx="30">
                  <c:v>-40</c:v>
                </c:pt>
                <c:pt idx="31">
                  <c:v>-77</c:v>
                </c:pt>
                <c:pt idx="32">
                  <c:v>392</c:v>
                </c:pt>
                <c:pt idx="33">
                  <c:v>-108</c:v>
                </c:pt>
                <c:pt idx="34">
                  <c:v>-68</c:v>
                </c:pt>
                <c:pt idx="35">
                  <c:v>92</c:v>
                </c:pt>
                <c:pt idx="36">
                  <c:v>-97</c:v>
                </c:pt>
                <c:pt idx="37">
                  <c:v>126</c:v>
                </c:pt>
                <c:pt idx="38">
                  <c:v>-40</c:v>
                </c:pt>
                <c:pt idx="39">
                  <c:v>55</c:v>
                </c:pt>
                <c:pt idx="40">
                  <c:v>14</c:v>
                </c:pt>
                <c:pt idx="41">
                  <c:v>148</c:v>
                </c:pt>
                <c:pt idx="42">
                  <c:v>65</c:v>
                </c:pt>
                <c:pt idx="43">
                  <c:v>-88</c:v>
                </c:pt>
                <c:pt idx="44">
                  <c:v>68</c:v>
                </c:pt>
                <c:pt idx="45">
                  <c:v>-87</c:v>
                </c:pt>
                <c:pt idx="46">
                  <c:v>89</c:v>
                </c:pt>
                <c:pt idx="47">
                  <c:v>-150</c:v>
                </c:pt>
                <c:pt idx="48">
                  <c:v>8</c:v>
                </c:pt>
                <c:pt idx="49">
                  <c:v>115</c:v>
                </c:pt>
                <c:pt idx="50">
                  <c:v>-59</c:v>
                </c:pt>
                <c:pt idx="51">
                  <c:v>-102</c:v>
                </c:pt>
              </c:numCache>
            </c:numRef>
          </c:val>
        </c:ser>
        <c:dLbls>
          <c:showLegendKey val="0"/>
          <c:showVal val="0"/>
          <c:showCatName val="0"/>
          <c:showSerName val="0"/>
          <c:showPercent val="0"/>
          <c:showBubbleSize val="0"/>
        </c:dLbls>
        <c:gapWidth val="25"/>
        <c:axId val="201974784"/>
        <c:axId val="201975344"/>
      </c:barChart>
      <c:catAx>
        <c:axId val="201974784"/>
        <c:scaling>
          <c:orientation val="maxMin"/>
        </c:scaling>
        <c:delete val="0"/>
        <c:axPos val="l"/>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75344"/>
        <c:crosses val="autoZero"/>
        <c:auto val="1"/>
        <c:lblAlgn val="ctr"/>
        <c:lblOffset val="100"/>
        <c:noMultiLvlLbl val="0"/>
      </c:catAx>
      <c:valAx>
        <c:axId val="20197534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74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Residential Property Sales Rates </a:t>
            </a:r>
            <a:r>
              <a:rPr lang="en-AU" baseline="0"/>
              <a:t>- 2015</a:t>
            </a:r>
          </a:p>
          <a:p>
            <a:pPr algn="l">
              <a:defRPr/>
            </a:pPr>
            <a:r>
              <a:rPr lang="en-AU" baseline="0"/>
              <a:t>Regional Victoria</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309128027"/>
          <c:y val="0.12422853665031003"/>
          <c:w val="0.76617321509053793"/>
          <c:h val="0.84702727376469245"/>
        </c:manualLayout>
      </c:layout>
      <c:barChart>
        <c:barDir val="bar"/>
        <c:grouping val="stacked"/>
        <c:varyColors val="0"/>
        <c:ser>
          <c:idx val="0"/>
          <c:order val="0"/>
          <c:tx>
            <c:strRef>
              <c:f>Summary!$D$3</c:f>
              <c:strCache>
                <c:ptCount val="1"/>
                <c:pt idx="0">
                  <c:v>Detached House Sales</c:v>
                </c:pt>
              </c:strCache>
            </c:strRef>
          </c:tx>
          <c:spPr>
            <a:solidFill>
              <a:schemeClr val="accent1"/>
            </a:solidFill>
            <a:ln>
              <a:solidFill>
                <a:schemeClr val="tx1"/>
              </a:solidFill>
            </a:ln>
            <a:effectLst/>
          </c:spPr>
          <c:invertIfNegative val="0"/>
          <c:cat>
            <c:strRef>
              <c:f>Summary!$C$45:$C$96</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Summary!$D$45:$D$96</c:f>
              <c:numCache>
                <c:formatCode>General</c:formatCode>
                <c:ptCount val="52"/>
                <c:pt idx="1">
                  <c:v>2007</c:v>
                </c:pt>
                <c:pt idx="2">
                  <c:v>1582</c:v>
                </c:pt>
                <c:pt idx="3">
                  <c:v>4188</c:v>
                </c:pt>
                <c:pt idx="4">
                  <c:v>877</c:v>
                </c:pt>
                <c:pt idx="5">
                  <c:v>317</c:v>
                </c:pt>
                <c:pt idx="6">
                  <c:v>1164</c:v>
                </c:pt>
                <c:pt idx="7">
                  <c:v>926</c:v>
                </c:pt>
                <c:pt idx="8">
                  <c:v>397</c:v>
                </c:pt>
                <c:pt idx="9">
                  <c:v>534</c:v>
                </c:pt>
                <c:pt idx="10">
                  <c:v>664</c:v>
                </c:pt>
                <c:pt idx="13">
                  <c:v>1127</c:v>
                </c:pt>
                <c:pt idx="14">
                  <c:v>897</c:v>
                </c:pt>
                <c:pt idx="15">
                  <c:v>119</c:v>
                </c:pt>
                <c:pt idx="16">
                  <c:v>594</c:v>
                </c:pt>
                <c:pt idx="17">
                  <c:v>404</c:v>
                </c:pt>
                <c:pt idx="18">
                  <c:v>163</c:v>
                </c:pt>
                <c:pt idx="19">
                  <c:v>97</c:v>
                </c:pt>
                <c:pt idx="20">
                  <c:v>437</c:v>
                </c:pt>
                <c:pt idx="21">
                  <c:v>668</c:v>
                </c:pt>
                <c:pt idx="24">
                  <c:v>203</c:v>
                </c:pt>
                <c:pt idx="25">
                  <c:v>121</c:v>
                </c:pt>
                <c:pt idx="26">
                  <c:v>187</c:v>
                </c:pt>
                <c:pt idx="27">
                  <c:v>93</c:v>
                </c:pt>
                <c:pt idx="28">
                  <c:v>410</c:v>
                </c:pt>
                <c:pt idx="29">
                  <c:v>204</c:v>
                </c:pt>
                <c:pt idx="30">
                  <c:v>324</c:v>
                </c:pt>
                <c:pt idx="31">
                  <c:v>166</c:v>
                </c:pt>
                <c:pt idx="32">
                  <c:v>714</c:v>
                </c:pt>
                <c:pt idx="33">
                  <c:v>132</c:v>
                </c:pt>
                <c:pt idx="34">
                  <c:v>229</c:v>
                </c:pt>
                <c:pt idx="35">
                  <c:v>240</c:v>
                </c:pt>
                <c:pt idx="36">
                  <c:v>116</c:v>
                </c:pt>
                <c:pt idx="37">
                  <c:v>159</c:v>
                </c:pt>
                <c:pt idx="38">
                  <c:v>52</c:v>
                </c:pt>
                <c:pt idx="39">
                  <c:v>135</c:v>
                </c:pt>
                <c:pt idx="40">
                  <c:v>427</c:v>
                </c:pt>
                <c:pt idx="41">
                  <c:v>255</c:v>
                </c:pt>
                <c:pt idx="42">
                  <c:v>177</c:v>
                </c:pt>
                <c:pt idx="43">
                  <c:v>166</c:v>
                </c:pt>
                <c:pt idx="44">
                  <c:v>52</c:v>
                </c:pt>
                <c:pt idx="45">
                  <c:v>198</c:v>
                </c:pt>
                <c:pt idx="46">
                  <c:v>130</c:v>
                </c:pt>
                <c:pt idx="47">
                  <c:v>249</c:v>
                </c:pt>
                <c:pt idx="48">
                  <c:v>72</c:v>
                </c:pt>
                <c:pt idx="49">
                  <c:v>699</c:v>
                </c:pt>
                <c:pt idx="50">
                  <c:v>46</c:v>
                </c:pt>
                <c:pt idx="51">
                  <c:v>124</c:v>
                </c:pt>
              </c:numCache>
            </c:numRef>
          </c:val>
        </c:ser>
        <c:ser>
          <c:idx val="1"/>
          <c:order val="1"/>
          <c:tx>
            <c:strRef>
              <c:f>Summary!$E$3</c:f>
              <c:strCache>
                <c:ptCount val="1"/>
                <c:pt idx="0">
                  <c:v>Semi-Detached House Sales</c:v>
                </c:pt>
              </c:strCache>
            </c:strRef>
          </c:tx>
          <c:spPr>
            <a:solidFill>
              <a:srgbClr val="C00000"/>
            </a:solidFill>
            <a:ln>
              <a:solidFill>
                <a:schemeClr val="tx1"/>
              </a:solidFill>
            </a:ln>
            <a:effectLst/>
          </c:spPr>
          <c:invertIfNegative val="0"/>
          <c:cat>
            <c:strRef>
              <c:f>Summary!$C$45:$C$96</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Summary!$E$45:$E$96</c:f>
              <c:numCache>
                <c:formatCode>General</c:formatCode>
                <c:ptCount val="52"/>
                <c:pt idx="1">
                  <c:v>121</c:v>
                </c:pt>
                <c:pt idx="2">
                  <c:v>92</c:v>
                </c:pt>
                <c:pt idx="3">
                  <c:v>377</c:v>
                </c:pt>
                <c:pt idx="4">
                  <c:v>31</c:v>
                </c:pt>
                <c:pt idx="5">
                  <c:v>13</c:v>
                </c:pt>
                <c:pt idx="6">
                  <c:v>53</c:v>
                </c:pt>
                <c:pt idx="7">
                  <c:v>58</c:v>
                </c:pt>
                <c:pt idx="8">
                  <c:v>30</c:v>
                </c:pt>
                <c:pt idx="9">
                  <c:v>48</c:v>
                </c:pt>
                <c:pt idx="10">
                  <c:v>49</c:v>
                </c:pt>
                <c:pt idx="13">
                  <c:v>41</c:v>
                </c:pt>
                <c:pt idx="14">
                  <c:v>22</c:v>
                </c:pt>
                <c:pt idx="15">
                  <c:v>7</c:v>
                </c:pt>
                <c:pt idx="16">
                  <c:v>23</c:v>
                </c:pt>
                <c:pt idx="17">
                  <c:v>8</c:v>
                </c:pt>
                <c:pt idx="18">
                  <c:v>5</c:v>
                </c:pt>
                <c:pt idx="19">
                  <c:v>8</c:v>
                </c:pt>
                <c:pt idx="20">
                  <c:v>20</c:v>
                </c:pt>
                <c:pt idx="21">
                  <c:v>39</c:v>
                </c:pt>
                <c:pt idx="24">
                  <c:v>15</c:v>
                </c:pt>
                <c:pt idx="25">
                  <c:v>7</c:v>
                </c:pt>
                <c:pt idx="26">
                  <c:v>11</c:v>
                </c:pt>
                <c:pt idx="27">
                  <c:v>2</c:v>
                </c:pt>
                <c:pt idx="28">
                  <c:v>25</c:v>
                </c:pt>
                <c:pt idx="29">
                  <c:v>3</c:v>
                </c:pt>
                <c:pt idx="30">
                  <c:v>12</c:v>
                </c:pt>
                <c:pt idx="31">
                  <c:v>5</c:v>
                </c:pt>
                <c:pt idx="32">
                  <c:v>56</c:v>
                </c:pt>
                <c:pt idx="33">
                  <c:v>3</c:v>
                </c:pt>
                <c:pt idx="34">
                  <c:v>2</c:v>
                </c:pt>
                <c:pt idx="35">
                  <c:v>4</c:v>
                </c:pt>
                <c:pt idx="36">
                  <c:v>0</c:v>
                </c:pt>
                <c:pt idx="37">
                  <c:v>9</c:v>
                </c:pt>
                <c:pt idx="38">
                  <c:v>0</c:v>
                </c:pt>
                <c:pt idx="39">
                  <c:v>7</c:v>
                </c:pt>
                <c:pt idx="40">
                  <c:v>19</c:v>
                </c:pt>
                <c:pt idx="41">
                  <c:v>4</c:v>
                </c:pt>
                <c:pt idx="42">
                  <c:v>7</c:v>
                </c:pt>
                <c:pt idx="43">
                  <c:v>4</c:v>
                </c:pt>
                <c:pt idx="44">
                  <c:v>1</c:v>
                </c:pt>
                <c:pt idx="45">
                  <c:v>2</c:v>
                </c:pt>
                <c:pt idx="46">
                  <c:v>4</c:v>
                </c:pt>
                <c:pt idx="47">
                  <c:v>29</c:v>
                </c:pt>
                <c:pt idx="48">
                  <c:v>1</c:v>
                </c:pt>
                <c:pt idx="49">
                  <c:v>34</c:v>
                </c:pt>
                <c:pt idx="50">
                  <c:v>1</c:v>
                </c:pt>
                <c:pt idx="51">
                  <c:v>1</c:v>
                </c:pt>
              </c:numCache>
            </c:numRef>
          </c:val>
        </c:ser>
        <c:ser>
          <c:idx val="2"/>
          <c:order val="2"/>
          <c:tx>
            <c:strRef>
              <c:f>Summary!$F$3</c:f>
              <c:strCache>
                <c:ptCount val="1"/>
                <c:pt idx="0">
                  <c:v>Strata Dwelling Sales</c:v>
                </c:pt>
              </c:strCache>
            </c:strRef>
          </c:tx>
          <c:spPr>
            <a:solidFill>
              <a:schemeClr val="accent6">
                <a:lumMod val="50000"/>
              </a:schemeClr>
            </a:solidFill>
            <a:ln>
              <a:solidFill>
                <a:schemeClr val="tx1"/>
              </a:solidFill>
            </a:ln>
            <a:effectLst/>
          </c:spPr>
          <c:invertIfNegative val="0"/>
          <c:cat>
            <c:strRef>
              <c:f>Summary!$C$45:$C$96</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Summary!$F$45:$F$96</c:f>
              <c:numCache>
                <c:formatCode>General</c:formatCode>
                <c:ptCount val="52"/>
                <c:pt idx="1">
                  <c:v>232</c:v>
                </c:pt>
                <c:pt idx="2">
                  <c:v>148</c:v>
                </c:pt>
                <c:pt idx="3">
                  <c:v>561</c:v>
                </c:pt>
                <c:pt idx="4">
                  <c:v>66</c:v>
                </c:pt>
                <c:pt idx="5">
                  <c:v>46</c:v>
                </c:pt>
                <c:pt idx="6">
                  <c:v>125</c:v>
                </c:pt>
                <c:pt idx="7">
                  <c:v>112</c:v>
                </c:pt>
                <c:pt idx="8">
                  <c:v>25</c:v>
                </c:pt>
                <c:pt idx="9">
                  <c:v>76</c:v>
                </c:pt>
                <c:pt idx="10">
                  <c:v>80</c:v>
                </c:pt>
                <c:pt idx="13">
                  <c:v>103</c:v>
                </c:pt>
                <c:pt idx="14">
                  <c:v>105</c:v>
                </c:pt>
                <c:pt idx="15">
                  <c:v>6</c:v>
                </c:pt>
                <c:pt idx="16">
                  <c:v>67</c:v>
                </c:pt>
                <c:pt idx="17">
                  <c:v>37</c:v>
                </c:pt>
                <c:pt idx="18">
                  <c:v>9</c:v>
                </c:pt>
                <c:pt idx="19">
                  <c:v>13</c:v>
                </c:pt>
                <c:pt idx="20">
                  <c:v>24</c:v>
                </c:pt>
                <c:pt idx="21">
                  <c:v>91</c:v>
                </c:pt>
                <c:pt idx="24">
                  <c:v>27</c:v>
                </c:pt>
                <c:pt idx="25">
                  <c:v>2</c:v>
                </c:pt>
                <c:pt idx="26">
                  <c:v>24</c:v>
                </c:pt>
                <c:pt idx="27">
                  <c:v>0</c:v>
                </c:pt>
                <c:pt idx="28">
                  <c:v>66</c:v>
                </c:pt>
                <c:pt idx="29">
                  <c:v>16</c:v>
                </c:pt>
                <c:pt idx="30">
                  <c:v>25</c:v>
                </c:pt>
                <c:pt idx="31">
                  <c:v>7</c:v>
                </c:pt>
                <c:pt idx="32">
                  <c:v>38</c:v>
                </c:pt>
                <c:pt idx="33">
                  <c:v>2</c:v>
                </c:pt>
                <c:pt idx="34">
                  <c:v>11</c:v>
                </c:pt>
                <c:pt idx="35">
                  <c:v>22</c:v>
                </c:pt>
                <c:pt idx="36">
                  <c:v>0</c:v>
                </c:pt>
                <c:pt idx="37">
                  <c:v>9</c:v>
                </c:pt>
                <c:pt idx="38">
                  <c:v>0</c:v>
                </c:pt>
                <c:pt idx="39">
                  <c:v>16</c:v>
                </c:pt>
                <c:pt idx="40">
                  <c:v>46</c:v>
                </c:pt>
                <c:pt idx="41">
                  <c:v>23</c:v>
                </c:pt>
                <c:pt idx="42">
                  <c:v>8</c:v>
                </c:pt>
                <c:pt idx="43">
                  <c:v>4</c:v>
                </c:pt>
                <c:pt idx="44">
                  <c:v>0</c:v>
                </c:pt>
                <c:pt idx="45">
                  <c:v>11</c:v>
                </c:pt>
                <c:pt idx="46">
                  <c:v>12</c:v>
                </c:pt>
                <c:pt idx="47">
                  <c:v>25</c:v>
                </c:pt>
                <c:pt idx="48">
                  <c:v>3</c:v>
                </c:pt>
                <c:pt idx="49">
                  <c:v>59</c:v>
                </c:pt>
                <c:pt idx="50">
                  <c:v>1</c:v>
                </c:pt>
                <c:pt idx="51">
                  <c:v>0</c:v>
                </c:pt>
              </c:numCache>
            </c:numRef>
          </c:val>
        </c:ser>
        <c:dLbls>
          <c:showLegendKey val="0"/>
          <c:showVal val="0"/>
          <c:showCatName val="0"/>
          <c:showSerName val="0"/>
          <c:showPercent val="0"/>
          <c:showBubbleSize val="0"/>
        </c:dLbls>
        <c:gapWidth val="30"/>
        <c:overlap val="100"/>
        <c:axId val="210638768"/>
        <c:axId val="210639328"/>
      </c:barChart>
      <c:catAx>
        <c:axId val="2106387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9328"/>
        <c:crosses val="autoZero"/>
        <c:auto val="1"/>
        <c:lblAlgn val="ctr"/>
        <c:lblOffset val="100"/>
        <c:noMultiLvlLbl val="0"/>
      </c:catAx>
      <c:valAx>
        <c:axId val="2106393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8768"/>
        <c:crosses val="autoZero"/>
        <c:crossBetween val="between"/>
      </c:valAx>
      <c:spPr>
        <a:noFill/>
        <a:ln>
          <a:solidFill>
            <a:schemeClr val="tx1"/>
          </a:solidFill>
        </a:ln>
        <a:effectLst/>
      </c:spPr>
    </c:plotArea>
    <c:legend>
      <c:legendPos val="b"/>
      <c:layout>
        <c:manualLayout>
          <c:xMode val="edge"/>
          <c:yMode val="edge"/>
          <c:x val="0.67908902691511386"/>
          <c:y val="3.1491103763186899E-3"/>
          <c:w val="0.3188405797101449"/>
          <c:h val="8.391697258910184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baseline="0"/>
              <a:t>Median Price  of a Detached Houses -  2015</a:t>
            </a:r>
          </a:p>
          <a:p>
            <a:pPr algn="l">
              <a:defRPr/>
            </a:pPr>
            <a:r>
              <a:rPr lang="en-AU" baseline="0"/>
              <a:t>Metropolitan Melbourne</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309128027"/>
          <c:y val="0.12422853665031003"/>
          <c:w val="0.76617321509053793"/>
          <c:h val="0.84702727376469245"/>
        </c:manualLayout>
      </c:layout>
      <c:barChart>
        <c:barDir val="bar"/>
        <c:grouping val="clustered"/>
        <c:varyColors val="0"/>
        <c:ser>
          <c:idx val="0"/>
          <c:order val="0"/>
          <c:tx>
            <c:strRef>
              <c:f>Summary!$G$3</c:f>
              <c:strCache>
                <c:ptCount val="1"/>
                <c:pt idx="0">
                  <c:v>Median Price ($)</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Summary!$C$4:$C$44</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Summary!$G$4:$G$44</c:f>
              <c:numCache>
                <c:formatCode>_-"$"* #,##0_-;\-"$"* #,##0_-;_-"$"* "-"??_-;_-@_-</c:formatCode>
                <c:ptCount val="41"/>
                <c:pt idx="1">
                  <c:v>725000</c:v>
                </c:pt>
                <c:pt idx="2">
                  <c:v>991000</c:v>
                </c:pt>
                <c:pt idx="3">
                  <c:v>1385000</c:v>
                </c:pt>
                <c:pt idx="4">
                  <c:v>1870000</c:v>
                </c:pt>
                <c:pt idx="5">
                  <c:v>1110000</c:v>
                </c:pt>
                <c:pt idx="8">
                  <c:v>1910000</c:v>
                </c:pt>
                <c:pt idx="9">
                  <c:v>671000</c:v>
                </c:pt>
                <c:pt idx="10">
                  <c:v>1110000</c:v>
                </c:pt>
                <c:pt idx="11">
                  <c:v>690000</c:v>
                </c:pt>
                <c:pt idx="12">
                  <c:v>1100000</c:v>
                </c:pt>
                <c:pt idx="13">
                  <c:v>1020000</c:v>
                </c:pt>
                <c:pt idx="14">
                  <c:v>500245</c:v>
                </c:pt>
                <c:pt idx="17">
                  <c:v>705000</c:v>
                </c:pt>
                <c:pt idx="18">
                  <c:v>765750</c:v>
                </c:pt>
                <c:pt idx="19">
                  <c:v>390000</c:v>
                </c:pt>
                <c:pt idx="20">
                  <c:v>312500</c:v>
                </c:pt>
                <c:pt idx="21">
                  <c:v>690000</c:v>
                </c:pt>
                <c:pt idx="22">
                  <c:v>669000</c:v>
                </c:pt>
                <c:pt idx="23">
                  <c:v>440000</c:v>
                </c:pt>
                <c:pt idx="26">
                  <c:v>1550000</c:v>
                </c:pt>
                <c:pt idx="27">
                  <c:v>375000</c:v>
                </c:pt>
                <c:pt idx="28">
                  <c:v>435000</c:v>
                </c:pt>
                <c:pt idx="29">
                  <c:v>442000</c:v>
                </c:pt>
                <c:pt idx="30">
                  <c:v>1240000</c:v>
                </c:pt>
                <c:pt idx="31">
                  <c:v>530000</c:v>
                </c:pt>
                <c:pt idx="32">
                  <c:v>761000</c:v>
                </c:pt>
                <c:pt idx="33">
                  <c:v>561001</c:v>
                </c:pt>
                <c:pt idx="36">
                  <c:v>440000</c:v>
                </c:pt>
                <c:pt idx="37">
                  <c:v>655000</c:v>
                </c:pt>
                <c:pt idx="38">
                  <c:v>380000</c:v>
                </c:pt>
                <c:pt idx="39">
                  <c:v>837500</c:v>
                </c:pt>
                <c:pt idx="40">
                  <c:v>400000</c:v>
                </c:pt>
              </c:numCache>
            </c:numRef>
          </c:val>
        </c:ser>
        <c:dLbls>
          <c:showLegendKey val="0"/>
          <c:showVal val="0"/>
          <c:showCatName val="0"/>
          <c:showSerName val="0"/>
          <c:showPercent val="0"/>
          <c:showBubbleSize val="0"/>
        </c:dLbls>
        <c:gapWidth val="30"/>
        <c:axId val="210641568"/>
        <c:axId val="210642128"/>
      </c:barChart>
      <c:catAx>
        <c:axId val="2106415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2128"/>
        <c:crosses val="autoZero"/>
        <c:auto val="1"/>
        <c:lblAlgn val="ctr"/>
        <c:lblOffset val="100"/>
        <c:noMultiLvlLbl val="0"/>
      </c:catAx>
      <c:valAx>
        <c:axId val="2106421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1568"/>
        <c:crosses val="autoZero"/>
        <c:crossBetween val="between"/>
        <c:majorUnit val="500000"/>
        <c:minorUnit val="10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aseline="0"/>
              <a:t>Median Price  of a Detached Houses - 2015</a:t>
            </a:r>
          </a:p>
          <a:p>
            <a:pPr algn="l">
              <a:defRPr/>
            </a:pPr>
            <a:r>
              <a:rPr lang="en-AU" sz="1400" baseline="0"/>
              <a:t>Regional Victoria </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309128027"/>
          <c:y val="0.12422853665031003"/>
          <c:w val="0.76617321509053793"/>
          <c:h val="0.84702727376469245"/>
        </c:manualLayout>
      </c:layout>
      <c:barChart>
        <c:barDir val="bar"/>
        <c:grouping val="clustered"/>
        <c:varyColors val="0"/>
        <c:ser>
          <c:idx val="0"/>
          <c:order val="0"/>
          <c:tx>
            <c:strRef>
              <c:f>Summary!$G$3</c:f>
              <c:strCache>
                <c:ptCount val="1"/>
                <c:pt idx="0">
                  <c:v>Median Price ($)</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Summary!$C$45:$C$96</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Summary!$G$45:$G$96</c:f>
              <c:numCache>
                <c:formatCode>_-"$"* #,##0_-;\-"$"* #,##0_-;_-"$"* "-"??_-;_-@_-</c:formatCode>
                <c:ptCount val="52"/>
                <c:pt idx="1">
                  <c:v>302500</c:v>
                </c:pt>
                <c:pt idx="2">
                  <c:v>321000</c:v>
                </c:pt>
                <c:pt idx="3">
                  <c:v>400000</c:v>
                </c:pt>
                <c:pt idx="4">
                  <c:v>250000</c:v>
                </c:pt>
                <c:pt idx="5">
                  <c:v>239990</c:v>
                </c:pt>
                <c:pt idx="6">
                  <c:v>215000</c:v>
                </c:pt>
                <c:pt idx="7">
                  <c:v>243025</c:v>
                </c:pt>
                <c:pt idx="8">
                  <c:v>270000</c:v>
                </c:pt>
                <c:pt idx="9">
                  <c:v>330000</c:v>
                </c:pt>
                <c:pt idx="10">
                  <c:v>308000</c:v>
                </c:pt>
                <c:pt idx="13">
                  <c:v>338500</c:v>
                </c:pt>
                <c:pt idx="14">
                  <c:v>307000</c:v>
                </c:pt>
                <c:pt idx="15">
                  <c:v>355000</c:v>
                </c:pt>
                <c:pt idx="16">
                  <c:v>465000</c:v>
                </c:pt>
                <c:pt idx="17">
                  <c:v>349500</c:v>
                </c:pt>
                <c:pt idx="18">
                  <c:v>268000</c:v>
                </c:pt>
                <c:pt idx="19">
                  <c:v>717000</c:v>
                </c:pt>
                <c:pt idx="20">
                  <c:v>260000</c:v>
                </c:pt>
                <c:pt idx="21">
                  <c:v>625000</c:v>
                </c:pt>
                <c:pt idx="24">
                  <c:v>300000</c:v>
                </c:pt>
                <c:pt idx="25">
                  <c:v>210000</c:v>
                </c:pt>
                <c:pt idx="26">
                  <c:v>220000</c:v>
                </c:pt>
                <c:pt idx="27">
                  <c:v>120000</c:v>
                </c:pt>
                <c:pt idx="28">
                  <c:v>255000</c:v>
                </c:pt>
                <c:pt idx="29">
                  <c:v>185750</c:v>
                </c:pt>
                <c:pt idx="30">
                  <c:v>275000</c:v>
                </c:pt>
                <c:pt idx="31">
                  <c:v>185000</c:v>
                </c:pt>
                <c:pt idx="32">
                  <c:v>260000</c:v>
                </c:pt>
                <c:pt idx="33">
                  <c:v>162250</c:v>
                </c:pt>
                <c:pt idx="34">
                  <c:v>205000</c:v>
                </c:pt>
                <c:pt idx="35">
                  <c:v>350000</c:v>
                </c:pt>
                <c:pt idx="36">
                  <c:v>105000</c:v>
                </c:pt>
                <c:pt idx="37">
                  <c:v>260000</c:v>
                </c:pt>
                <c:pt idx="38">
                  <c:v>130000</c:v>
                </c:pt>
                <c:pt idx="39">
                  <c:v>292500</c:v>
                </c:pt>
                <c:pt idx="40">
                  <c:v>250000</c:v>
                </c:pt>
                <c:pt idx="41">
                  <c:v>369000</c:v>
                </c:pt>
                <c:pt idx="42">
                  <c:v>330000</c:v>
                </c:pt>
                <c:pt idx="43">
                  <c:v>170000</c:v>
                </c:pt>
                <c:pt idx="44">
                  <c:v>187500</c:v>
                </c:pt>
                <c:pt idx="45">
                  <c:v>185000</c:v>
                </c:pt>
                <c:pt idx="46">
                  <c:v>240000</c:v>
                </c:pt>
                <c:pt idx="47">
                  <c:v>215000</c:v>
                </c:pt>
                <c:pt idx="48">
                  <c:v>206250</c:v>
                </c:pt>
                <c:pt idx="49">
                  <c:v>233000</c:v>
                </c:pt>
                <c:pt idx="50">
                  <c:v>100000</c:v>
                </c:pt>
                <c:pt idx="51">
                  <c:v>89000</c:v>
                </c:pt>
              </c:numCache>
            </c:numRef>
          </c:val>
        </c:ser>
        <c:dLbls>
          <c:showLegendKey val="0"/>
          <c:showVal val="0"/>
          <c:showCatName val="0"/>
          <c:showSerName val="0"/>
          <c:showPercent val="0"/>
          <c:showBubbleSize val="0"/>
        </c:dLbls>
        <c:gapWidth val="30"/>
        <c:axId val="210644368"/>
        <c:axId val="210644928"/>
      </c:barChart>
      <c:catAx>
        <c:axId val="2106443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4928"/>
        <c:crosses val="autoZero"/>
        <c:auto val="1"/>
        <c:lblAlgn val="ctr"/>
        <c:lblOffset val="100"/>
        <c:noMultiLvlLbl val="0"/>
      </c:catAx>
      <c:valAx>
        <c:axId val="2106449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4368"/>
        <c:crosses val="autoZero"/>
        <c:crossBetween val="between"/>
        <c:majorUnit val="25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baseline="0"/>
              <a:t>Median Price  of a Semi-Detached Houses - 2015</a:t>
            </a:r>
          </a:p>
          <a:p>
            <a:pPr algn="l">
              <a:defRPr/>
            </a:pPr>
            <a:r>
              <a:rPr lang="en-AU" baseline="0"/>
              <a:t>Metropolitan Melbourne</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309128027"/>
          <c:y val="0.10064199311194323"/>
          <c:w val="0.76617321509053793"/>
          <c:h val="0.87254822595666703"/>
        </c:manualLayout>
      </c:layout>
      <c:barChart>
        <c:barDir val="bar"/>
        <c:grouping val="clustered"/>
        <c:varyColors val="0"/>
        <c:ser>
          <c:idx val="0"/>
          <c:order val="0"/>
          <c:tx>
            <c:strRef>
              <c:f>Summary!$P$3</c:f>
              <c:strCache>
                <c:ptCount val="1"/>
                <c:pt idx="0">
                  <c:v>Median Price ($)</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Summary!$C$4:$C$44</c:f>
              <c:strCache>
                <c:ptCount val="41"/>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strCache>
            </c:strRef>
          </c:cat>
          <c:val>
            <c:numRef>
              <c:f>Summary!$P$4:$P$44</c:f>
              <c:numCache>
                <c:formatCode>_-"$"* #,##0_-;\-"$"* #,##0_-;_-"$"* "-"??_-;_-@_-</c:formatCode>
                <c:ptCount val="41"/>
                <c:pt idx="1">
                  <c:v>455000</c:v>
                </c:pt>
                <c:pt idx="2">
                  <c:v>725000</c:v>
                </c:pt>
                <c:pt idx="3">
                  <c:v>785500</c:v>
                </c:pt>
                <c:pt idx="4">
                  <c:v>850000</c:v>
                </c:pt>
                <c:pt idx="5">
                  <c:v>847500</c:v>
                </c:pt>
                <c:pt idx="8">
                  <c:v>972000</c:v>
                </c:pt>
                <c:pt idx="9">
                  <c:v>465000</c:v>
                </c:pt>
                <c:pt idx="10">
                  <c:v>738000</c:v>
                </c:pt>
                <c:pt idx="11">
                  <c:v>460000</c:v>
                </c:pt>
                <c:pt idx="12">
                  <c:v>650000</c:v>
                </c:pt>
                <c:pt idx="13">
                  <c:v>685000</c:v>
                </c:pt>
                <c:pt idx="14">
                  <c:v>407500</c:v>
                </c:pt>
                <c:pt idx="17">
                  <c:v>545500</c:v>
                </c:pt>
                <c:pt idx="18">
                  <c:v>443900</c:v>
                </c:pt>
                <c:pt idx="19">
                  <c:v>325000</c:v>
                </c:pt>
                <c:pt idx="20">
                  <c:v>235000</c:v>
                </c:pt>
                <c:pt idx="21">
                  <c:v>470000</c:v>
                </c:pt>
                <c:pt idx="22">
                  <c:v>531600</c:v>
                </c:pt>
                <c:pt idx="23">
                  <c:v>339000</c:v>
                </c:pt>
                <c:pt idx="26">
                  <c:v>887500</c:v>
                </c:pt>
                <c:pt idx="27">
                  <c:v>278500</c:v>
                </c:pt>
                <c:pt idx="28">
                  <c:v>340000</c:v>
                </c:pt>
                <c:pt idx="29">
                  <c:v>338500</c:v>
                </c:pt>
                <c:pt idx="30">
                  <c:v>783333</c:v>
                </c:pt>
                <c:pt idx="31">
                  <c:v>351000</c:v>
                </c:pt>
                <c:pt idx="32">
                  <c:v>523500</c:v>
                </c:pt>
                <c:pt idx="33">
                  <c:v>405000</c:v>
                </c:pt>
                <c:pt idx="36">
                  <c:v>325000</c:v>
                </c:pt>
                <c:pt idx="37">
                  <c:v>546000</c:v>
                </c:pt>
                <c:pt idx="38">
                  <c:v>245000</c:v>
                </c:pt>
                <c:pt idx="39">
                  <c:v>542250</c:v>
                </c:pt>
                <c:pt idx="40">
                  <c:v>293000</c:v>
                </c:pt>
              </c:numCache>
            </c:numRef>
          </c:val>
        </c:ser>
        <c:dLbls>
          <c:showLegendKey val="0"/>
          <c:showVal val="0"/>
          <c:showCatName val="0"/>
          <c:showSerName val="0"/>
          <c:showPercent val="0"/>
          <c:showBubbleSize val="0"/>
        </c:dLbls>
        <c:gapWidth val="30"/>
        <c:axId val="210647168"/>
        <c:axId val="210647728"/>
      </c:barChart>
      <c:catAx>
        <c:axId val="2106471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7728"/>
        <c:crosses val="autoZero"/>
        <c:auto val="1"/>
        <c:lblAlgn val="ctr"/>
        <c:lblOffset val="100"/>
        <c:noMultiLvlLbl val="0"/>
      </c:catAx>
      <c:valAx>
        <c:axId val="2106477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7168"/>
        <c:crosses val="autoZero"/>
        <c:crossBetween val="between"/>
        <c:majorUnit val="25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aseline="0"/>
              <a:t>Median Price of Detached Houses - 2015</a:t>
            </a:r>
          </a:p>
          <a:p>
            <a:pPr algn="l">
              <a:defRPr/>
            </a:pPr>
            <a:r>
              <a:rPr lang="en-AU" sz="1400" baseline="0"/>
              <a:t>Regional Victoria </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309128027"/>
          <c:y val="0.11005756424991042"/>
          <c:w val="0.76617321509053793"/>
          <c:h val="0.86297662839381739"/>
        </c:manualLayout>
      </c:layout>
      <c:barChart>
        <c:barDir val="bar"/>
        <c:grouping val="clustered"/>
        <c:varyColors val="0"/>
        <c:ser>
          <c:idx val="0"/>
          <c:order val="0"/>
          <c:tx>
            <c:strRef>
              <c:f>Summary!$P$3</c:f>
              <c:strCache>
                <c:ptCount val="1"/>
                <c:pt idx="0">
                  <c:v>Median Price ($)</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Summary!$C$45:$C$96</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Summary!$P$45:$P$96</c:f>
              <c:numCache>
                <c:formatCode>_-"$"* #,##0_-;\-"$"* #,##0_-;_-"$"* "-"??_-;_-@_-</c:formatCode>
                <c:ptCount val="52"/>
                <c:pt idx="1">
                  <c:v>248000</c:v>
                </c:pt>
                <c:pt idx="2">
                  <c:v>250000</c:v>
                </c:pt>
                <c:pt idx="3">
                  <c:v>309000</c:v>
                </c:pt>
                <c:pt idx="4">
                  <c:v>210000</c:v>
                </c:pt>
                <c:pt idx="5">
                  <c:v>230000</c:v>
                </c:pt>
                <c:pt idx="6">
                  <c:v>195000</c:v>
                </c:pt>
                <c:pt idx="7">
                  <c:v>170002.5</c:v>
                </c:pt>
                <c:pt idx="8">
                  <c:v>212100</c:v>
                </c:pt>
                <c:pt idx="9">
                  <c:v>248000</c:v>
                </c:pt>
                <c:pt idx="10">
                  <c:v>203000</c:v>
                </c:pt>
                <c:pt idx="13">
                  <c:v>279500</c:v>
                </c:pt>
                <c:pt idx="14">
                  <c:v>235500</c:v>
                </c:pt>
                <c:pt idx="15">
                  <c:v>265000</c:v>
                </c:pt>
                <c:pt idx="16">
                  <c:v>360000</c:v>
                </c:pt>
                <c:pt idx="17">
                  <c:v>287000</c:v>
                </c:pt>
                <c:pt idx="18">
                  <c:v>267500</c:v>
                </c:pt>
                <c:pt idx="19">
                  <c:v>453750</c:v>
                </c:pt>
                <c:pt idx="20">
                  <c:v>260000</c:v>
                </c:pt>
                <c:pt idx="21">
                  <c:v>500000</c:v>
                </c:pt>
                <c:pt idx="24">
                  <c:v>190000</c:v>
                </c:pt>
                <c:pt idx="25">
                  <c:v>160000</c:v>
                </c:pt>
                <c:pt idx="26">
                  <c:v>145000</c:v>
                </c:pt>
                <c:pt idx="27">
                  <c:v>170000</c:v>
                </c:pt>
                <c:pt idx="28">
                  <c:v>230000</c:v>
                </c:pt>
                <c:pt idx="29">
                  <c:v>168000</c:v>
                </c:pt>
                <c:pt idx="30">
                  <c:v>220000</c:v>
                </c:pt>
                <c:pt idx="31">
                  <c:v>160000</c:v>
                </c:pt>
                <c:pt idx="32">
                  <c:v>237000</c:v>
                </c:pt>
                <c:pt idx="33">
                  <c:v>170000</c:v>
                </c:pt>
                <c:pt idx="34">
                  <c:v>108001</c:v>
                </c:pt>
                <c:pt idx="35">
                  <c:v>418750</c:v>
                </c:pt>
                <c:pt idx="37">
                  <c:v>173000</c:v>
                </c:pt>
                <c:pt idx="39">
                  <c:v>345000</c:v>
                </c:pt>
                <c:pt idx="40">
                  <c:v>220000</c:v>
                </c:pt>
                <c:pt idx="41">
                  <c:v>402500</c:v>
                </c:pt>
                <c:pt idx="42">
                  <c:v>319000</c:v>
                </c:pt>
                <c:pt idx="43">
                  <c:v>177500</c:v>
                </c:pt>
                <c:pt idx="44">
                  <c:v>180000</c:v>
                </c:pt>
                <c:pt idx="45">
                  <c:v>187500</c:v>
                </c:pt>
                <c:pt idx="46">
                  <c:v>162750</c:v>
                </c:pt>
                <c:pt idx="47">
                  <c:v>187000</c:v>
                </c:pt>
                <c:pt idx="48">
                  <c:v>167000</c:v>
                </c:pt>
                <c:pt idx="49">
                  <c:v>213500</c:v>
                </c:pt>
                <c:pt idx="50">
                  <c:v>128000</c:v>
                </c:pt>
                <c:pt idx="51">
                  <c:v>135000</c:v>
                </c:pt>
              </c:numCache>
            </c:numRef>
          </c:val>
        </c:ser>
        <c:dLbls>
          <c:showLegendKey val="0"/>
          <c:showVal val="0"/>
          <c:showCatName val="0"/>
          <c:showSerName val="0"/>
          <c:showPercent val="0"/>
          <c:showBubbleSize val="0"/>
        </c:dLbls>
        <c:gapWidth val="30"/>
        <c:axId val="210649968"/>
        <c:axId val="210650528"/>
      </c:barChart>
      <c:catAx>
        <c:axId val="2106499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0528"/>
        <c:crosses val="autoZero"/>
        <c:auto val="1"/>
        <c:lblAlgn val="ctr"/>
        <c:lblOffset val="100"/>
        <c:noMultiLvlLbl val="0"/>
      </c:catAx>
      <c:valAx>
        <c:axId val="2106505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49968"/>
        <c:crosses val="autoZero"/>
        <c:crossBetween val="between"/>
        <c:majorUnit val="25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aseline="0"/>
              <a:t>Median Price of a Strata Title Dwelling-  2015</a:t>
            </a:r>
          </a:p>
          <a:p>
            <a:pPr algn="l">
              <a:defRPr/>
            </a:pPr>
            <a:r>
              <a:rPr lang="en-AU" sz="1400" baseline="0"/>
              <a:t>Metropolitan Melbourne</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39438548442314"/>
          <c:y val="0.11163211943806976"/>
          <c:w val="0.76617321509053793"/>
          <c:h val="0.86297662839381739"/>
        </c:manualLayout>
      </c:layout>
      <c:barChart>
        <c:barDir val="bar"/>
        <c:grouping val="clustered"/>
        <c:varyColors val="0"/>
        <c:ser>
          <c:idx val="0"/>
          <c:order val="0"/>
          <c:tx>
            <c:strRef>
              <c:f>Summary!$P$3</c:f>
              <c:strCache>
                <c:ptCount val="1"/>
                <c:pt idx="0">
                  <c:v>Median Price ($)</c:v>
                </c:pt>
              </c:strCache>
            </c:strRef>
          </c:tx>
          <c:spPr>
            <a:solidFill>
              <a:schemeClr val="accent6">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Summary!$C$4:$C$51</c:f>
              <c:strCache>
                <c:ptCount val="48"/>
                <c:pt idx="0">
                  <c:v>Central Subregion</c:v>
                </c:pt>
                <c:pt idx="1">
                  <c:v>Maribyrnong</c:v>
                </c:pt>
                <c:pt idx="2">
                  <c:v>Melbourne</c:v>
                </c:pt>
                <c:pt idx="3">
                  <c:v>Port Phillip</c:v>
                </c:pt>
                <c:pt idx="4">
                  <c:v>Stonnington</c:v>
                </c:pt>
                <c:pt idx="5">
                  <c:v>Yarra</c:v>
                </c:pt>
                <c:pt idx="7">
                  <c:v>Eastern Subregion</c:v>
                </c:pt>
                <c:pt idx="8">
                  <c:v>Boroondara</c:v>
                </c:pt>
                <c:pt idx="9">
                  <c:v>Knox</c:v>
                </c:pt>
                <c:pt idx="10">
                  <c:v>Manningham</c:v>
                </c:pt>
                <c:pt idx="11">
                  <c:v>Maroondah</c:v>
                </c:pt>
                <c:pt idx="12">
                  <c:v>Monash</c:v>
                </c:pt>
                <c:pt idx="13">
                  <c:v>Whitehorse</c:v>
                </c:pt>
                <c:pt idx="14">
                  <c:v>Yarra Ranges</c:v>
                </c:pt>
                <c:pt idx="16">
                  <c:v>Northern Subregion</c:v>
                </c:pt>
                <c:pt idx="17">
                  <c:v>Banyule</c:v>
                </c:pt>
                <c:pt idx="18">
                  <c:v>Darebin</c:v>
                </c:pt>
                <c:pt idx="19">
                  <c:v>Hume</c:v>
                </c:pt>
                <c:pt idx="20">
                  <c:v>Mitchell</c:v>
                </c:pt>
                <c:pt idx="21">
                  <c:v>Moreland</c:v>
                </c:pt>
                <c:pt idx="22">
                  <c:v>Nillumbik</c:v>
                </c:pt>
                <c:pt idx="23">
                  <c:v>Whittlesea</c:v>
                </c:pt>
                <c:pt idx="25">
                  <c:v>Southern Subregion</c:v>
                </c:pt>
                <c:pt idx="26">
                  <c:v>Bayside</c:v>
                </c:pt>
                <c:pt idx="27">
                  <c:v>Cardinia</c:v>
                </c:pt>
                <c:pt idx="28">
                  <c:v>Casey</c:v>
                </c:pt>
                <c:pt idx="29">
                  <c:v>Frankston</c:v>
                </c:pt>
                <c:pt idx="30">
                  <c:v>Glen Eira</c:v>
                </c:pt>
                <c:pt idx="31">
                  <c:v>Greater Dandenong</c:v>
                </c:pt>
                <c:pt idx="32">
                  <c:v>Kingston</c:v>
                </c:pt>
                <c:pt idx="33">
                  <c:v>Mornington Peninsula</c:v>
                </c:pt>
                <c:pt idx="35">
                  <c:v>Western Subregion</c:v>
                </c:pt>
                <c:pt idx="36">
                  <c:v>Brimbank</c:v>
                </c:pt>
                <c:pt idx="37">
                  <c:v>Hobsons Bay</c:v>
                </c:pt>
                <c:pt idx="38">
                  <c:v>Melton</c:v>
                </c:pt>
                <c:pt idx="39">
                  <c:v>Moonee Valley</c:v>
                </c:pt>
                <c:pt idx="40">
                  <c:v>Wyndham</c:v>
                </c:pt>
                <c:pt idx="41">
                  <c:v>Key Regional Cities</c:v>
                </c:pt>
                <c:pt idx="42">
                  <c:v>Ballarat</c:v>
                </c:pt>
                <c:pt idx="43">
                  <c:v>Greater Bendigo</c:v>
                </c:pt>
                <c:pt idx="44">
                  <c:v>Greater Geelong</c:v>
                </c:pt>
                <c:pt idx="45">
                  <c:v>Greater Shepparton</c:v>
                </c:pt>
                <c:pt idx="46">
                  <c:v>Horsham</c:v>
                </c:pt>
                <c:pt idx="47">
                  <c:v>Latrobe</c:v>
                </c:pt>
              </c:strCache>
            </c:strRef>
          </c:cat>
          <c:val>
            <c:numRef>
              <c:f>Summary!$AA$4:$AA$44</c:f>
              <c:numCache>
                <c:formatCode>_-"$"* #,##0_-;\-"$"* #,##0_-;_-"$"* "-"??_-;_-@_-</c:formatCode>
                <c:ptCount val="41"/>
                <c:pt idx="1">
                  <c:v>420000</c:v>
                </c:pt>
                <c:pt idx="2">
                  <c:v>510000</c:v>
                </c:pt>
                <c:pt idx="3">
                  <c:v>560000</c:v>
                </c:pt>
                <c:pt idx="4">
                  <c:v>570000</c:v>
                </c:pt>
                <c:pt idx="5">
                  <c:v>566250</c:v>
                </c:pt>
                <c:pt idx="8">
                  <c:v>652500</c:v>
                </c:pt>
                <c:pt idx="9">
                  <c:v>452500</c:v>
                </c:pt>
                <c:pt idx="10">
                  <c:v>639000</c:v>
                </c:pt>
                <c:pt idx="11">
                  <c:v>472000</c:v>
                </c:pt>
                <c:pt idx="12">
                  <c:v>620000</c:v>
                </c:pt>
                <c:pt idx="13">
                  <c:v>640750</c:v>
                </c:pt>
                <c:pt idx="14">
                  <c:v>410000</c:v>
                </c:pt>
                <c:pt idx="17">
                  <c:v>535000</c:v>
                </c:pt>
                <c:pt idx="18">
                  <c:v>435000</c:v>
                </c:pt>
                <c:pt idx="19">
                  <c:v>316000</c:v>
                </c:pt>
                <c:pt idx="20">
                  <c:v>257500</c:v>
                </c:pt>
                <c:pt idx="21">
                  <c:v>455000</c:v>
                </c:pt>
                <c:pt idx="22">
                  <c:v>533900</c:v>
                </c:pt>
                <c:pt idx="23">
                  <c:v>340250</c:v>
                </c:pt>
                <c:pt idx="26">
                  <c:v>786250</c:v>
                </c:pt>
                <c:pt idx="27">
                  <c:v>281500</c:v>
                </c:pt>
                <c:pt idx="28">
                  <c:v>335000</c:v>
                </c:pt>
                <c:pt idx="29">
                  <c:v>315150</c:v>
                </c:pt>
                <c:pt idx="30">
                  <c:v>561000</c:v>
                </c:pt>
                <c:pt idx="31">
                  <c:v>345000</c:v>
                </c:pt>
                <c:pt idx="32">
                  <c:v>492500</c:v>
                </c:pt>
                <c:pt idx="33">
                  <c:v>405000</c:v>
                </c:pt>
                <c:pt idx="36">
                  <c:v>330000</c:v>
                </c:pt>
                <c:pt idx="37">
                  <c:v>450000</c:v>
                </c:pt>
                <c:pt idx="38">
                  <c:v>274000</c:v>
                </c:pt>
                <c:pt idx="39">
                  <c:v>470000</c:v>
                </c:pt>
                <c:pt idx="40">
                  <c:v>295000</c:v>
                </c:pt>
              </c:numCache>
            </c:numRef>
          </c:val>
        </c:ser>
        <c:dLbls>
          <c:showLegendKey val="0"/>
          <c:showVal val="0"/>
          <c:showCatName val="0"/>
          <c:showSerName val="0"/>
          <c:showPercent val="0"/>
          <c:showBubbleSize val="0"/>
        </c:dLbls>
        <c:gapWidth val="30"/>
        <c:axId val="210652768"/>
        <c:axId val="210653328"/>
      </c:barChart>
      <c:catAx>
        <c:axId val="2106527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3328"/>
        <c:crosses val="autoZero"/>
        <c:auto val="1"/>
        <c:lblAlgn val="ctr"/>
        <c:lblOffset val="100"/>
        <c:noMultiLvlLbl val="0"/>
      </c:catAx>
      <c:valAx>
        <c:axId val="2106533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2768"/>
        <c:crosses val="autoZero"/>
        <c:crossBetween val="between"/>
        <c:majorUnit val="25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aseline="0"/>
              <a:t>Median Price of a Strata Title Dwelling - 2015</a:t>
            </a:r>
          </a:p>
          <a:p>
            <a:pPr algn="l">
              <a:defRPr/>
            </a:pPr>
            <a:r>
              <a:rPr lang="en-AU" sz="1400" baseline="0"/>
              <a:t>Regional Victoria </a:t>
            </a:r>
          </a:p>
          <a:p>
            <a:pPr algn="l">
              <a:defRPr/>
            </a:pPr>
            <a:r>
              <a:rPr lang="en-AU" sz="1000" baseline="0"/>
              <a:t>Source: VPA analysis of Landata </a:t>
            </a:r>
            <a:endParaRPr lang="en-AU" sz="1000"/>
          </a:p>
        </c:rich>
      </c:tx>
      <c:layout>
        <c:manualLayout>
          <c:xMode val="edge"/>
          <c:yMode val="edge"/>
          <c:x val="4.916776707259419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00860309128027"/>
          <c:y val="0.11005756424991042"/>
          <c:w val="0.76617321509053793"/>
          <c:h val="0.86297662839381739"/>
        </c:manualLayout>
      </c:layout>
      <c:barChart>
        <c:barDir val="bar"/>
        <c:grouping val="clustered"/>
        <c:varyColors val="0"/>
        <c:ser>
          <c:idx val="0"/>
          <c:order val="0"/>
          <c:tx>
            <c:strRef>
              <c:f>Summary!$P$3</c:f>
              <c:strCache>
                <c:ptCount val="1"/>
                <c:pt idx="0">
                  <c:v>Median Price ($)</c:v>
                </c:pt>
              </c:strCache>
            </c:strRef>
          </c:tx>
          <c:spPr>
            <a:solidFill>
              <a:schemeClr val="accent6">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Summary!$C$45:$C$96</c:f>
              <c:strCache>
                <c:ptCount val="52"/>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&amp;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strCache>
            </c:strRef>
          </c:cat>
          <c:val>
            <c:numRef>
              <c:f>Summary!$AA$45:$AA$96</c:f>
              <c:numCache>
                <c:formatCode>_-"$"* #,##0_-;\-"$"* #,##0_-;_-"$"* "-"??_-;_-@_-</c:formatCode>
                <c:ptCount val="52"/>
                <c:pt idx="1">
                  <c:v>241562.5</c:v>
                </c:pt>
                <c:pt idx="2">
                  <c:v>255000</c:v>
                </c:pt>
                <c:pt idx="3">
                  <c:v>318000</c:v>
                </c:pt>
                <c:pt idx="4">
                  <c:v>199000</c:v>
                </c:pt>
                <c:pt idx="5">
                  <c:v>204500</c:v>
                </c:pt>
                <c:pt idx="6">
                  <c:v>180000</c:v>
                </c:pt>
                <c:pt idx="7">
                  <c:v>164000</c:v>
                </c:pt>
                <c:pt idx="8">
                  <c:v>213000</c:v>
                </c:pt>
                <c:pt idx="9">
                  <c:v>262500</c:v>
                </c:pt>
                <c:pt idx="10">
                  <c:v>190000</c:v>
                </c:pt>
                <c:pt idx="13">
                  <c:v>310000</c:v>
                </c:pt>
                <c:pt idx="14">
                  <c:v>238000</c:v>
                </c:pt>
                <c:pt idx="15">
                  <c:v>260000</c:v>
                </c:pt>
                <c:pt idx="16">
                  <c:v>340000</c:v>
                </c:pt>
                <c:pt idx="17">
                  <c:v>280000</c:v>
                </c:pt>
                <c:pt idx="18">
                  <c:v>250000</c:v>
                </c:pt>
                <c:pt idx="19">
                  <c:v>545000</c:v>
                </c:pt>
                <c:pt idx="20">
                  <c:v>221000</c:v>
                </c:pt>
                <c:pt idx="21">
                  <c:v>475000</c:v>
                </c:pt>
                <c:pt idx="24">
                  <c:v>225000</c:v>
                </c:pt>
                <c:pt idx="25">
                  <c:v>167500</c:v>
                </c:pt>
                <c:pt idx="26">
                  <c:v>212750</c:v>
                </c:pt>
                <c:pt idx="28">
                  <c:v>239625</c:v>
                </c:pt>
                <c:pt idx="29">
                  <c:v>193500</c:v>
                </c:pt>
                <c:pt idx="30">
                  <c:v>250000</c:v>
                </c:pt>
                <c:pt idx="31">
                  <c:v>160000</c:v>
                </c:pt>
                <c:pt idx="32">
                  <c:v>246250</c:v>
                </c:pt>
                <c:pt idx="33">
                  <c:v>182000</c:v>
                </c:pt>
                <c:pt idx="34">
                  <c:v>176000</c:v>
                </c:pt>
                <c:pt idx="35">
                  <c:v>315000</c:v>
                </c:pt>
                <c:pt idx="37">
                  <c:v>226000</c:v>
                </c:pt>
                <c:pt idx="39">
                  <c:v>263500</c:v>
                </c:pt>
                <c:pt idx="40">
                  <c:v>199500</c:v>
                </c:pt>
                <c:pt idx="41">
                  <c:v>310000</c:v>
                </c:pt>
                <c:pt idx="42">
                  <c:v>318500</c:v>
                </c:pt>
                <c:pt idx="43">
                  <c:v>160000</c:v>
                </c:pt>
                <c:pt idx="45">
                  <c:v>240000</c:v>
                </c:pt>
                <c:pt idx="46">
                  <c:v>300000</c:v>
                </c:pt>
                <c:pt idx="47">
                  <c:v>188000</c:v>
                </c:pt>
                <c:pt idx="48">
                  <c:v>185000</c:v>
                </c:pt>
                <c:pt idx="49">
                  <c:v>215000</c:v>
                </c:pt>
                <c:pt idx="50">
                  <c:v>138000</c:v>
                </c:pt>
              </c:numCache>
            </c:numRef>
          </c:val>
        </c:ser>
        <c:dLbls>
          <c:showLegendKey val="0"/>
          <c:showVal val="0"/>
          <c:showCatName val="0"/>
          <c:showSerName val="0"/>
          <c:showPercent val="0"/>
          <c:showBubbleSize val="0"/>
        </c:dLbls>
        <c:gapWidth val="30"/>
        <c:axId val="210655568"/>
        <c:axId val="210656128"/>
      </c:barChart>
      <c:catAx>
        <c:axId val="21065556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6128"/>
        <c:crosses val="autoZero"/>
        <c:auto val="1"/>
        <c:lblAlgn val="ctr"/>
        <c:lblOffset val="100"/>
        <c:noMultiLvlLbl val="0"/>
      </c:catAx>
      <c:valAx>
        <c:axId val="2106561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5568"/>
        <c:crosses val="autoZero"/>
        <c:crossBetween val="between"/>
        <c:majorUnit val="25000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Components of Population Change of LGAs 2015-16</a:t>
            </a:r>
          </a:p>
          <a:p>
            <a:pPr algn="l">
              <a:defRPr/>
            </a:pPr>
            <a:r>
              <a:rPr lang="en-AU" sz="1400" b="0" i="0" u="none" strike="noStrike" baseline="0">
                <a:effectLst/>
              </a:rPr>
              <a:t>Metropolitan Melbourne</a:t>
            </a:r>
          </a:p>
          <a:p>
            <a:pPr algn="l">
              <a:defRPr/>
            </a:pPr>
            <a:r>
              <a:rPr lang="en-AU" sz="1000" b="0" i="0" u="none" strike="noStrike" baseline="0">
                <a:effectLst/>
              </a:rPr>
              <a:t>Source: Analysis of ABS Demogrpahic, Internal Migrantion,</a:t>
            </a:r>
          </a:p>
          <a:p>
            <a:pPr algn="l">
              <a:defRPr/>
            </a:pPr>
            <a:r>
              <a:rPr lang="en-AU" sz="1000" b="0" i="0" u="none" strike="noStrike" baseline="0">
                <a:effectLst/>
              </a:rPr>
              <a:t>Births &amp; Deaths releases</a:t>
            </a:r>
            <a:endParaRPr lang="en-AU"/>
          </a:p>
        </c:rich>
      </c:tx>
      <c:layout>
        <c:manualLayout>
          <c:xMode val="edge"/>
          <c:yMode val="edge"/>
          <c:x val="3.864734299517054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8254402982236"/>
          <c:y val="0.11966638687930506"/>
          <c:w val="0.74181546147311295"/>
          <c:h val="0.85316151724689238"/>
        </c:manualLayout>
      </c:layout>
      <c:barChart>
        <c:barDir val="bar"/>
        <c:grouping val="stacked"/>
        <c:varyColors val="0"/>
        <c:ser>
          <c:idx val="0"/>
          <c:order val="0"/>
          <c:tx>
            <c:strRef>
              <c:f>Sheet3!$K$1</c:f>
              <c:strCache>
                <c:ptCount val="1"/>
                <c:pt idx="0">
                  <c:v>Natural Increase 2015</c:v>
                </c:pt>
              </c:strCache>
            </c:strRef>
          </c:tx>
          <c:spPr>
            <a:solidFill>
              <a:schemeClr val="accent1">
                <a:lumMod val="75000"/>
              </a:schemeClr>
            </a:solidFill>
            <a:ln>
              <a:solidFill>
                <a:schemeClr val="tx1"/>
              </a:solidFill>
            </a:ln>
            <a:effectLst/>
          </c:spPr>
          <c:invertIfNegative val="0"/>
          <c:cat>
            <c:strRef>
              <c:f>Sheet3!$J$2:$J$45</c:f>
              <c:strCache>
                <c:ptCount val="44"/>
                <c:pt idx="1">
                  <c:v>Central Subregion</c:v>
                </c:pt>
                <c:pt idx="2">
                  <c:v>Melbourne</c:v>
                </c:pt>
                <c:pt idx="3">
                  <c:v>Port Phillip</c:v>
                </c:pt>
                <c:pt idx="4">
                  <c:v>Yarra</c:v>
                </c:pt>
                <c:pt idx="6">
                  <c:v>Eastern Subregion</c:v>
                </c:pt>
                <c:pt idx="7">
                  <c:v>Knox</c:v>
                </c:pt>
                <c:pt idx="8">
                  <c:v>Manningham</c:v>
                </c:pt>
                <c:pt idx="9">
                  <c:v>Maroondah</c:v>
                </c:pt>
                <c:pt idx="10">
                  <c:v>Monash</c:v>
                </c:pt>
                <c:pt idx="11">
                  <c:v>Whitehorse</c:v>
                </c:pt>
                <c:pt idx="12">
                  <c:v>Yarra Ranges</c:v>
                </c:pt>
                <c:pt idx="14">
                  <c:v>Inner Eastern Subregion</c:v>
                </c:pt>
                <c:pt idx="15">
                  <c:v>Bayside</c:v>
                </c:pt>
                <c:pt idx="16">
                  <c:v>Boroondara</c:v>
                </c:pt>
                <c:pt idx="17">
                  <c:v>Glen Eira</c:v>
                </c:pt>
                <c:pt idx="18">
                  <c:v>Stonnington</c:v>
                </c:pt>
                <c:pt idx="20">
                  <c:v>Northern Subregion</c:v>
                </c:pt>
                <c:pt idx="21">
                  <c:v>Banyule</c:v>
                </c:pt>
                <c:pt idx="22">
                  <c:v>Darebin</c:v>
                </c:pt>
                <c:pt idx="23">
                  <c:v>Hume</c:v>
                </c:pt>
                <c:pt idx="24">
                  <c:v>Mitchell</c:v>
                </c:pt>
                <c:pt idx="25">
                  <c:v>Moreland</c:v>
                </c:pt>
                <c:pt idx="26">
                  <c:v>Nillumbik</c:v>
                </c:pt>
                <c:pt idx="27">
                  <c:v>Whittlesea</c:v>
                </c:pt>
                <c:pt idx="29">
                  <c:v>Southern Subregion</c:v>
                </c:pt>
                <c:pt idx="30">
                  <c:v>Cardinia</c:v>
                </c:pt>
                <c:pt idx="31">
                  <c:v>Casey</c:v>
                </c:pt>
                <c:pt idx="32">
                  <c:v>Frankston</c:v>
                </c:pt>
                <c:pt idx="33">
                  <c:v>Greater Dandenong</c:v>
                </c:pt>
                <c:pt idx="34">
                  <c:v>Kingston</c:v>
                </c:pt>
                <c:pt idx="35">
                  <c:v>Mornington Peninsula</c:v>
                </c:pt>
                <c:pt idx="37">
                  <c:v>Western Subregion</c:v>
                </c:pt>
                <c:pt idx="38">
                  <c:v>Brimbank</c:v>
                </c:pt>
                <c:pt idx="39">
                  <c:v>Hobsons Bay</c:v>
                </c:pt>
                <c:pt idx="40">
                  <c:v>Maribyrnong</c:v>
                </c:pt>
                <c:pt idx="41">
                  <c:v>Melton</c:v>
                </c:pt>
                <c:pt idx="42">
                  <c:v>Moonee Valley</c:v>
                </c:pt>
                <c:pt idx="43">
                  <c:v>Wyndham</c:v>
                </c:pt>
              </c:strCache>
            </c:strRef>
          </c:cat>
          <c:val>
            <c:numRef>
              <c:f>Sheet3!$K$2:$K$45</c:f>
              <c:numCache>
                <c:formatCode>General</c:formatCode>
                <c:ptCount val="44"/>
                <c:pt idx="2" formatCode="#,##0">
                  <c:v>834</c:v>
                </c:pt>
                <c:pt idx="3" formatCode="#,##0">
                  <c:v>757</c:v>
                </c:pt>
                <c:pt idx="4" formatCode="#,##0">
                  <c:v>676</c:v>
                </c:pt>
                <c:pt idx="7" formatCode="#,##0">
                  <c:v>752</c:v>
                </c:pt>
                <c:pt idx="8" formatCode="#,##0">
                  <c:v>159</c:v>
                </c:pt>
                <c:pt idx="9" formatCode="#,##0">
                  <c:v>650</c:v>
                </c:pt>
                <c:pt idx="10" formatCode="#,##0">
                  <c:v>532</c:v>
                </c:pt>
                <c:pt idx="11" formatCode="#,##0">
                  <c:v>612</c:v>
                </c:pt>
                <c:pt idx="12" formatCode="#,##0">
                  <c:v>866</c:v>
                </c:pt>
                <c:pt idx="15" formatCode="#,##0">
                  <c:v>78</c:v>
                </c:pt>
                <c:pt idx="16" formatCode="#,##0">
                  <c:v>382</c:v>
                </c:pt>
                <c:pt idx="17" formatCode="#,##0">
                  <c:v>731</c:v>
                </c:pt>
                <c:pt idx="18" formatCode="#,##0">
                  <c:v>415</c:v>
                </c:pt>
                <c:pt idx="21" formatCode="#,##0">
                  <c:v>644</c:v>
                </c:pt>
                <c:pt idx="22" formatCode="#,##0">
                  <c:v>807</c:v>
                </c:pt>
                <c:pt idx="23" formatCode="#,##0">
                  <c:v>2141</c:v>
                </c:pt>
                <c:pt idx="24" formatCode="#,##0">
                  <c:v>280</c:v>
                </c:pt>
                <c:pt idx="25" formatCode="#,##0">
                  <c:v>1140</c:v>
                </c:pt>
                <c:pt idx="26" formatCode="#,##0">
                  <c:v>291</c:v>
                </c:pt>
                <c:pt idx="27" formatCode="#,##0">
                  <c:v>2152</c:v>
                </c:pt>
                <c:pt idx="30" formatCode="#,##0">
                  <c:v>962</c:v>
                </c:pt>
                <c:pt idx="31" formatCode="#,##0">
                  <c:v>3081</c:v>
                </c:pt>
                <c:pt idx="32" formatCode="#,##0">
                  <c:v>829</c:v>
                </c:pt>
                <c:pt idx="33" formatCode="#,##0">
                  <c:v>1264</c:v>
                </c:pt>
                <c:pt idx="34" formatCode="#,##0">
                  <c:v>765</c:v>
                </c:pt>
                <c:pt idx="35" formatCode="#,##0">
                  <c:v>3</c:v>
                </c:pt>
                <c:pt idx="38" formatCode="#,##0">
                  <c:v>1715</c:v>
                </c:pt>
                <c:pt idx="39" formatCode="#,##0">
                  <c:v>625</c:v>
                </c:pt>
                <c:pt idx="40" formatCode="#,##0">
                  <c:v>798</c:v>
                </c:pt>
                <c:pt idx="41" formatCode="#,##0">
                  <c:v>1659</c:v>
                </c:pt>
                <c:pt idx="42" formatCode="#,##0">
                  <c:v>502</c:v>
                </c:pt>
                <c:pt idx="43" formatCode="#,##0">
                  <c:v>3393</c:v>
                </c:pt>
              </c:numCache>
            </c:numRef>
          </c:val>
        </c:ser>
        <c:ser>
          <c:idx val="1"/>
          <c:order val="1"/>
          <c:tx>
            <c:strRef>
              <c:f>Sheet3!$L$1</c:f>
              <c:strCache>
                <c:ptCount val="1"/>
                <c:pt idx="0">
                  <c:v>Net Internal Migrants 2015-16</c:v>
                </c:pt>
              </c:strCache>
            </c:strRef>
          </c:tx>
          <c:spPr>
            <a:solidFill>
              <a:srgbClr val="FF0000"/>
            </a:solidFill>
            <a:ln>
              <a:solidFill>
                <a:schemeClr val="tx1"/>
              </a:solidFill>
            </a:ln>
            <a:effectLst/>
          </c:spPr>
          <c:invertIfNegative val="0"/>
          <c:cat>
            <c:strRef>
              <c:f>Sheet3!$J$2:$J$45</c:f>
              <c:strCache>
                <c:ptCount val="44"/>
                <c:pt idx="1">
                  <c:v>Central Subregion</c:v>
                </c:pt>
                <c:pt idx="2">
                  <c:v>Melbourne</c:v>
                </c:pt>
                <c:pt idx="3">
                  <c:v>Port Phillip</c:v>
                </c:pt>
                <c:pt idx="4">
                  <c:v>Yarra</c:v>
                </c:pt>
                <c:pt idx="6">
                  <c:v>Eastern Subregion</c:v>
                </c:pt>
                <c:pt idx="7">
                  <c:v>Knox</c:v>
                </c:pt>
                <c:pt idx="8">
                  <c:v>Manningham</c:v>
                </c:pt>
                <c:pt idx="9">
                  <c:v>Maroondah</c:v>
                </c:pt>
                <c:pt idx="10">
                  <c:v>Monash</c:v>
                </c:pt>
                <c:pt idx="11">
                  <c:v>Whitehorse</c:v>
                </c:pt>
                <c:pt idx="12">
                  <c:v>Yarra Ranges</c:v>
                </c:pt>
                <c:pt idx="14">
                  <c:v>Inner Eastern Subregion</c:v>
                </c:pt>
                <c:pt idx="15">
                  <c:v>Bayside</c:v>
                </c:pt>
                <c:pt idx="16">
                  <c:v>Boroondara</c:v>
                </c:pt>
                <c:pt idx="17">
                  <c:v>Glen Eira</c:v>
                </c:pt>
                <c:pt idx="18">
                  <c:v>Stonnington</c:v>
                </c:pt>
                <c:pt idx="20">
                  <c:v>Northern Subregion</c:v>
                </c:pt>
                <c:pt idx="21">
                  <c:v>Banyule</c:v>
                </c:pt>
                <c:pt idx="22">
                  <c:v>Darebin</c:v>
                </c:pt>
                <c:pt idx="23">
                  <c:v>Hume</c:v>
                </c:pt>
                <c:pt idx="24">
                  <c:v>Mitchell</c:v>
                </c:pt>
                <c:pt idx="25">
                  <c:v>Moreland</c:v>
                </c:pt>
                <c:pt idx="26">
                  <c:v>Nillumbik</c:v>
                </c:pt>
                <c:pt idx="27">
                  <c:v>Whittlesea</c:v>
                </c:pt>
                <c:pt idx="29">
                  <c:v>Southern Subregion</c:v>
                </c:pt>
                <c:pt idx="30">
                  <c:v>Cardinia</c:v>
                </c:pt>
                <c:pt idx="31">
                  <c:v>Casey</c:v>
                </c:pt>
                <c:pt idx="32">
                  <c:v>Frankston</c:v>
                </c:pt>
                <c:pt idx="33">
                  <c:v>Greater Dandenong</c:v>
                </c:pt>
                <c:pt idx="34">
                  <c:v>Kingston</c:v>
                </c:pt>
                <c:pt idx="35">
                  <c:v>Mornington Peninsula</c:v>
                </c:pt>
                <c:pt idx="37">
                  <c:v>Western Subregion</c:v>
                </c:pt>
                <c:pt idx="38">
                  <c:v>Brimbank</c:v>
                </c:pt>
                <c:pt idx="39">
                  <c:v>Hobsons Bay</c:v>
                </c:pt>
                <c:pt idx="40">
                  <c:v>Maribyrnong</c:v>
                </c:pt>
                <c:pt idx="41">
                  <c:v>Melton</c:v>
                </c:pt>
                <c:pt idx="42">
                  <c:v>Moonee Valley</c:v>
                </c:pt>
                <c:pt idx="43">
                  <c:v>Wyndham</c:v>
                </c:pt>
              </c:strCache>
            </c:strRef>
          </c:cat>
          <c:val>
            <c:numRef>
              <c:f>Sheet3!$L$2:$L$45</c:f>
              <c:numCache>
                <c:formatCode>_-* #,##0_-;\-* #,##0_-;_-* "-"??_-;_-@_-</c:formatCode>
                <c:ptCount val="44"/>
                <c:pt idx="2">
                  <c:v>760</c:v>
                </c:pt>
                <c:pt idx="3">
                  <c:v>-600</c:v>
                </c:pt>
                <c:pt idx="4">
                  <c:v>629</c:v>
                </c:pt>
                <c:pt idx="7">
                  <c:v>-944</c:v>
                </c:pt>
                <c:pt idx="8">
                  <c:v>-1332</c:v>
                </c:pt>
                <c:pt idx="9">
                  <c:v>-32</c:v>
                </c:pt>
                <c:pt idx="10">
                  <c:v>-2818</c:v>
                </c:pt>
                <c:pt idx="11">
                  <c:v>-1806</c:v>
                </c:pt>
                <c:pt idx="12">
                  <c:v>30</c:v>
                </c:pt>
                <c:pt idx="15">
                  <c:v>557</c:v>
                </c:pt>
                <c:pt idx="16">
                  <c:v>-1436</c:v>
                </c:pt>
                <c:pt idx="17">
                  <c:v>-1187</c:v>
                </c:pt>
                <c:pt idx="18">
                  <c:v>-215</c:v>
                </c:pt>
                <c:pt idx="21">
                  <c:v>-737</c:v>
                </c:pt>
                <c:pt idx="22">
                  <c:v>-726</c:v>
                </c:pt>
                <c:pt idx="23">
                  <c:v>1776</c:v>
                </c:pt>
                <c:pt idx="24">
                  <c:v>498</c:v>
                </c:pt>
                <c:pt idx="25">
                  <c:v>-646</c:v>
                </c:pt>
                <c:pt idx="26">
                  <c:v>-284</c:v>
                </c:pt>
                <c:pt idx="27">
                  <c:v>4180</c:v>
                </c:pt>
                <c:pt idx="30">
                  <c:v>3551</c:v>
                </c:pt>
                <c:pt idx="31">
                  <c:v>3450</c:v>
                </c:pt>
                <c:pt idx="32">
                  <c:v>699</c:v>
                </c:pt>
                <c:pt idx="33">
                  <c:v>-2542</c:v>
                </c:pt>
                <c:pt idx="34">
                  <c:v>-350</c:v>
                </c:pt>
                <c:pt idx="35">
                  <c:v>1365</c:v>
                </c:pt>
                <c:pt idx="38">
                  <c:v>-1434</c:v>
                </c:pt>
                <c:pt idx="39">
                  <c:v>-350</c:v>
                </c:pt>
                <c:pt idx="40">
                  <c:v>-875</c:v>
                </c:pt>
                <c:pt idx="41">
                  <c:v>2859</c:v>
                </c:pt>
                <c:pt idx="42">
                  <c:v>324</c:v>
                </c:pt>
                <c:pt idx="43">
                  <c:v>5036</c:v>
                </c:pt>
              </c:numCache>
            </c:numRef>
          </c:val>
        </c:ser>
        <c:ser>
          <c:idx val="2"/>
          <c:order val="2"/>
          <c:tx>
            <c:strRef>
              <c:f>Sheet3!$M$1</c:f>
              <c:strCache>
                <c:ptCount val="1"/>
                <c:pt idx="0">
                  <c:v>Approx. Net Overseas Migrants 2015-16</c:v>
                </c:pt>
              </c:strCache>
            </c:strRef>
          </c:tx>
          <c:spPr>
            <a:solidFill>
              <a:schemeClr val="accent4">
                <a:lumMod val="60000"/>
                <a:lumOff val="40000"/>
              </a:schemeClr>
            </a:solidFill>
            <a:ln>
              <a:solidFill>
                <a:schemeClr val="tx1"/>
              </a:solidFill>
            </a:ln>
            <a:effectLst/>
          </c:spPr>
          <c:invertIfNegative val="0"/>
          <c:cat>
            <c:strRef>
              <c:f>Sheet3!$J$2:$J$45</c:f>
              <c:strCache>
                <c:ptCount val="44"/>
                <c:pt idx="1">
                  <c:v>Central Subregion</c:v>
                </c:pt>
                <c:pt idx="2">
                  <c:v>Melbourne</c:v>
                </c:pt>
                <c:pt idx="3">
                  <c:v>Port Phillip</c:v>
                </c:pt>
                <c:pt idx="4">
                  <c:v>Yarra</c:v>
                </c:pt>
                <c:pt idx="6">
                  <c:v>Eastern Subregion</c:v>
                </c:pt>
                <c:pt idx="7">
                  <c:v>Knox</c:v>
                </c:pt>
                <c:pt idx="8">
                  <c:v>Manningham</c:v>
                </c:pt>
                <c:pt idx="9">
                  <c:v>Maroondah</c:v>
                </c:pt>
                <c:pt idx="10">
                  <c:v>Monash</c:v>
                </c:pt>
                <c:pt idx="11">
                  <c:v>Whitehorse</c:v>
                </c:pt>
                <c:pt idx="12">
                  <c:v>Yarra Ranges</c:v>
                </c:pt>
                <c:pt idx="14">
                  <c:v>Inner Eastern Subregion</c:v>
                </c:pt>
                <c:pt idx="15">
                  <c:v>Bayside</c:v>
                </c:pt>
                <c:pt idx="16">
                  <c:v>Boroondara</c:v>
                </c:pt>
                <c:pt idx="17">
                  <c:v>Glen Eira</c:v>
                </c:pt>
                <c:pt idx="18">
                  <c:v>Stonnington</c:v>
                </c:pt>
                <c:pt idx="20">
                  <c:v>Northern Subregion</c:v>
                </c:pt>
                <c:pt idx="21">
                  <c:v>Banyule</c:v>
                </c:pt>
                <c:pt idx="22">
                  <c:v>Darebin</c:v>
                </c:pt>
                <c:pt idx="23">
                  <c:v>Hume</c:v>
                </c:pt>
                <c:pt idx="24">
                  <c:v>Mitchell</c:v>
                </c:pt>
                <c:pt idx="25">
                  <c:v>Moreland</c:v>
                </c:pt>
                <c:pt idx="26">
                  <c:v>Nillumbik</c:v>
                </c:pt>
                <c:pt idx="27">
                  <c:v>Whittlesea</c:v>
                </c:pt>
                <c:pt idx="29">
                  <c:v>Southern Subregion</c:v>
                </c:pt>
                <c:pt idx="30">
                  <c:v>Cardinia</c:v>
                </c:pt>
                <c:pt idx="31">
                  <c:v>Casey</c:v>
                </c:pt>
                <c:pt idx="32">
                  <c:v>Frankston</c:v>
                </c:pt>
                <c:pt idx="33">
                  <c:v>Greater Dandenong</c:v>
                </c:pt>
                <c:pt idx="34">
                  <c:v>Kingston</c:v>
                </c:pt>
                <c:pt idx="35">
                  <c:v>Mornington Peninsula</c:v>
                </c:pt>
                <c:pt idx="37">
                  <c:v>Western Subregion</c:v>
                </c:pt>
                <c:pt idx="38">
                  <c:v>Brimbank</c:v>
                </c:pt>
                <c:pt idx="39">
                  <c:v>Hobsons Bay</c:v>
                </c:pt>
                <c:pt idx="40">
                  <c:v>Maribyrnong</c:v>
                </c:pt>
                <c:pt idx="41">
                  <c:v>Melton</c:v>
                </c:pt>
                <c:pt idx="42">
                  <c:v>Moonee Valley</c:v>
                </c:pt>
                <c:pt idx="43">
                  <c:v>Wyndham</c:v>
                </c:pt>
              </c:strCache>
            </c:strRef>
          </c:cat>
          <c:val>
            <c:numRef>
              <c:f>Sheet3!$M$2:$M$45</c:f>
              <c:numCache>
                <c:formatCode>General</c:formatCode>
                <c:ptCount val="44"/>
                <c:pt idx="2" formatCode="_-* #,##0_-;\-* #,##0_-;_-* &quot;-&quot;??_-;_-@_-">
                  <c:v>5738</c:v>
                </c:pt>
                <c:pt idx="3" formatCode="_-* #,##0_-;\-* #,##0_-;_-* &quot;-&quot;??_-;_-@_-">
                  <c:v>1813</c:v>
                </c:pt>
                <c:pt idx="4" formatCode="_-* #,##0_-;\-* #,##0_-;_-* &quot;-&quot;??_-;_-@_-">
                  <c:v>1158</c:v>
                </c:pt>
                <c:pt idx="7" formatCode="_-* #,##0_-;\-* #,##0_-;_-* &quot;-&quot;??_-;_-@_-">
                  <c:v>1190</c:v>
                </c:pt>
                <c:pt idx="8" formatCode="_-* #,##0_-;\-* #,##0_-;_-* &quot;-&quot;??_-;_-@_-">
                  <c:v>2539</c:v>
                </c:pt>
                <c:pt idx="9" formatCode="_-* #,##0_-;\-* #,##0_-;_-* &quot;-&quot;??_-;_-@_-">
                  <c:v>877</c:v>
                </c:pt>
                <c:pt idx="10" formatCode="_-* #,##0_-;\-* #,##0_-;_-* &quot;-&quot;??_-;_-@_-">
                  <c:v>4995</c:v>
                </c:pt>
                <c:pt idx="11" formatCode="_-* #,##0_-;\-* #,##0_-;_-* &quot;-&quot;??_-;_-@_-">
                  <c:v>3564</c:v>
                </c:pt>
                <c:pt idx="12" formatCode="_-* #,##0_-;\-* #,##0_-;_-* &quot;-&quot;??_-;_-@_-">
                  <c:v>403</c:v>
                </c:pt>
                <c:pt idx="15" formatCode="_-* #,##0_-;\-* #,##0_-;_-* &quot;-&quot;??_-;_-@_-">
                  <c:v>910</c:v>
                </c:pt>
                <c:pt idx="16" formatCode="_-* #,##0_-;\-* #,##0_-;_-* &quot;-&quot;??_-;_-@_-">
                  <c:v>3133</c:v>
                </c:pt>
                <c:pt idx="17" formatCode="_-* #,##0_-;\-* #,##0_-;_-* &quot;-&quot;??_-;_-@_-">
                  <c:v>2949</c:v>
                </c:pt>
                <c:pt idx="18" formatCode="_-* #,##0_-;\-* #,##0_-;_-* &quot;-&quot;??_-;_-@_-">
                  <c:v>2211</c:v>
                </c:pt>
                <c:pt idx="21" formatCode="_-* #,##0_-;\-* #,##0_-;_-* &quot;-&quot;??_-;_-@_-">
                  <c:v>1373</c:v>
                </c:pt>
                <c:pt idx="22" formatCode="_-* #,##0_-;\-* #,##0_-;_-* &quot;-&quot;??_-;_-@_-">
                  <c:v>2577</c:v>
                </c:pt>
                <c:pt idx="23" formatCode="_-* #,##0_-;\-* #,##0_-;_-* &quot;-&quot;??_-;_-@_-">
                  <c:v>3614</c:v>
                </c:pt>
                <c:pt idx="24" formatCode="_-* #,##0_-;\-* #,##0_-;_-* &quot;-&quot;??_-;_-@_-">
                  <c:v>487</c:v>
                </c:pt>
                <c:pt idx="25" formatCode="_-* #,##0_-;\-* #,##0_-;_-* &quot;-&quot;??_-;_-@_-">
                  <c:v>3310</c:v>
                </c:pt>
                <c:pt idx="26" formatCode="_-* #,##0_-;\-* #,##0_-;_-* &quot;-&quot;??_-;_-@_-">
                  <c:v>245</c:v>
                </c:pt>
                <c:pt idx="27" formatCode="_-* #,##0_-;\-* #,##0_-;_-* &quot;-&quot;??_-;_-@_-">
                  <c:v>2769</c:v>
                </c:pt>
                <c:pt idx="30" formatCode="_-* #,##0_-;\-* #,##0_-;_-* &quot;-&quot;??_-;_-@_-">
                  <c:v>488</c:v>
                </c:pt>
                <c:pt idx="31" formatCode="_-* #,##0_-;\-* #,##0_-;_-* &quot;-&quot;??_-;_-@_-">
                  <c:v>4593</c:v>
                </c:pt>
                <c:pt idx="32" formatCode="_-* #,##0_-;\-* #,##0_-;_-* &quot;-&quot;??_-;_-@_-">
                  <c:v>-293</c:v>
                </c:pt>
                <c:pt idx="33" formatCode="_-* #,##0_-;\-* #,##0_-;_-* &quot;-&quot;??_-;_-@_-">
                  <c:v>3992</c:v>
                </c:pt>
                <c:pt idx="34" formatCode="_-* #,##0_-;\-* #,##0_-;_-* &quot;-&quot;??_-;_-@_-">
                  <c:v>1646</c:v>
                </c:pt>
                <c:pt idx="35" formatCode="_-* #,##0_-;\-* #,##0_-;_-* &quot;-&quot;??_-;_-@_-">
                  <c:v>258</c:v>
                </c:pt>
                <c:pt idx="38" formatCode="_-* #,##0_-;\-* #,##0_-;_-* &quot;-&quot;??_-;_-@_-">
                  <c:v>2659</c:v>
                </c:pt>
                <c:pt idx="39" formatCode="_-* #,##0_-;\-* #,##0_-;_-* &quot;-&quot;??_-;_-@_-">
                  <c:v>1808</c:v>
                </c:pt>
                <c:pt idx="40" formatCode="_-* #,##0_-;\-* #,##0_-;_-* &quot;-&quot;??_-;_-@_-">
                  <c:v>1649</c:v>
                </c:pt>
                <c:pt idx="41" formatCode="_-* #,##0_-;\-* #,##0_-;_-* &quot;-&quot;??_-;_-@_-">
                  <c:v>1298</c:v>
                </c:pt>
                <c:pt idx="42" formatCode="_-* #,##0_-;\-* #,##0_-;_-* &quot;-&quot;??_-;_-@_-">
                  <c:v>1280</c:v>
                </c:pt>
                <c:pt idx="43" formatCode="_-* #,##0_-;\-* #,##0_-;_-* &quot;-&quot;??_-;_-@_-">
                  <c:v>3677</c:v>
                </c:pt>
              </c:numCache>
            </c:numRef>
          </c:val>
        </c:ser>
        <c:dLbls>
          <c:showLegendKey val="0"/>
          <c:showVal val="0"/>
          <c:showCatName val="0"/>
          <c:showSerName val="0"/>
          <c:showPercent val="0"/>
          <c:showBubbleSize val="0"/>
        </c:dLbls>
        <c:gapWidth val="50"/>
        <c:overlap val="100"/>
        <c:axId val="535738336"/>
        <c:axId val="535732176"/>
      </c:barChart>
      <c:catAx>
        <c:axId val="535738336"/>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35732176"/>
        <c:crosses val="autoZero"/>
        <c:auto val="1"/>
        <c:lblAlgn val="ctr"/>
        <c:lblOffset val="100"/>
        <c:noMultiLvlLbl val="0"/>
      </c:catAx>
      <c:valAx>
        <c:axId val="5357321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738336"/>
        <c:crosses val="autoZero"/>
        <c:crossBetween val="between"/>
      </c:valAx>
      <c:spPr>
        <a:noFill/>
        <a:ln>
          <a:noFill/>
        </a:ln>
        <a:effectLst/>
      </c:spPr>
    </c:plotArea>
    <c:legend>
      <c:legendPos val="b"/>
      <c:layout>
        <c:manualLayout>
          <c:xMode val="edge"/>
          <c:yMode val="edge"/>
          <c:x val="0.59419227881076297"/>
          <c:y val="2.338729701915828E-2"/>
          <c:w val="0.40519034563291806"/>
          <c:h val="6.155343541709047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Components of Population Change of LGAs 2015-16</a:t>
            </a:r>
          </a:p>
          <a:p>
            <a:pPr algn="l">
              <a:defRPr/>
            </a:pPr>
            <a:r>
              <a:rPr lang="en-AU" sz="1400" b="0" i="0" u="none" strike="noStrike" baseline="0">
                <a:effectLst/>
              </a:rPr>
              <a:t>Regional Victoria</a:t>
            </a:r>
          </a:p>
          <a:p>
            <a:pPr algn="l">
              <a:defRPr/>
            </a:pPr>
            <a:r>
              <a:rPr lang="en-AU" sz="1000" b="0" i="0" u="none" strike="noStrike" baseline="0">
                <a:effectLst/>
              </a:rPr>
              <a:t>Source: Analysis of ABS Demogrpahic, Internal Migrantion,</a:t>
            </a:r>
          </a:p>
          <a:p>
            <a:pPr algn="l">
              <a:defRPr/>
            </a:pPr>
            <a:r>
              <a:rPr lang="en-AU" sz="1000" b="0" i="0" u="none" strike="noStrike" baseline="0">
                <a:effectLst/>
              </a:rPr>
              <a:t>Births &amp; Deaths releases</a:t>
            </a:r>
            <a:endParaRPr lang="en-AU"/>
          </a:p>
        </c:rich>
      </c:tx>
      <c:layout>
        <c:manualLayout>
          <c:xMode val="edge"/>
          <c:yMode val="edge"/>
          <c:x val="3.8647342995170545E-4"/>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8254402982236"/>
          <c:y val="0.11966638687930506"/>
          <c:w val="0.74181546147311295"/>
          <c:h val="0.8712253806470478"/>
        </c:manualLayout>
      </c:layout>
      <c:barChart>
        <c:barDir val="bar"/>
        <c:grouping val="stacked"/>
        <c:varyColors val="0"/>
        <c:ser>
          <c:idx val="0"/>
          <c:order val="0"/>
          <c:tx>
            <c:strRef>
              <c:f>Sheet3!$K$1</c:f>
              <c:strCache>
                <c:ptCount val="1"/>
                <c:pt idx="0">
                  <c:v>Natural Increase 2015</c:v>
                </c:pt>
              </c:strCache>
            </c:strRef>
          </c:tx>
          <c:spPr>
            <a:solidFill>
              <a:schemeClr val="accent1">
                <a:lumMod val="75000"/>
              </a:schemeClr>
            </a:solidFill>
            <a:ln>
              <a:solidFill>
                <a:schemeClr val="tx1"/>
              </a:solidFill>
            </a:ln>
            <a:effectLst/>
          </c:spPr>
          <c:invertIfNegative val="0"/>
          <c:cat>
            <c:strRef>
              <c:f>Sheet3!$J$47:$J$99</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Sheet3!$K$47:$K$99</c:f>
              <c:numCache>
                <c:formatCode>#,##0</c:formatCode>
                <c:ptCount val="53"/>
                <c:pt idx="1">
                  <c:v>456</c:v>
                </c:pt>
                <c:pt idx="2">
                  <c:v>318</c:v>
                </c:pt>
                <c:pt idx="3">
                  <c:v>849</c:v>
                </c:pt>
                <c:pt idx="4">
                  <c:v>222</c:v>
                </c:pt>
                <c:pt idx="5">
                  <c:v>80</c:v>
                </c:pt>
                <c:pt idx="6">
                  <c:v>182</c:v>
                </c:pt>
                <c:pt idx="7">
                  <c:v>204</c:v>
                </c:pt>
                <c:pt idx="8">
                  <c:v>35</c:v>
                </c:pt>
                <c:pt idx="9">
                  <c:v>76</c:v>
                </c:pt>
                <c:pt idx="10">
                  <c:v>302</c:v>
                </c:pt>
                <c:pt idx="13">
                  <c:v>-70</c:v>
                </c:pt>
                <c:pt idx="14">
                  <c:v>175</c:v>
                </c:pt>
                <c:pt idx="15">
                  <c:v>115</c:v>
                </c:pt>
                <c:pt idx="16">
                  <c:v>163</c:v>
                </c:pt>
                <c:pt idx="17">
                  <c:v>157</c:v>
                </c:pt>
                <c:pt idx="18">
                  <c:v>-19</c:v>
                </c:pt>
                <c:pt idx="19">
                  <c:v>-22</c:v>
                </c:pt>
                <c:pt idx="20">
                  <c:v>41</c:v>
                </c:pt>
                <c:pt idx="21">
                  <c:v>135</c:v>
                </c:pt>
                <c:pt idx="24">
                  <c:v>-20</c:v>
                </c:pt>
                <c:pt idx="25">
                  <c:v>1</c:v>
                </c:pt>
                <c:pt idx="26">
                  <c:v>-48</c:v>
                </c:pt>
                <c:pt idx="27">
                  <c:v>-31</c:v>
                </c:pt>
                <c:pt idx="28">
                  <c:v>32</c:v>
                </c:pt>
                <c:pt idx="29">
                  <c:v>-54</c:v>
                </c:pt>
                <c:pt idx="30">
                  <c:v>2</c:v>
                </c:pt>
                <c:pt idx="31">
                  <c:v>-22</c:v>
                </c:pt>
                <c:pt idx="32">
                  <c:v>-59</c:v>
                </c:pt>
                <c:pt idx="33">
                  <c:v>-6</c:v>
                </c:pt>
                <c:pt idx="34">
                  <c:v>4</c:v>
                </c:pt>
                <c:pt idx="35">
                  <c:v>-38</c:v>
                </c:pt>
                <c:pt idx="36">
                  <c:v>-50</c:v>
                </c:pt>
                <c:pt idx="37">
                  <c:v>5</c:v>
                </c:pt>
                <c:pt idx="38">
                  <c:v>-21</c:v>
                </c:pt>
                <c:pt idx="39">
                  <c:v>8</c:v>
                </c:pt>
                <c:pt idx="40">
                  <c:v>-44</c:v>
                </c:pt>
                <c:pt idx="41">
                  <c:v>-39</c:v>
                </c:pt>
                <c:pt idx="42">
                  <c:v>51</c:v>
                </c:pt>
                <c:pt idx="43">
                  <c:v>-12</c:v>
                </c:pt>
                <c:pt idx="44">
                  <c:v>-10</c:v>
                </c:pt>
                <c:pt idx="45">
                  <c:v>-43</c:v>
                </c:pt>
                <c:pt idx="46">
                  <c:v>-47</c:v>
                </c:pt>
                <c:pt idx="47">
                  <c:v>110</c:v>
                </c:pt>
                <c:pt idx="48">
                  <c:v>-11</c:v>
                </c:pt>
                <c:pt idx="49">
                  <c:v>51</c:v>
                </c:pt>
                <c:pt idx="50">
                  <c:v>-16</c:v>
                </c:pt>
                <c:pt idx="51">
                  <c:v>-23</c:v>
                </c:pt>
                <c:pt idx="52">
                  <c:v>3</c:v>
                </c:pt>
              </c:numCache>
            </c:numRef>
          </c:val>
        </c:ser>
        <c:ser>
          <c:idx val="1"/>
          <c:order val="1"/>
          <c:tx>
            <c:strRef>
              <c:f>Sheet3!$L$1</c:f>
              <c:strCache>
                <c:ptCount val="1"/>
                <c:pt idx="0">
                  <c:v>Net Internal Migrants 2015-16</c:v>
                </c:pt>
              </c:strCache>
            </c:strRef>
          </c:tx>
          <c:spPr>
            <a:solidFill>
              <a:srgbClr val="FF0000"/>
            </a:solidFill>
            <a:ln>
              <a:solidFill>
                <a:schemeClr val="tx1"/>
              </a:solidFill>
            </a:ln>
            <a:effectLst/>
          </c:spPr>
          <c:invertIfNegative val="0"/>
          <c:cat>
            <c:strRef>
              <c:f>Sheet3!$J$47:$J$99</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Sheet3!$L$47:$L$99</c:f>
              <c:numCache>
                <c:formatCode>_-* #,##0_-;\-* #,##0_-;_-* "-"??_-;_-@_-</c:formatCode>
                <c:ptCount val="53"/>
                <c:pt idx="1">
                  <c:v>1119</c:v>
                </c:pt>
                <c:pt idx="2">
                  <c:v>1257</c:v>
                </c:pt>
                <c:pt idx="3">
                  <c:v>3187</c:v>
                </c:pt>
                <c:pt idx="4">
                  <c:v>-618</c:v>
                </c:pt>
                <c:pt idx="5">
                  <c:v>-141</c:v>
                </c:pt>
                <c:pt idx="6">
                  <c:v>-87</c:v>
                </c:pt>
                <c:pt idx="7">
                  <c:v>-240</c:v>
                </c:pt>
                <c:pt idx="8">
                  <c:v>253</c:v>
                </c:pt>
                <c:pt idx="9">
                  <c:v>72</c:v>
                </c:pt>
                <c:pt idx="10">
                  <c:v>-168</c:v>
                </c:pt>
                <c:pt idx="13">
                  <c:v>863</c:v>
                </c:pt>
                <c:pt idx="14">
                  <c:v>1009</c:v>
                </c:pt>
                <c:pt idx="15">
                  <c:v>423</c:v>
                </c:pt>
                <c:pt idx="16">
                  <c:v>470</c:v>
                </c:pt>
                <c:pt idx="17">
                  <c:v>532</c:v>
                </c:pt>
                <c:pt idx="18">
                  <c:v>147</c:v>
                </c:pt>
                <c:pt idx="19">
                  <c:v>79</c:v>
                </c:pt>
                <c:pt idx="20">
                  <c:v>184</c:v>
                </c:pt>
                <c:pt idx="21">
                  <c:v>553</c:v>
                </c:pt>
                <c:pt idx="24">
                  <c:v>53</c:v>
                </c:pt>
                <c:pt idx="25">
                  <c:v>-95</c:v>
                </c:pt>
                <c:pt idx="26">
                  <c:v>-24</c:v>
                </c:pt>
                <c:pt idx="27">
                  <c:v>-101</c:v>
                </c:pt>
                <c:pt idx="28">
                  <c:v>-6</c:v>
                </c:pt>
                <c:pt idx="29">
                  <c:v>51</c:v>
                </c:pt>
                <c:pt idx="30">
                  <c:v>-74</c:v>
                </c:pt>
                <c:pt idx="31">
                  <c:v>-135</c:v>
                </c:pt>
                <c:pt idx="32">
                  <c:v>455</c:v>
                </c:pt>
                <c:pt idx="33">
                  <c:v>-24</c:v>
                </c:pt>
                <c:pt idx="34">
                  <c:v>-50</c:v>
                </c:pt>
                <c:pt idx="35">
                  <c:v>171</c:v>
                </c:pt>
                <c:pt idx="36">
                  <c:v>-85</c:v>
                </c:pt>
                <c:pt idx="37">
                  <c:v>228</c:v>
                </c:pt>
                <c:pt idx="38">
                  <c:v>-67</c:v>
                </c:pt>
                <c:pt idx="39">
                  <c:v>91</c:v>
                </c:pt>
                <c:pt idx="40">
                  <c:v>34</c:v>
                </c:pt>
                <c:pt idx="41">
                  <c:v>259</c:v>
                </c:pt>
                <c:pt idx="42">
                  <c:v>50</c:v>
                </c:pt>
                <c:pt idx="43">
                  <c:v>-40</c:v>
                </c:pt>
                <c:pt idx="44">
                  <c:v>42</c:v>
                </c:pt>
                <c:pt idx="45">
                  <c:v>-135</c:v>
                </c:pt>
                <c:pt idx="46">
                  <c:v>109</c:v>
                </c:pt>
                <c:pt idx="47">
                  <c:v>-323</c:v>
                </c:pt>
                <c:pt idx="48">
                  <c:v>62</c:v>
                </c:pt>
                <c:pt idx="49">
                  <c:v>61</c:v>
                </c:pt>
                <c:pt idx="50">
                  <c:v>-9</c:v>
                </c:pt>
                <c:pt idx="51">
                  <c:v>-90</c:v>
                </c:pt>
                <c:pt idx="52">
                  <c:v>-3</c:v>
                </c:pt>
              </c:numCache>
            </c:numRef>
          </c:val>
        </c:ser>
        <c:ser>
          <c:idx val="2"/>
          <c:order val="2"/>
          <c:tx>
            <c:strRef>
              <c:f>Sheet3!$M$1</c:f>
              <c:strCache>
                <c:ptCount val="1"/>
                <c:pt idx="0">
                  <c:v>Approx. Net Overseas Migrants 2015-16</c:v>
                </c:pt>
              </c:strCache>
            </c:strRef>
          </c:tx>
          <c:spPr>
            <a:solidFill>
              <a:schemeClr val="accent4"/>
            </a:solidFill>
            <a:ln>
              <a:solidFill>
                <a:schemeClr val="tx1"/>
              </a:solidFill>
            </a:ln>
            <a:effectLst/>
          </c:spPr>
          <c:invertIfNegative val="0"/>
          <c:cat>
            <c:strRef>
              <c:f>Sheet3!$J$47:$J$99</c:f>
              <c:strCache>
                <c:ptCount val="53"/>
                <c:pt idx="0">
                  <c:v>Key Regional Cities</c:v>
                </c:pt>
                <c:pt idx="1">
                  <c:v>Ballarat</c:v>
                </c:pt>
                <c:pt idx="2">
                  <c:v>Greater Bendigo</c:v>
                </c:pt>
                <c:pt idx="3">
                  <c:v>Greater Geelong</c:v>
                </c:pt>
                <c:pt idx="4">
                  <c:v>Greater Shepparton</c:v>
                </c:pt>
                <c:pt idx="5">
                  <c:v>Horsham</c:v>
                </c:pt>
                <c:pt idx="6">
                  <c:v>Latrobe</c:v>
                </c:pt>
                <c:pt idx="7">
                  <c:v>Mildura</c:v>
                </c:pt>
                <c:pt idx="8">
                  <c:v>Wangaratta</c:v>
                </c:pt>
                <c:pt idx="9">
                  <c:v>Warrnambool</c:v>
                </c:pt>
                <c:pt idx="10">
                  <c:v>Wodonga</c:v>
                </c:pt>
                <c:pt idx="12">
                  <c:v>Peri-Urban and Coastal LGAs</c:v>
                </c:pt>
                <c:pt idx="13">
                  <c:v>Bass Coast</c:v>
                </c:pt>
                <c:pt idx="14">
                  <c:v>Baw Baw</c:v>
                </c:pt>
                <c:pt idx="15">
                  <c:v>Golden Plains</c:v>
                </c:pt>
                <c:pt idx="16">
                  <c:v>Macedon Ranges</c:v>
                </c:pt>
                <c:pt idx="17">
                  <c:v>Moorabool</c:v>
                </c:pt>
                <c:pt idx="18">
                  <c:v>Murrindindi</c:v>
                </c:pt>
                <c:pt idx="19">
                  <c:v>Queenscliffe</c:v>
                </c:pt>
                <c:pt idx="20">
                  <c:v>South Gippsland</c:v>
                </c:pt>
                <c:pt idx="21">
                  <c:v>Surf Coast</c:v>
                </c:pt>
                <c:pt idx="23">
                  <c:v>Other Regional LGAs</c:v>
                </c:pt>
                <c:pt idx="24">
                  <c:v>Alpine</c:v>
                </c:pt>
                <c:pt idx="25">
                  <c:v>Ararat</c:v>
                </c:pt>
                <c:pt idx="26">
                  <c:v>Benalla</c:v>
                </c:pt>
                <c:pt idx="27">
                  <c:v>Buloke</c:v>
                </c:pt>
                <c:pt idx="28">
                  <c:v>Campaspe</c:v>
                </c:pt>
                <c:pt idx="29">
                  <c:v>Central Goldfields</c:v>
                </c:pt>
                <c:pt idx="30">
                  <c:v>Colac-Otway</c:v>
                </c:pt>
                <c:pt idx="31">
                  <c:v>Corangamite</c:v>
                </c:pt>
                <c:pt idx="32">
                  <c:v>East Gippsland</c:v>
                </c:pt>
                <c:pt idx="33">
                  <c:v>Gannawarra</c:v>
                </c:pt>
                <c:pt idx="34">
                  <c:v>Glenelg</c:v>
                </c:pt>
                <c:pt idx="35">
                  <c:v>Hepburn</c:v>
                </c:pt>
                <c:pt idx="36">
                  <c:v>Hindmarsh</c:v>
                </c:pt>
                <c:pt idx="37">
                  <c:v>Indigo</c:v>
                </c:pt>
                <c:pt idx="38">
                  <c:v>Loddon</c:v>
                </c:pt>
                <c:pt idx="39">
                  <c:v>Mansfield</c:v>
                </c:pt>
                <c:pt idx="40">
                  <c:v>Moira</c:v>
                </c:pt>
                <c:pt idx="41">
                  <c:v>Mount Alexander</c:v>
                </c:pt>
                <c:pt idx="42">
                  <c:v>Moyne</c:v>
                </c:pt>
                <c:pt idx="43">
                  <c:v>Northern Grampians</c:v>
                </c:pt>
                <c:pt idx="44">
                  <c:v>Pyrenees</c:v>
                </c:pt>
                <c:pt idx="45">
                  <c:v>Southern Grampians</c:v>
                </c:pt>
                <c:pt idx="46">
                  <c:v>Strathbogie</c:v>
                </c:pt>
                <c:pt idx="47">
                  <c:v>Swan Hill</c:v>
                </c:pt>
                <c:pt idx="48">
                  <c:v>Towong</c:v>
                </c:pt>
                <c:pt idx="49">
                  <c:v>Wellington</c:v>
                </c:pt>
                <c:pt idx="50">
                  <c:v>West Wimmera</c:v>
                </c:pt>
                <c:pt idx="51">
                  <c:v>Yarriambiack</c:v>
                </c:pt>
                <c:pt idx="52">
                  <c:v>Unincorporated Vic</c:v>
                </c:pt>
              </c:strCache>
            </c:strRef>
          </c:cat>
          <c:val>
            <c:numRef>
              <c:f>Sheet3!$M$47:$M$99</c:f>
              <c:numCache>
                <c:formatCode>_-* #,##0_-;\-* #,##0_-;_-* "-"??_-;_-@_-</c:formatCode>
                <c:ptCount val="53"/>
                <c:pt idx="1">
                  <c:v>483</c:v>
                </c:pt>
                <c:pt idx="2">
                  <c:v>315</c:v>
                </c:pt>
                <c:pt idx="3">
                  <c:v>1585</c:v>
                </c:pt>
                <c:pt idx="4">
                  <c:v>586</c:v>
                </c:pt>
                <c:pt idx="5">
                  <c:v>116</c:v>
                </c:pt>
                <c:pt idx="6">
                  <c:v>173</c:v>
                </c:pt>
                <c:pt idx="7">
                  <c:v>150</c:v>
                </c:pt>
                <c:pt idx="8">
                  <c:v>-35</c:v>
                </c:pt>
                <c:pt idx="9">
                  <c:v>-32</c:v>
                </c:pt>
                <c:pt idx="10">
                  <c:v>511</c:v>
                </c:pt>
                <c:pt idx="13">
                  <c:v>-14</c:v>
                </c:pt>
                <c:pt idx="14">
                  <c:v>-11</c:v>
                </c:pt>
                <c:pt idx="15">
                  <c:v>-57</c:v>
                </c:pt>
                <c:pt idx="16">
                  <c:v>125</c:v>
                </c:pt>
                <c:pt idx="17">
                  <c:v>112</c:v>
                </c:pt>
                <c:pt idx="18">
                  <c:v>10</c:v>
                </c:pt>
                <c:pt idx="19">
                  <c:v>-29</c:v>
                </c:pt>
                <c:pt idx="20">
                  <c:v>-100</c:v>
                </c:pt>
                <c:pt idx="21">
                  <c:v>23</c:v>
                </c:pt>
                <c:pt idx="24">
                  <c:v>16</c:v>
                </c:pt>
                <c:pt idx="25">
                  <c:v>12</c:v>
                </c:pt>
                <c:pt idx="26">
                  <c:v>6</c:v>
                </c:pt>
                <c:pt idx="27">
                  <c:v>24</c:v>
                </c:pt>
                <c:pt idx="28">
                  <c:v>-1</c:v>
                </c:pt>
                <c:pt idx="29">
                  <c:v>47</c:v>
                </c:pt>
                <c:pt idx="30">
                  <c:v>32</c:v>
                </c:pt>
                <c:pt idx="31">
                  <c:v>80</c:v>
                </c:pt>
                <c:pt idx="32">
                  <c:v>-4</c:v>
                </c:pt>
                <c:pt idx="33">
                  <c:v>-78</c:v>
                </c:pt>
                <c:pt idx="34">
                  <c:v>-22</c:v>
                </c:pt>
                <c:pt idx="35">
                  <c:v>-41</c:v>
                </c:pt>
                <c:pt idx="36">
                  <c:v>38</c:v>
                </c:pt>
                <c:pt idx="37">
                  <c:v>-107</c:v>
                </c:pt>
                <c:pt idx="38">
                  <c:v>48</c:v>
                </c:pt>
                <c:pt idx="39">
                  <c:v>-44</c:v>
                </c:pt>
                <c:pt idx="40">
                  <c:v>24</c:v>
                </c:pt>
                <c:pt idx="41">
                  <c:v>-72</c:v>
                </c:pt>
                <c:pt idx="42">
                  <c:v>-36</c:v>
                </c:pt>
                <c:pt idx="43">
                  <c:v>-36</c:v>
                </c:pt>
                <c:pt idx="44">
                  <c:v>36</c:v>
                </c:pt>
                <c:pt idx="45">
                  <c:v>91</c:v>
                </c:pt>
                <c:pt idx="46">
                  <c:v>27</c:v>
                </c:pt>
                <c:pt idx="47">
                  <c:v>63</c:v>
                </c:pt>
                <c:pt idx="48">
                  <c:v>-43</c:v>
                </c:pt>
                <c:pt idx="49">
                  <c:v>3</c:v>
                </c:pt>
                <c:pt idx="50">
                  <c:v>-34</c:v>
                </c:pt>
                <c:pt idx="51">
                  <c:v>11</c:v>
                </c:pt>
                <c:pt idx="52">
                  <c:v>0</c:v>
                </c:pt>
              </c:numCache>
            </c:numRef>
          </c:val>
        </c:ser>
        <c:dLbls>
          <c:showLegendKey val="0"/>
          <c:showVal val="0"/>
          <c:showCatName val="0"/>
          <c:showSerName val="0"/>
          <c:showPercent val="0"/>
          <c:showBubbleSize val="0"/>
        </c:dLbls>
        <c:gapWidth val="50"/>
        <c:overlap val="100"/>
        <c:axId val="535722656"/>
        <c:axId val="535729936"/>
      </c:barChart>
      <c:catAx>
        <c:axId val="535722656"/>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5729936"/>
        <c:crosses val="autoZero"/>
        <c:auto val="1"/>
        <c:lblAlgn val="ctr"/>
        <c:lblOffset val="100"/>
        <c:noMultiLvlLbl val="0"/>
      </c:catAx>
      <c:valAx>
        <c:axId val="5357299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722656"/>
        <c:crosses val="autoZero"/>
        <c:crossBetween val="between"/>
      </c:valAx>
      <c:spPr>
        <a:noFill/>
        <a:ln>
          <a:noFill/>
        </a:ln>
        <a:effectLst/>
      </c:spPr>
    </c:plotArea>
    <c:legend>
      <c:legendPos val="b"/>
      <c:layout>
        <c:manualLayout>
          <c:xMode val="edge"/>
          <c:yMode val="edge"/>
          <c:x val="0.58021400508853227"/>
          <c:y val="4.7341562410799443E-5"/>
          <c:w val="0.41916876098536038"/>
          <c:h val="7.69883155468510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People</a:t>
            </a:r>
            <a:r>
              <a:rPr lang="en-AU" baseline="0"/>
              <a:t> Employed in Victoria by Industry </a:t>
            </a:r>
          </a:p>
          <a:p>
            <a:pPr>
              <a:defRPr/>
            </a:pPr>
            <a:r>
              <a:rPr lang="en-AU" sz="1050" baseline="0"/>
              <a:t>Source: ABS Labour Force </a:t>
            </a:r>
            <a:endParaRPr lang="en-AU" sz="1050"/>
          </a:p>
        </c:rich>
      </c:tx>
      <c:layout>
        <c:manualLayout>
          <c:xMode val="edge"/>
          <c:yMode val="edge"/>
          <c:x val="0.3912047954888286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90854237843334E-2"/>
          <c:y val="7.1798772132301847E-2"/>
          <c:w val="0.91195115123559034"/>
          <c:h val="0.6868239762712588"/>
        </c:manualLayout>
      </c:layout>
      <c:lineChart>
        <c:grouping val="standard"/>
        <c:varyColors val="0"/>
        <c:ser>
          <c:idx val="0"/>
          <c:order val="0"/>
          <c:tx>
            <c:strRef>
              <c:f>Sheet1!$A$3</c:f>
              <c:strCache>
                <c:ptCount val="1"/>
                <c:pt idx="0">
                  <c:v>     Agriculture, Forestry and Fishing</c:v>
                </c:pt>
              </c:strCache>
            </c:strRef>
          </c:tx>
          <c:spPr>
            <a:ln w="28575" cap="rnd">
              <a:solidFill>
                <a:schemeClr val="accent1"/>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Sheet1!$B$3:$CZ$3</c:f>
              <c:numCache>
                <c:formatCode>0.0</c:formatCode>
                <c:ptCount val="103"/>
                <c:pt idx="0">
                  <c:v>92.3</c:v>
                </c:pt>
                <c:pt idx="1">
                  <c:v>109.6</c:v>
                </c:pt>
                <c:pt idx="2">
                  <c:v>110.5</c:v>
                </c:pt>
                <c:pt idx="3">
                  <c:v>93.8</c:v>
                </c:pt>
                <c:pt idx="4">
                  <c:v>93</c:v>
                </c:pt>
                <c:pt idx="5">
                  <c:v>86.4</c:v>
                </c:pt>
                <c:pt idx="6">
                  <c:v>89.4</c:v>
                </c:pt>
                <c:pt idx="7">
                  <c:v>78.8</c:v>
                </c:pt>
                <c:pt idx="8">
                  <c:v>83.8</c:v>
                </c:pt>
                <c:pt idx="9">
                  <c:v>90.7</c:v>
                </c:pt>
                <c:pt idx="10">
                  <c:v>87.6</c:v>
                </c:pt>
                <c:pt idx="11">
                  <c:v>86.9</c:v>
                </c:pt>
                <c:pt idx="12">
                  <c:v>81</c:v>
                </c:pt>
                <c:pt idx="13">
                  <c:v>82.1</c:v>
                </c:pt>
                <c:pt idx="14">
                  <c:v>84</c:v>
                </c:pt>
                <c:pt idx="15">
                  <c:v>83.3</c:v>
                </c:pt>
                <c:pt idx="16">
                  <c:v>87.4</c:v>
                </c:pt>
                <c:pt idx="17">
                  <c:v>86.5</c:v>
                </c:pt>
                <c:pt idx="18">
                  <c:v>97.6</c:v>
                </c:pt>
                <c:pt idx="19">
                  <c:v>93.2</c:v>
                </c:pt>
                <c:pt idx="20">
                  <c:v>90.5</c:v>
                </c:pt>
                <c:pt idx="21">
                  <c:v>98.9</c:v>
                </c:pt>
                <c:pt idx="22">
                  <c:v>106.9</c:v>
                </c:pt>
                <c:pt idx="23">
                  <c:v>98.2</c:v>
                </c:pt>
                <c:pt idx="24">
                  <c:v>82.7</c:v>
                </c:pt>
                <c:pt idx="25">
                  <c:v>81.2</c:v>
                </c:pt>
                <c:pt idx="26">
                  <c:v>97</c:v>
                </c:pt>
                <c:pt idx="27">
                  <c:v>93.3</c:v>
                </c:pt>
                <c:pt idx="28">
                  <c:v>79.099999999999994</c:v>
                </c:pt>
                <c:pt idx="29">
                  <c:v>75.2</c:v>
                </c:pt>
                <c:pt idx="30">
                  <c:v>84.2</c:v>
                </c:pt>
                <c:pt idx="31">
                  <c:v>83.4</c:v>
                </c:pt>
                <c:pt idx="32">
                  <c:v>79.7</c:v>
                </c:pt>
                <c:pt idx="33">
                  <c:v>81.900000000000006</c:v>
                </c:pt>
                <c:pt idx="34">
                  <c:v>79</c:v>
                </c:pt>
                <c:pt idx="35">
                  <c:v>88.2</c:v>
                </c:pt>
                <c:pt idx="36">
                  <c:v>88.1</c:v>
                </c:pt>
                <c:pt idx="37">
                  <c:v>87.8</c:v>
                </c:pt>
                <c:pt idx="38">
                  <c:v>88.2</c:v>
                </c:pt>
                <c:pt idx="39">
                  <c:v>88.8</c:v>
                </c:pt>
                <c:pt idx="40">
                  <c:v>89.6</c:v>
                </c:pt>
                <c:pt idx="41">
                  <c:v>91.9</c:v>
                </c:pt>
                <c:pt idx="42">
                  <c:v>96.4</c:v>
                </c:pt>
                <c:pt idx="43">
                  <c:v>98.4</c:v>
                </c:pt>
                <c:pt idx="44">
                  <c:v>81.2</c:v>
                </c:pt>
                <c:pt idx="45">
                  <c:v>66.3</c:v>
                </c:pt>
                <c:pt idx="46">
                  <c:v>71.8</c:v>
                </c:pt>
                <c:pt idx="47">
                  <c:v>74.900000000000006</c:v>
                </c:pt>
                <c:pt idx="48">
                  <c:v>77.3</c:v>
                </c:pt>
                <c:pt idx="49">
                  <c:v>80.5</c:v>
                </c:pt>
                <c:pt idx="50">
                  <c:v>82.2</c:v>
                </c:pt>
                <c:pt idx="51">
                  <c:v>81.3</c:v>
                </c:pt>
                <c:pt idx="52">
                  <c:v>80.2</c:v>
                </c:pt>
                <c:pt idx="53">
                  <c:v>81.3</c:v>
                </c:pt>
                <c:pt idx="54">
                  <c:v>78.900000000000006</c:v>
                </c:pt>
                <c:pt idx="55">
                  <c:v>81.7</c:v>
                </c:pt>
                <c:pt idx="56">
                  <c:v>74.7</c:v>
                </c:pt>
                <c:pt idx="57">
                  <c:v>68.3</c:v>
                </c:pt>
                <c:pt idx="58">
                  <c:v>70.599999999999994</c:v>
                </c:pt>
                <c:pt idx="59">
                  <c:v>75.3</c:v>
                </c:pt>
                <c:pt idx="60">
                  <c:v>71.7</c:v>
                </c:pt>
                <c:pt idx="61">
                  <c:v>73.2</c:v>
                </c:pt>
                <c:pt idx="62">
                  <c:v>78.3</c:v>
                </c:pt>
                <c:pt idx="63">
                  <c:v>70.8</c:v>
                </c:pt>
                <c:pt idx="64">
                  <c:v>76.8</c:v>
                </c:pt>
                <c:pt idx="65">
                  <c:v>78.599999999999994</c:v>
                </c:pt>
                <c:pt idx="66">
                  <c:v>78.900000000000006</c:v>
                </c:pt>
                <c:pt idx="67">
                  <c:v>71</c:v>
                </c:pt>
                <c:pt idx="68">
                  <c:v>83.6</c:v>
                </c:pt>
                <c:pt idx="69">
                  <c:v>82.2</c:v>
                </c:pt>
                <c:pt idx="70">
                  <c:v>79.2</c:v>
                </c:pt>
                <c:pt idx="71">
                  <c:v>75.3</c:v>
                </c:pt>
                <c:pt idx="72">
                  <c:v>81.400000000000006</c:v>
                </c:pt>
                <c:pt idx="73">
                  <c:v>83.2</c:v>
                </c:pt>
                <c:pt idx="74">
                  <c:v>75.2</c:v>
                </c:pt>
                <c:pt idx="75">
                  <c:v>75.7</c:v>
                </c:pt>
                <c:pt idx="76">
                  <c:v>77.900000000000006</c:v>
                </c:pt>
                <c:pt idx="77">
                  <c:v>75.099999999999994</c:v>
                </c:pt>
                <c:pt idx="78">
                  <c:v>74.2</c:v>
                </c:pt>
                <c:pt idx="79">
                  <c:v>72.3</c:v>
                </c:pt>
                <c:pt idx="80">
                  <c:v>62.3</c:v>
                </c:pt>
                <c:pt idx="81">
                  <c:v>79.599999999999994</c:v>
                </c:pt>
                <c:pt idx="82">
                  <c:v>76.8</c:v>
                </c:pt>
                <c:pt idx="83">
                  <c:v>81.599999999999994</c:v>
                </c:pt>
                <c:pt idx="84">
                  <c:v>73.900000000000006</c:v>
                </c:pt>
                <c:pt idx="85">
                  <c:v>70.8</c:v>
                </c:pt>
                <c:pt idx="86">
                  <c:v>69.3</c:v>
                </c:pt>
                <c:pt idx="87">
                  <c:v>71.900000000000006</c:v>
                </c:pt>
                <c:pt idx="88">
                  <c:v>79</c:v>
                </c:pt>
                <c:pt idx="89">
                  <c:v>92.3</c:v>
                </c:pt>
                <c:pt idx="90">
                  <c:v>95.9</c:v>
                </c:pt>
                <c:pt idx="91">
                  <c:v>88.3</c:v>
                </c:pt>
                <c:pt idx="92">
                  <c:v>92.5</c:v>
                </c:pt>
                <c:pt idx="93">
                  <c:v>82.1</c:v>
                </c:pt>
                <c:pt idx="94">
                  <c:v>89.8</c:v>
                </c:pt>
                <c:pt idx="95">
                  <c:v>74.5</c:v>
                </c:pt>
                <c:pt idx="96">
                  <c:v>91.2</c:v>
                </c:pt>
                <c:pt idx="97">
                  <c:v>100.1</c:v>
                </c:pt>
                <c:pt idx="98">
                  <c:v>92.6</c:v>
                </c:pt>
                <c:pt idx="99">
                  <c:v>99.1</c:v>
                </c:pt>
                <c:pt idx="100">
                  <c:v>86</c:v>
                </c:pt>
                <c:pt idx="101" formatCode="General">
                  <c:v>88.6</c:v>
                </c:pt>
                <c:pt idx="102" formatCode="General">
                  <c:v>96.5</c:v>
                </c:pt>
              </c:numCache>
            </c:numRef>
          </c:val>
          <c:smooth val="0"/>
        </c:ser>
        <c:ser>
          <c:idx val="1"/>
          <c:order val="1"/>
          <c:tx>
            <c:strRef>
              <c:f>Sheet1!$A$4</c:f>
              <c:strCache>
                <c:ptCount val="1"/>
                <c:pt idx="0">
                  <c:v>     Mining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Sheet1!$B$4:$CZ$4</c:f>
              <c:numCache>
                <c:formatCode>0.0</c:formatCode>
                <c:ptCount val="103"/>
                <c:pt idx="0">
                  <c:v>4</c:v>
                </c:pt>
                <c:pt idx="1">
                  <c:v>3.5</c:v>
                </c:pt>
                <c:pt idx="2">
                  <c:v>5.0999999999999996</c:v>
                </c:pt>
                <c:pt idx="3">
                  <c:v>5.3</c:v>
                </c:pt>
                <c:pt idx="4">
                  <c:v>6.7</c:v>
                </c:pt>
                <c:pt idx="5">
                  <c:v>5.2</c:v>
                </c:pt>
                <c:pt idx="6">
                  <c:v>5.7</c:v>
                </c:pt>
                <c:pt idx="7">
                  <c:v>4.0999999999999996</c:v>
                </c:pt>
                <c:pt idx="8">
                  <c:v>3.4</c:v>
                </c:pt>
                <c:pt idx="9">
                  <c:v>6.8</c:v>
                </c:pt>
                <c:pt idx="10">
                  <c:v>8.4</c:v>
                </c:pt>
                <c:pt idx="11">
                  <c:v>6.5</c:v>
                </c:pt>
                <c:pt idx="12">
                  <c:v>6.4</c:v>
                </c:pt>
                <c:pt idx="13">
                  <c:v>5</c:v>
                </c:pt>
                <c:pt idx="14">
                  <c:v>5.4</c:v>
                </c:pt>
                <c:pt idx="15">
                  <c:v>7.5</c:v>
                </c:pt>
                <c:pt idx="16">
                  <c:v>6</c:v>
                </c:pt>
                <c:pt idx="17">
                  <c:v>4.5</c:v>
                </c:pt>
                <c:pt idx="18">
                  <c:v>3.4</c:v>
                </c:pt>
                <c:pt idx="19">
                  <c:v>4.2</c:v>
                </c:pt>
                <c:pt idx="20">
                  <c:v>3.6</c:v>
                </c:pt>
                <c:pt idx="21">
                  <c:v>5</c:v>
                </c:pt>
                <c:pt idx="22">
                  <c:v>3.6</c:v>
                </c:pt>
                <c:pt idx="23">
                  <c:v>3</c:v>
                </c:pt>
                <c:pt idx="24">
                  <c:v>2.5</c:v>
                </c:pt>
                <c:pt idx="25">
                  <c:v>3.5</c:v>
                </c:pt>
                <c:pt idx="26">
                  <c:v>3.3</c:v>
                </c:pt>
                <c:pt idx="27">
                  <c:v>3.9</c:v>
                </c:pt>
                <c:pt idx="28">
                  <c:v>3.1</c:v>
                </c:pt>
                <c:pt idx="29">
                  <c:v>5.9</c:v>
                </c:pt>
                <c:pt idx="30">
                  <c:v>4</c:v>
                </c:pt>
                <c:pt idx="31">
                  <c:v>3.6</c:v>
                </c:pt>
                <c:pt idx="32">
                  <c:v>3.5</c:v>
                </c:pt>
                <c:pt idx="33">
                  <c:v>4.4000000000000004</c:v>
                </c:pt>
                <c:pt idx="34">
                  <c:v>6.7</c:v>
                </c:pt>
                <c:pt idx="35">
                  <c:v>9.5</c:v>
                </c:pt>
                <c:pt idx="36">
                  <c:v>7.4</c:v>
                </c:pt>
                <c:pt idx="37">
                  <c:v>5.9</c:v>
                </c:pt>
                <c:pt idx="38">
                  <c:v>5.3</c:v>
                </c:pt>
                <c:pt idx="39">
                  <c:v>4</c:v>
                </c:pt>
                <c:pt idx="40">
                  <c:v>3.9</c:v>
                </c:pt>
                <c:pt idx="41">
                  <c:v>3.7</c:v>
                </c:pt>
                <c:pt idx="42">
                  <c:v>5.0999999999999996</c:v>
                </c:pt>
                <c:pt idx="43">
                  <c:v>4.9000000000000004</c:v>
                </c:pt>
                <c:pt idx="44">
                  <c:v>6.3</c:v>
                </c:pt>
                <c:pt idx="45">
                  <c:v>8.3000000000000007</c:v>
                </c:pt>
                <c:pt idx="46">
                  <c:v>8.9</c:v>
                </c:pt>
                <c:pt idx="47">
                  <c:v>8.3000000000000007</c:v>
                </c:pt>
                <c:pt idx="48">
                  <c:v>6</c:v>
                </c:pt>
                <c:pt idx="49">
                  <c:v>5.6</c:v>
                </c:pt>
                <c:pt idx="50">
                  <c:v>7.2</c:v>
                </c:pt>
                <c:pt idx="51">
                  <c:v>8.3000000000000007</c:v>
                </c:pt>
                <c:pt idx="52">
                  <c:v>5.3</c:v>
                </c:pt>
                <c:pt idx="53">
                  <c:v>6.5</c:v>
                </c:pt>
                <c:pt idx="54">
                  <c:v>5.8</c:v>
                </c:pt>
                <c:pt idx="55">
                  <c:v>6.8</c:v>
                </c:pt>
                <c:pt idx="56">
                  <c:v>8.5</c:v>
                </c:pt>
                <c:pt idx="57">
                  <c:v>9.5</c:v>
                </c:pt>
                <c:pt idx="58">
                  <c:v>8.1</c:v>
                </c:pt>
                <c:pt idx="59">
                  <c:v>7</c:v>
                </c:pt>
                <c:pt idx="60">
                  <c:v>9.4</c:v>
                </c:pt>
                <c:pt idx="61">
                  <c:v>8.8000000000000007</c:v>
                </c:pt>
                <c:pt idx="62">
                  <c:v>5</c:v>
                </c:pt>
                <c:pt idx="63">
                  <c:v>10.6</c:v>
                </c:pt>
                <c:pt idx="64">
                  <c:v>12.3</c:v>
                </c:pt>
                <c:pt idx="65">
                  <c:v>8.1</c:v>
                </c:pt>
                <c:pt idx="66">
                  <c:v>8.8000000000000007</c:v>
                </c:pt>
                <c:pt idx="67">
                  <c:v>7</c:v>
                </c:pt>
                <c:pt idx="68">
                  <c:v>9.8000000000000007</c:v>
                </c:pt>
                <c:pt idx="69">
                  <c:v>11</c:v>
                </c:pt>
                <c:pt idx="70">
                  <c:v>11.5</c:v>
                </c:pt>
                <c:pt idx="71">
                  <c:v>9.6</c:v>
                </c:pt>
                <c:pt idx="72">
                  <c:v>12.5</c:v>
                </c:pt>
                <c:pt idx="73">
                  <c:v>11.5</c:v>
                </c:pt>
                <c:pt idx="74">
                  <c:v>11.4</c:v>
                </c:pt>
                <c:pt idx="75">
                  <c:v>11</c:v>
                </c:pt>
                <c:pt idx="76">
                  <c:v>10.4</c:v>
                </c:pt>
                <c:pt idx="77">
                  <c:v>8.9</c:v>
                </c:pt>
                <c:pt idx="78">
                  <c:v>11.1</c:v>
                </c:pt>
                <c:pt idx="79">
                  <c:v>8</c:v>
                </c:pt>
                <c:pt idx="80">
                  <c:v>11.7</c:v>
                </c:pt>
                <c:pt idx="81">
                  <c:v>13.8</c:v>
                </c:pt>
                <c:pt idx="82">
                  <c:v>13.4</c:v>
                </c:pt>
                <c:pt idx="83">
                  <c:v>11.4</c:v>
                </c:pt>
                <c:pt idx="84">
                  <c:v>12</c:v>
                </c:pt>
                <c:pt idx="85">
                  <c:v>10.3</c:v>
                </c:pt>
                <c:pt idx="86">
                  <c:v>14.5</c:v>
                </c:pt>
                <c:pt idx="87">
                  <c:v>18.3</c:v>
                </c:pt>
                <c:pt idx="88">
                  <c:v>11.9</c:v>
                </c:pt>
                <c:pt idx="89">
                  <c:v>12.8</c:v>
                </c:pt>
                <c:pt idx="90">
                  <c:v>12.6</c:v>
                </c:pt>
                <c:pt idx="91">
                  <c:v>16.399999999999999</c:v>
                </c:pt>
                <c:pt idx="92">
                  <c:v>15.5</c:v>
                </c:pt>
                <c:pt idx="93">
                  <c:v>9.3000000000000007</c:v>
                </c:pt>
                <c:pt idx="94">
                  <c:v>9.6</c:v>
                </c:pt>
                <c:pt idx="95">
                  <c:v>10.4</c:v>
                </c:pt>
                <c:pt idx="96">
                  <c:v>8.8000000000000007</c:v>
                </c:pt>
                <c:pt idx="97">
                  <c:v>7</c:v>
                </c:pt>
                <c:pt idx="98">
                  <c:v>9.8000000000000007</c:v>
                </c:pt>
                <c:pt idx="99">
                  <c:v>10.1</c:v>
                </c:pt>
                <c:pt idx="100">
                  <c:v>11</c:v>
                </c:pt>
                <c:pt idx="101" formatCode="General">
                  <c:v>11</c:v>
                </c:pt>
                <c:pt idx="102" formatCode="General">
                  <c:v>12.2</c:v>
                </c:pt>
              </c:numCache>
            </c:numRef>
          </c:val>
          <c:smooth val="0"/>
        </c:ser>
        <c:ser>
          <c:idx val="2"/>
          <c:order val="2"/>
          <c:tx>
            <c:strRef>
              <c:f>Sheet1!$A$5</c:f>
              <c:strCache>
                <c:ptCount val="1"/>
                <c:pt idx="0">
                  <c:v>     Manufacturing</c:v>
                </c:pt>
              </c:strCache>
            </c:strRef>
          </c:tx>
          <c:spPr>
            <a:ln w="28575" cap="rnd">
              <a:solidFill>
                <a:schemeClr val="accent3"/>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Sheet1!$B$5:$CZ$5</c:f>
              <c:numCache>
                <c:formatCode>0.0</c:formatCode>
                <c:ptCount val="103"/>
                <c:pt idx="0">
                  <c:v>346.5</c:v>
                </c:pt>
                <c:pt idx="1">
                  <c:v>347.9</c:v>
                </c:pt>
                <c:pt idx="2">
                  <c:v>326.39999999999998</c:v>
                </c:pt>
                <c:pt idx="3">
                  <c:v>337.9</c:v>
                </c:pt>
                <c:pt idx="4">
                  <c:v>333.2</c:v>
                </c:pt>
                <c:pt idx="5">
                  <c:v>337.9</c:v>
                </c:pt>
                <c:pt idx="6">
                  <c:v>323.2</c:v>
                </c:pt>
                <c:pt idx="7">
                  <c:v>323.10000000000002</c:v>
                </c:pt>
                <c:pt idx="8">
                  <c:v>317.60000000000002</c:v>
                </c:pt>
                <c:pt idx="9">
                  <c:v>323.89999999999998</c:v>
                </c:pt>
                <c:pt idx="10">
                  <c:v>322.3</c:v>
                </c:pt>
                <c:pt idx="11">
                  <c:v>324.60000000000002</c:v>
                </c:pt>
                <c:pt idx="12">
                  <c:v>326.89999999999998</c:v>
                </c:pt>
                <c:pt idx="13">
                  <c:v>343.6</c:v>
                </c:pt>
                <c:pt idx="14">
                  <c:v>340.4</c:v>
                </c:pt>
                <c:pt idx="15">
                  <c:v>324.5</c:v>
                </c:pt>
                <c:pt idx="16">
                  <c:v>335.8</c:v>
                </c:pt>
                <c:pt idx="17">
                  <c:v>347.8</c:v>
                </c:pt>
                <c:pt idx="18">
                  <c:v>338</c:v>
                </c:pt>
                <c:pt idx="19">
                  <c:v>349.6</c:v>
                </c:pt>
                <c:pt idx="20">
                  <c:v>350.7</c:v>
                </c:pt>
                <c:pt idx="21">
                  <c:v>347.3</c:v>
                </c:pt>
                <c:pt idx="22">
                  <c:v>341.7</c:v>
                </c:pt>
                <c:pt idx="23">
                  <c:v>337.6</c:v>
                </c:pt>
                <c:pt idx="24">
                  <c:v>331.6</c:v>
                </c:pt>
                <c:pt idx="25">
                  <c:v>345.4</c:v>
                </c:pt>
                <c:pt idx="26">
                  <c:v>333.2</c:v>
                </c:pt>
                <c:pt idx="27">
                  <c:v>323.60000000000002</c:v>
                </c:pt>
                <c:pt idx="28">
                  <c:v>325</c:v>
                </c:pt>
                <c:pt idx="29">
                  <c:v>315.89999999999998</c:v>
                </c:pt>
                <c:pt idx="30">
                  <c:v>335.6</c:v>
                </c:pt>
                <c:pt idx="31">
                  <c:v>324.2</c:v>
                </c:pt>
                <c:pt idx="32">
                  <c:v>315.3</c:v>
                </c:pt>
                <c:pt idx="33">
                  <c:v>327.8</c:v>
                </c:pt>
                <c:pt idx="34">
                  <c:v>337.8</c:v>
                </c:pt>
                <c:pt idx="35">
                  <c:v>344.7</c:v>
                </c:pt>
                <c:pt idx="36">
                  <c:v>347.4</c:v>
                </c:pt>
                <c:pt idx="37">
                  <c:v>351.3</c:v>
                </c:pt>
                <c:pt idx="38">
                  <c:v>341.8</c:v>
                </c:pt>
                <c:pt idx="39">
                  <c:v>342.2</c:v>
                </c:pt>
                <c:pt idx="40">
                  <c:v>337.5</c:v>
                </c:pt>
                <c:pt idx="41">
                  <c:v>335.2</c:v>
                </c:pt>
                <c:pt idx="42">
                  <c:v>324</c:v>
                </c:pt>
                <c:pt idx="43">
                  <c:v>323</c:v>
                </c:pt>
                <c:pt idx="44">
                  <c:v>331</c:v>
                </c:pt>
                <c:pt idx="45">
                  <c:v>333.2</c:v>
                </c:pt>
                <c:pt idx="46">
                  <c:v>334.4</c:v>
                </c:pt>
                <c:pt idx="47">
                  <c:v>331.7</c:v>
                </c:pt>
                <c:pt idx="48">
                  <c:v>320.3</c:v>
                </c:pt>
                <c:pt idx="49">
                  <c:v>308.2</c:v>
                </c:pt>
                <c:pt idx="50">
                  <c:v>314.10000000000002</c:v>
                </c:pt>
                <c:pt idx="51">
                  <c:v>329.8</c:v>
                </c:pt>
                <c:pt idx="52">
                  <c:v>333.9</c:v>
                </c:pt>
                <c:pt idx="53">
                  <c:v>321.10000000000002</c:v>
                </c:pt>
                <c:pt idx="54">
                  <c:v>325.60000000000002</c:v>
                </c:pt>
                <c:pt idx="55">
                  <c:v>318.60000000000002</c:v>
                </c:pt>
                <c:pt idx="56">
                  <c:v>312.10000000000002</c:v>
                </c:pt>
                <c:pt idx="57">
                  <c:v>323.2</c:v>
                </c:pt>
                <c:pt idx="58">
                  <c:v>329</c:v>
                </c:pt>
                <c:pt idx="59">
                  <c:v>314.3</c:v>
                </c:pt>
                <c:pt idx="60">
                  <c:v>305.3</c:v>
                </c:pt>
                <c:pt idx="61">
                  <c:v>305.2</c:v>
                </c:pt>
                <c:pt idx="62">
                  <c:v>321</c:v>
                </c:pt>
                <c:pt idx="63">
                  <c:v>335.2</c:v>
                </c:pt>
                <c:pt idx="64">
                  <c:v>319.8</c:v>
                </c:pt>
                <c:pt idx="65">
                  <c:v>319.10000000000002</c:v>
                </c:pt>
                <c:pt idx="66">
                  <c:v>326.60000000000002</c:v>
                </c:pt>
                <c:pt idx="67">
                  <c:v>337.2</c:v>
                </c:pt>
                <c:pt idx="68">
                  <c:v>316.8</c:v>
                </c:pt>
                <c:pt idx="69">
                  <c:v>306</c:v>
                </c:pt>
                <c:pt idx="70">
                  <c:v>315.3</c:v>
                </c:pt>
                <c:pt idx="71">
                  <c:v>297.8</c:v>
                </c:pt>
                <c:pt idx="72">
                  <c:v>304.3</c:v>
                </c:pt>
                <c:pt idx="73">
                  <c:v>293.3</c:v>
                </c:pt>
                <c:pt idx="74">
                  <c:v>309.7</c:v>
                </c:pt>
                <c:pt idx="75">
                  <c:v>289.39999999999998</c:v>
                </c:pt>
                <c:pt idx="76">
                  <c:v>299.5</c:v>
                </c:pt>
                <c:pt idx="77">
                  <c:v>304.7</c:v>
                </c:pt>
                <c:pt idx="78">
                  <c:v>301.8</c:v>
                </c:pt>
                <c:pt idx="79">
                  <c:v>300.60000000000002</c:v>
                </c:pt>
                <c:pt idx="80">
                  <c:v>287.60000000000002</c:v>
                </c:pt>
                <c:pt idx="81">
                  <c:v>290.2</c:v>
                </c:pt>
                <c:pt idx="82">
                  <c:v>304.3</c:v>
                </c:pt>
                <c:pt idx="83">
                  <c:v>307.2</c:v>
                </c:pt>
                <c:pt idx="84">
                  <c:v>303.39999999999998</c:v>
                </c:pt>
                <c:pt idx="85">
                  <c:v>278.7</c:v>
                </c:pt>
                <c:pt idx="86">
                  <c:v>288.5</c:v>
                </c:pt>
                <c:pt idx="87">
                  <c:v>285.5</c:v>
                </c:pt>
                <c:pt idx="88">
                  <c:v>281.89999999999998</c:v>
                </c:pt>
                <c:pt idx="89">
                  <c:v>269.3</c:v>
                </c:pt>
                <c:pt idx="90">
                  <c:v>278.60000000000002</c:v>
                </c:pt>
                <c:pt idx="91">
                  <c:v>273.60000000000002</c:v>
                </c:pt>
                <c:pt idx="92">
                  <c:v>287.10000000000002</c:v>
                </c:pt>
                <c:pt idx="93">
                  <c:v>285.7</c:v>
                </c:pt>
                <c:pt idx="94">
                  <c:v>280.89999999999998</c:v>
                </c:pt>
                <c:pt idx="95">
                  <c:v>287.5</c:v>
                </c:pt>
                <c:pt idx="96">
                  <c:v>259.7</c:v>
                </c:pt>
                <c:pt idx="97">
                  <c:v>262.60000000000002</c:v>
                </c:pt>
                <c:pt idx="98">
                  <c:v>270.5</c:v>
                </c:pt>
                <c:pt idx="99">
                  <c:v>274.39999999999998</c:v>
                </c:pt>
                <c:pt idx="100">
                  <c:v>274.2</c:v>
                </c:pt>
                <c:pt idx="101" formatCode="General">
                  <c:v>305.10000000000002</c:v>
                </c:pt>
                <c:pt idx="102" formatCode="General">
                  <c:v>278.5</c:v>
                </c:pt>
              </c:numCache>
            </c:numRef>
          </c:val>
          <c:smooth val="0"/>
        </c:ser>
        <c:ser>
          <c:idx val="3"/>
          <c:order val="3"/>
          <c:tx>
            <c:strRef>
              <c:f>Sheet1!$A$6</c:f>
              <c:strCache>
                <c:ptCount val="1"/>
                <c:pt idx="0">
                  <c:v>     Electricity, Gas, Water and Waste Services</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Sheet1!$B$6:$CZ$6</c:f>
              <c:numCache>
                <c:formatCode>0.0</c:formatCode>
                <c:ptCount val="103"/>
                <c:pt idx="0">
                  <c:v>28.6</c:v>
                </c:pt>
                <c:pt idx="1">
                  <c:v>28.7</c:v>
                </c:pt>
                <c:pt idx="2">
                  <c:v>26.9</c:v>
                </c:pt>
                <c:pt idx="3">
                  <c:v>29</c:v>
                </c:pt>
                <c:pt idx="4">
                  <c:v>25.1</c:v>
                </c:pt>
                <c:pt idx="5">
                  <c:v>23.1</c:v>
                </c:pt>
                <c:pt idx="6">
                  <c:v>23</c:v>
                </c:pt>
                <c:pt idx="7">
                  <c:v>24.7</c:v>
                </c:pt>
                <c:pt idx="8">
                  <c:v>25.8</c:v>
                </c:pt>
                <c:pt idx="9">
                  <c:v>24.7</c:v>
                </c:pt>
                <c:pt idx="10">
                  <c:v>24.7</c:v>
                </c:pt>
                <c:pt idx="11">
                  <c:v>26.1</c:v>
                </c:pt>
                <c:pt idx="12">
                  <c:v>24</c:v>
                </c:pt>
                <c:pt idx="13">
                  <c:v>22</c:v>
                </c:pt>
                <c:pt idx="14">
                  <c:v>19.600000000000001</c:v>
                </c:pt>
                <c:pt idx="15">
                  <c:v>25.2</c:v>
                </c:pt>
                <c:pt idx="16">
                  <c:v>24.5</c:v>
                </c:pt>
                <c:pt idx="17">
                  <c:v>21.9</c:v>
                </c:pt>
                <c:pt idx="18">
                  <c:v>19.2</c:v>
                </c:pt>
                <c:pt idx="19">
                  <c:v>18.5</c:v>
                </c:pt>
                <c:pt idx="20">
                  <c:v>16.399999999999999</c:v>
                </c:pt>
                <c:pt idx="21">
                  <c:v>15.6</c:v>
                </c:pt>
                <c:pt idx="22">
                  <c:v>16.2</c:v>
                </c:pt>
                <c:pt idx="23">
                  <c:v>17.8</c:v>
                </c:pt>
                <c:pt idx="24">
                  <c:v>18.399999999999999</c:v>
                </c:pt>
                <c:pt idx="25">
                  <c:v>15.1</c:v>
                </c:pt>
                <c:pt idx="26">
                  <c:v>16.5</c:v>
                </c:pt>
                <c:pt idx="27">
                  <c:v>19.2</c:v>
                </c:pt>
                <c:pt idx="28">
                  <c:v>21</c:v>
                </c:pt>
                <c:pt idx="29">
                  <c:v>18.600000000000001</c:v>
                </c:pt>
                <c:pt idx="30">
                  <c:v>19.8</c:v>
                </c:pt>
                <c:pt idx="31">
                  <c:v>22.3</c:v>
                </c:pt>
                <c:pt idx="32">
                  <c:v>20.6</c:v>
                </c:pt>
                <c:pt idx="33">
                  <c:v>16.2</c:v>
                </c:pt>
                <c:pt idx="34">
                  <c:v>17.5</c:v>
                </c:pt>
                <c:pt idx="35">
                  <c:v>20.7</c:v>
                </c:pt>
                <c:pt idx="36">
                  <c:v>16.7</c:v>
                </c:pt>
                <c:pt idx="37">
                  <c:v>18.3</c:v>
                </c:pt>
                <c:pt idx="38">
                  <c:v>18.899999999999999</c:v>
                </c:pt>
                <c:pt idx="39">
                  <c:v>20.5</c:v>
                </c:pt>
                <c:pt idx="40">
                  <c:v>23.5</c:v>
                </c:pt>
                <c:pt idx="41">
                  <c:v>19</c:v>
                </c:pt>
                <c:pt idx="42">
                  <c:v>18.399999999999999</c:v>
                </c:pt>
                <c:pt idx="43">
                  <c:v>18.600000000000001</c:v>
                </c:pt>
                <c:pt idx="44">
                  <c:v>20.399999999999999</c:v>
                </c:pt>
                <c:pt idx="45">
                  <c:v>20</c:v>
                </c:pt>
                <c:pt idx="46">
                  <c:v>20.399999999999999</c:v>
                </c:pt>
                <c:pt idx="47">
                  <c:v>20</c:v>
                </c:pt>
                <c:pt idx="48">
                  <c:v>24.2</c:v>
                </c:pt>
                <c:pt idx="49">
                  <c:v>19.100000000000001</c:v>
                </c:pt>
                <c:pt idx="50">
                  <c:v>18.399999999999999</c:v>
                </c:pt>
                <c:pt idx="51">
                  <c:v>18.899999999999999</c:v>
                </c:pt>
                <c:pt idx="52">
                  <c:v>21.6</c:v>
                </c:pt>
                <c:pt idx="53">
                  <c:v>22.1</c:v>
                </c:pt>
                <c:pt idx="54">
                  <c:v>24</c:v>
                </c:pt>
                <c:pt idx="55">
                  <c:v>26.1</c:v>
                </c:pt>
                <c:pt idx="56">
                  <c:v>25.2</c:v>
                </c:pt>
                <c:pt idx="57">
                  <c:v>24</c:v>
                </c:pt>
                <c:pt idx="58">
                  <c:v>24.9</c:v>
                </c:pt>
                <c:pt idx="59">
                  <c:v>25.7</c:v>
                </c:pt>
                <c:pt idx="60">
                  <c:v>24.3</c:v>
                </c:pt>
                <c:pt idx="61">
                  <c:v>26.1</c:v>
                </c:pt>
                <c:pt idx="62">
                  <c:v>26.5</c:v>
                </c:pt>
                <c:pt idx="63">
                  <c:v>27.1</c:v>
                </c:pt>
                <c:pt idx="64">
                  <c:v>25.8</c:v>
                </c:pt>
                <c:pt idx="65">
                  <c:v>25.9</c:v>
                </c:pt>
                <c:pt idx="66">
                  <c:v>29.3</c:v>
                </c:pt>
                <c:pt idx="67">
                  <c:v>30.7</c:v>
                </c:pt>
                <c:pt idx="68">
                  <c:v>28</c:v>
                </c:pt>
                <c:pt idx="69">
                  <c:v>29.3</c:v>
                </c:pt>
                <c:pt idx="70">
                  <c:v>35.4</c:v>
                </c:pt>
                <c:pt idx="71">
                  <c:v>32.4</c:v>
                </c:pt>
                <c:pt idx="72">
                  <c:v>28.2</c:v>
                </c:pt>
                <c:pt idx="73">
                  <c:v>29.1</c:v>
                </c:pt>
                <c:pt idx="74">
                  <c:v>30.4</c:v>
                </c:pt>
                <c:pt idx="75">
                  <c:v>31</c:v>
                </c:pt>
                <c:pt idx="76">
                  <c:v>29.2</c:v>
                </c:pt>
                <c:pt idx="77">
                  <c:v>32</c:v>
                </c:pt>
                <c:pt idx="78">
                  <c:v>34.1</c:v>
                </c:pt>
                <c:pt idx="79">
                  <c:v>34.6</c:v>
                </c:pt>
                <c:pt idx="80">
                  <c:v>35.299999999999997</c:v>
                </c:pt>
                <c:pt idx="81">
                  <c:v>39.6</c:v>
                </c:pt>
                <c:pt idx="82">
                  <c:v>35.700000000000003</c:v>
                </c:pt>
                <c:pt idx="83">
                  <c:v>39.200000000000003</c:v>
                </c:pt>
                <c:pt idx="84">
                  <c:v>35.200000000000003</c:v>
                </c:pt>
                <c:pt idx="85">
                  <c:v>33.299999999999997</c:v>
                </c:pt>
                <c:pt idx="86">
                  <c:v>32.200000000000003</c:v>
                </c:pt>
                <c:pt idx="87">
                  <c:v>34.1</c:v>
                </c:pt>
                <c:pt idx="88">
                  <c:v>32.299999999999997</c:v>
                </c:pt>
                <c:pt idx="89">
                  <c:v>37.700000000000003</c:v>
                </c:pt>
                <c:pt idx="90">
                  <c:v>41.7</c:v>
                </c:pt>
                <c:pt idx="91">
                  <c:v>36.6</c:v>
                </c:pt>
                <c:pt idx="92">
                  <c:v>33</c:v>
                </c:pt>
                <c:pt idx="93">
                  <c:v>34.799999999999997</c:v>
                </c:pt>
                <c:pt idx="94">
                  <c:v>36.4</c:v>
                </c:pt>
                <c:pt idx="95">
                  <c:v>38.200000000000003</c:v>
                </c:pt>
                <c:pt idx="96">
                  <c:v>36.700000000000003</c:v>
                </c:pt>
                <c:pt idx="97">
                  <c:v>35.700000000000003</c:v>
                </c:pt>
                <c:pt idx="98">
                  <c:v>38</c:v>
                </c:pt>
                <c:pt idx="99">
                  <c:v>33.700000000000003</c:v>
                </c:pt>
                <c:pt idx="100">
                  <c:v>39.4</c:v>
                </c:pt>
                <c:pt idx="101" formatCode="General">
                  <c:v>33.200000000000003</c:v>
                </c:pt>
                <c:pt idx="102" formatCode="General">
                  <c:v>40</c:v>
                </c:pt>
              </c:numCache>
            </c:numRef>
          </c:val>
          <c:smooth val="0"/>
        </c:ser>
        <c:ser>
          <c:idx val="4"/>
          <c:order val="4"/>
          <c:tx>
            <c:strRef>
              <c:f>Sheet1!$A$7</c:f>
              <c:strCache>
                <c:ptCount val="1"/>
                <c:pt idx="0">
                  <c:v>     Construction</c:v>
                </c:pt>
              </c:strCache>
            </c:strRef>
          </c:tx>
          <c:spPr>
            <a:ln w="28575" cap="rnd">
              <a:solidFill>
                <a:srgbClr val="FF0000"/>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Sheet1!$B$7:$CZ$7</c:f>
              <c:numCache>
                <c:formatCode>0.0</c:formatCode>
                <c:ptCount val="103"/>
                <c:pt idx="0">
                  <c:v>119</c:v>
                </c:pt>
                <c:pt idx="1">
                  <c:v>113.4</c:v>
                </c:pt>
                <c:pt idx="2">
                  <c:v>118.4</c:v>
                </c:pt>
                <c:pt idx="3">
                  <c:v>121.1</c:v>
                </c:pt>
                <c:pt idx="4">
                  <c:v>117.8</c:v>
                </c:pt>
                <c:pt idx="5">
                  <c:v>120</c:v>
                </c:pt>
                <c:pt idx="6">
                  <c:v>121.5</c:v>
                </c:pt>
                <c:pt idx="7">
                  <c:v>116.3</c:v>
                </c:pt>
                <c:pt idx="8">
                  <c:v>111.2</c:v>
                </c:pt>
                <c:pt idx="9">
                  <c:v>117.2</c:v>
                </c:pt>
                <c:pt idx="10">
                  <c:v>119.7</c:v>
                </c:pt>
                <c:pt idx="11">
                  <c:v>115.8</c:v>
                </c:pt>
                <c:pt idx="12">
                  <c:v>117.9</c:v>
                </c:pt>
                <c:pt idx="13">
                  <c:v>127.2</c:v>
                </c:pt>
                <c:pt idx="14">
                  <c:v>132.19999999999999</c:v>
                </c:pt>
                <c:pt idx="15">
                  <c:v>132.1</c:v>
                </c:pt>
                <c:pt idx="16">
                  <c:v>127</c:v>
                </c:pt>
                <c:pt idx="17">
                  <c:v>127.5</c:v>
                </c:pt>
                <c:pt idx="18">
                  <c:v>131.4</c:v>
                </c:pt>
                <c:pt idx="19">
                  <c:v>137.19999999999999</c:v>
                </c:pt>
                <c:pt idx="20">
                  <c:v>133.9</c:v>
                </c:pt>
                <c:pt idx="21">
                  <c:v>133</c:v>
                </c:pt>
                <c:pt idx="22">
                  <c:v>121.1</c:v>
                </c:pt>
                <c:pt idx="23">
                  <c:v>118.7</c:v>
                </c:pt>
                <c:pt idx="24">
                  <c:v>125.7</c:v>
                </c:pt>
                <c:pt idx="25">
                  <c:v>130.9</c:v>
                </c:pt>
                <c:pt idx="26">
                  <c:v>136.69999999999999</c:v>
                </c:pt>
                <c:pt idx="27">
                  <c:v>139.80000000000001</c:v>
                </c:pt>
                <c:pt idx="28">
                  <c:v>142.30000000000001</c:v>
                </c:pt>
                <c:pt idx="29">
                  <c:v>146.1</c:v>
                </c:pt>
                <c:pt idx="30">
                  <c:v>137.30000000000001</c:v>
                </c:pt>
                <c:pt idx="31">
                  <c:v>143.19999999999999</c:v>
                </c:pt>
                <c:pt idx="32">
                  <c:v>148.5</c:v>
                </c:pt>
                <c:pt idx="33">
                  <c:v>152.30000000000001</c:v>
                </c:pt>
                <c:pt idx="34">
                  <c:v>152.4</c:v>
                </c:pt>
                <c:pt idx="35">
                  <c:v>152.9</c:v>
                </c:pt>
                <c:pt idx="36">
                  <c:v>155.1</c:v>
                </c:pt>
                <c:pt idx="37">
                  <c:v>161.4</c:v>
                </c:pt>
                <c:pt idx="38">
                  <c:v>154.5</c:v>
                </c:pt>
                <c:pt idx="39">
                  <c:v>149.30000000000001</c:v>
                </c:pt>
                <c:pt idx="40">
                  <c:v>152.1</c:v>
                </c:pt>
                <c:pt idx="41">
                  <c:v>174.9</c:v>
                </c:pt>
                <c:pt idx="42">
                  <c:v>179.4</c:v>
                </c:pt>
                <c:pt idx="43">
                  <c:v>186.8</c:v>
                </c:pt>
                <c:pt idx="44">
                  <c:v>176.8</c:v>
                </c:pt>
                <c:pt idx="45">
                  <c:v>171</c:v>
                </c:pt>
                <c:pt idx="46">
                  <c:v>180.1</c:v>
                </c:pt>
                <c:pt idx="47">
                  <c:v>176.5</c:v>
                </c:pt>
                <c:pt idx="48">
                  <c:v>179.7</c:v>
                </c:pt>
                <c:pt idx="49">
                  <c:v>179.4</c:v>
                </c:pt>
                <c:pt idx="50">
                  <c:v>184.5</c:v>
                </c:pt>
                <c:pt idx="51">
                  <c:v>186.6</c:v>
                </c:pt>
                <c:pt idx="52">
                  <c:v>180.8</c:v>
                </c:pt>
                <c:pt idx="53">
                  <c:v>190.8</c:v>
                </c:pt>
                <c:pt idx="54">
                  <c:v>185.8</c:v>
                </c:pt>
                <c:pt idx="55">
                  <c:v>195.2</c:v>
                </c:pt>
                <c:pt idx="56">
                  <c:v>203.6</c:v>
                </c:pt>
                <c:pt idx="57">
                  <c:v>205.1</c:v>
                </c:pt>
                <c:pt idx="58">
                  <c:v>211.8</c:v>
                </c:pt>
                <c:pt idx="59">
                  <c:v>210.5</c:v>
                </c:pt>
                <c:pt idx="60">
                  <c:v>219.7</c:v>
                </c:pt>
                <c:pt idx="61">
                  <c:v>230.8</c:v>
                </c:pt>
                <c:pt idx="62">
                  <c:v>229.1</c:v>
                </c:pt>
                <c:pt idx="63">
                  <c:v>215.4</c:v>
                </c:pt>
                <c:pt idx="64">
                  <c:v>211.2</c:v>
                </c:pt>
                <c:pt idx="65">
                  <c:v>212.5</c:v>
                </c:pt>
                <c:pt idx="66">
                  <c:v>228.1</c:v>
                </c:pt>
                <c:pt idx="67">
                  <c:v>228.8</c:v>
                </c:pt>
                <c:pt idx="68">
                  <c:v>213.4</c:v>
                </c:pt>
                <c:pt idx="69">
                  <c:v>223.9</c:v>
                </c:pt>
                <c:pt idx="70">
                  <c:v>226.1</c:v>
                </c:pt>
                <c:pt idx="71">
                  <c:v>227.3</c:v>
                </c:pt>
                <c:pt idx="72">
                  <c:v>224.4</c:v>
                </c:pt>
                <c:pt idx="73">
                  <c:v>220.8</c:v>
                </c:pt>
                <c:pt idx="74">
                  <c:v>238.6</c:v>
                </c:pt>
                <c:pt idx="75">
                  <c:v>251.9</c:v>
                </c:pt>
                <c:pt idx="76">
                  <c:v>244.8</c:v>
                </c:pt>
                <c:pt idx="77">
                  <c:v>246.7</c:v>
                </c:pt>
                <c:pt idx="78">
                  <c:v>252.7</c:v>
                </c:pt>
                <c:pt idx="79">
                  <c:v>253.4</c:v>
                </c:pt>
                <c:pt idx="80">
                  <c:v>255</c:v>
                </c:pt>
                <c:pt idx="81">
                  <c:v>260.7</c:v>
                </c:pt>
                <c:pt idx="82">
                  <c:v>236.2</c:v>
                </c:pt>
                <c:pt idx="83">
                  <c:v>233.9</c:v>
                </c:pt>
                <c:pt idx="84">
                  <c:v>217</c:v>
                </c:pt>
                <c:pt idx="85">
                  <c:v>249</c:v>
                </c:pt>
                <c:pt idx="86">
                  <c:v>249.9</c:v>
                </c:pt>
                <c:pt idx="87">
                  <c:v>235.8</c:v>
                </c:pt>
                <c:pt idx="88">
                  <c:v>247.1</c:v>
                </c:pt>
                <c:pt idx="89">
                  <c:v>242.2</c:v>
                </c:pt>
                <c:pt idx="90">
                  <c:v>250.1</c:v>
                </c:pt>
                <c:pt idx="91">
                  <c:v>237.9</c:v>
                </c:pt>
                <c:pt idx="92">
                  <c:v>230.2</c:v>
                </c:pt>
                <c:pt idx="93">
                  <c:v>234.7</c:v>
                </c:pt>
                <c:pt idx="94">
                  <c:v>246.6</c:v>
                </c:pt>
                <c:pt idx="95">
                  <c:v>249.6</c:v>
                </c:pt>
                <c:pt idx="96">
                  <c:v>247.9</c:v>
                </c:pt>
                <c:pt idx="97">
                  <c:v>266.89999999999998</c:v>
                </c:pt>
                <c:pt idx="98">
                  <c:v>282.8</c:v>
                </c:pt>
                <c:pt idx="99">
                  <c:v>275</c:v>
                </c:pt>
                <c:pt idx="100">
                  <c:v>255.4</c:v>
                </c:pt>
                <c:pt idx="101" formatCode="General">
                  <c:v>251.6</c:v>
                </c:pt>
                <c:pt idx="102" formatCode="General">
                  <c:v>259.8</c:v>
                </c:pt>
              </c:numCache>
            </c:numRef>
          </c:val>
          <c:smooth val="0"/>
        </c:ser>
        <c:ser>
          <c:idx val="5"/>
          <c:order val="5"/>
          <c:tx>
            <c:strRef>
              <c:f>Sheet1!$A$8</c:f>
              <c:strCache>
                <c:ptCount val="1"/>
                <c:pt idx="0">
                  <c:v>     Wholesale Trade</c:v>
                </c:pt>
              </c:strCache>
            </c:strRef>
          </c:tx>
          <c:spPr>
            <a:ln w="28575" cap="rnd">
              <a:solidFill>
                <a:schemeClr val="accent6"/>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Sheet1!$B$8:$CZ$8</c:f>
              <c:numCache>
                <c:formatCode>0.0</c:formatCode>
                <c:ptCount val="103"/>
                <c:pt idx="0">
                  <c:v>97.4</c:v>
                </c:pt>
                <c:pt idx="1">
                  <c:v>102.7</c:v>
                </c:pt>
                <c:pt idx="2">
                  <c:v>109.9</c:v>
                </c:pt>
                <c:pt idx="3">
                  <c:v>107.8</c:v>
                </c:pt>
                <c:pt idx="4">
                  <c:v>111.9</c:v>
                </c:pt>
                <c:pt idx="5">
                  <c:v>115.3</c:v>
                </c:pt>
                <c:pt idx="6">
                  <c:v>112.4</c:v>
                </c:pt>
                <c:pt idx="7">
                  <c:v>123</c:v>
                </c:pt>
                <c:pt idx="8">
                  <c:v>124.1</c:v>
                </c:pt>
                <c:pt idx="9">
                  <c:v>117.6</c:v>
                </c:pt>
                <c:pt idx="10">
                  <c:v>112.7</c:v>
                </c:pt>
                <c:pt idx="11">
                  <c:v>120.1</c:v>
                </c:pt>
                <c:pt idx="12">
                  <c:v>100</c:v>
                </c:pt>
                <c:pt idx="13">
                  <c:v>100.3</c:v>
                </c:pt>
                <c:pt idx="14">
                  <c:v>108.5</c:v>
                </c:pt>
                <c:pt idx="15">
                  <c:v>115.7</c:v>
                </c:pt>
                <c:pt idx="16">
                  <c:v>107.6</c:v>
                </c:pt>
                <c:pt idx="17">
                  <c:v>113.8</c:v>
                </c:pt>
                <c:pt idx="18">
                  <c:v>108.3</c:v>
                </c:pt>
                <c:pt idx="19">
                  <c:v>112.2</c:v>
                </c:pt>
                <c:pt idx="20">
                  <c:v>111.8</c:v>
                </c:pt>
                <c:pt idx="21">
                  <c:v>109.3</c:v>
                </c:pt>
                <c:pt idx="22">
                  <c:v>105.5</c:v>
                </c:pt>
                <c:pt idx="23">
                  <c:v>111.8</c:v>
                </c:pt>
                <c:pt idx="24">
                  <c:v>102.9</c:v>
                </c:pt>
                <c:pt idx="25">
                  <c:v>108.9</c:v>
                </c:pt>
                <c:pt idx="26">
                  <c:v>111.7</c:v>
                </c:pt>
                <c:pt idx="27">
                  <c:v>119.9</c:v>
                </c:pt>
                <c:pt idx="28">
                  <c:v>122.3</c:v>
                </c:pt>
                <c:pt idx="29">
                  <c:v>105.9</c:v>
                </c:pt>
                <c:pt idx="30">
                  <c:v>106.7</c:v>
                </c:pt>
                <c:pt idx="31">
                  <c:v>103.7</c:v>
                </c:pt>
                <c:pt idx="32">
                  <c:v>109.2</c:v>
                </c:pt>
                <c:pt idx="33">
                  <c:v>115.9</c:v>
                </c:pt>
                <c:pt idx="34">
                  <c:v>93.3</c:v>
                </c:pt>
                <c:pt idx="35">
                  <c:v>95.1</c:v>
                </c:pt>
                <c:pt idx="36">
                  <c:v>90.1</c:v>
                </c:pt>
                <c:pt idx="37">
                  <c:v>85.6</c:v>
                </c:pt>
                <c:pt idx="38">
                  <c:v>86.3</c:v>
                </c:pt>
                <c:pt idx="39">
                  <c:v>88.9</c:v>
                </c:pt>
                <c:pt idx="40">
                  <c:v>85.6</c:v>
                </c:pt>
                <c:pt idx="41">
                  <c:v>87.3</c:v>
                </c:pt>
                <c:pt idx="42">
                  <c:v>82.5</c:v>
                </c:pt>
                <c:pt idx="43">
                  <c:v>82.7</c:v>
                </c:pt>
                <c:pt idx="44">
                  <c:v>89.4</c:v>
                </c:pt>
                <c:pt idx="45">
                  <c:v>90.9</c:v>
                </c:pt>
                <c:pt idx="46">
                  <c:v>95.2</c:v>
                </c:pt>
                <c:pt idx="47">
                  <c:v>97.4</c:v>
                </c:pt>
                <c:pt idx="48">
                  <c:v>92.6</c:v>
                </c:pt>
                <c:pt idx="49">
                  <c:v>94.6</c:v>
                </c:pt>
                <c:pt idx="50">
                  <c:v>99.6</c:v>
                </c:pt>
                <c:pt idx="51">
                  <c:v>96</c:v>
                </c:pt>
                <c:pt idx="52">
                  <c:v>92</c:v>
                </c:pt>
                <c:pt idx="53">
                  <c:v>102.1</c:v>
                </c:pt>
                <c:pt idx="54">
                  <c:v>106.5</c:v>
                </c:pt>
                <c:pt idx="55">
                  <c:v>95.8</c:v>
                </c:pt>
                <c:pt idx="56">
                  <c:v>101.3</c:v>
                </c:pt>
                <c:pt idx="57">
                  <c:v>105.6</c:v>
                </c:pt>
                <c:pt idx="58">
                  <c:v>103.9</c:v>
                </c:pt>
                <c:pt idx="59">
                  <c:v>104.7</c:v>
                </c:pt>
                <c:pt idx="60">
                  <c:v>114</c:v>
                </c:pt>
                <c:pt idx="61">
                  <c:v>120</c:v>
                </c:pt>
                <c:pt idx="62">
                  <c:v>120.5</c:v>
                </c:pt>
                <c:pt idx="63">
                  <c:v>118.8</c:v>
                </c:pt>
                <c:pt idx="64">
                  <c:v>108.4</c:v>
                </c:pt>
                <c:pt idx="65">
                  <c:v>116.8</c:v>
                </c:pt>
                <c:pt idx="66">
                  <c:v>124.2</c:v>
                </c:pt>
                <c:pt idx="67">
                  <c:v>122.6</c:v>
                </c:pt>
                <c:pt idx="68">
                  <c:v>136</c:v>
                </c:pt>
                <c:pt idx="69">
                  <c:v>125.1</c:v>
                </c:pt>
                <c:pt idx="70">
                  <c:v>116.3</c:v>
                </c:pt>
                <c:pt idx="71">
                  <c:v>113</c:v>
                </c:pt>
                <c:pt idx="72">
                  <c:v>108</c:v>
                </c:pt>
                <c:pt idx="73">
                  <c:v>120.6</c:v>
                </c:pt>
                <c:pt idx="74">
                  <c:v>117.1</c:v>
                </c:pt>
                <c:pt idx="75">
                  <c:v>116.5</c:v>
                </c:pt>
                <c:pt idx="76">
                  <c:v>111.6</c:v>
                </c:pt>
                <c:pt idx="77">
                  <c:v>116</c:v>
                </c:pt>
                <c:pt idx="78">
                  <c:v>114</c:v>
                </c:pt>
                <c:pt idx="79">
                  <c:v>100.2</c:v>
                </c:pt>
                <c:pt idx="80">
                  <c:v>102.9</c:v>
                </c:pt>
                <c:pt idx="81">
                  <c:v>128</c:v>
                </c:pt>
                <c:pt idx="82">
                  <c:v>122.5</c:v>
                </c:pt>
                <c:pt idx="83">
                  <c:v>120.6</c:v>
                </c:pt>
                <c:pt idx="84">
                  <c:v>135.4</c:v>
                </c:pt>
                <c:pt idx="85">
                  <c:v>127.2</c:v>
                </c:pt>
                <c:pt idx="86">
                  <c:v>125.1</c:v>
                </c:pt>
                <c:pt idx="87">
                  <c:v>120.3</c:v>
                </c:pt>
                <c:pt idx="88">
                  <c:v>109.5</c:v>
                </c:pt>
                <c:pt idx="89">
                  <c:v>122.8</c:v>
                </c:pt>
                <c:pt idx="90">
                  <c:v>105</c:v>
                </c:pt>
                <c:pt idx="91">
                  <c:v>116.6</c:v>
                </c:pt>
                <c:pt idx="92">
                  <c:v>112.3</c:v>
                </c:pt>
                <c:pt idx="93">
                  <c:v>110.8</c:v>
                </c:pt>
                <c:pt idx="94">
                  <c:v>104</c:v>
                </c:pt>
                <c:pt idx="95">
                  <c:v>113.3</c:v>
                </c:pt>
                <c:pt idx="96">
                  <c:v>87.1</c:v>
                </c:pt>
                <c:pt idx="97">
                  <c:v>116.9</c:v>
                </c:pt>
                <c:pt idx="98">
                  <c:v>98.4</c:v>
                </c:pt>
                <c:pt idx="99">
                  <c:v>102.6</c:v>
                </c:pt>
                <c:pt idx="100">
                  <c:v>113.3</c:v>
                </c:pt>
                <c:pt idx="101" formatCode="General">
                  <c:v>98.5</c:v>
                </c:pt>
                <c:pt idx="102" formatCode="General">
                  <c:v>99.9</c:v>
                </c:pt>
              </c:numCache>
            </c:numRef>
          </c:val>
          <c:smooth val="0"/>
        </c:ser>
        <c:ser>
          <c:idx val="6"/>
          <c:order val="6"/>
          <c:tx>
            <c:strRef>
              <c:f>Sheet1!$A$9</c:f>
              <c:strCache>
                <c:ptCount val="1"/>
                <c:pt idx="0">
                  <c:v>     Retail Trade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Sheet1!$B$9:$CZ$9</c:f>
              <c:numCache>
                <c:formatCode>0.0</c:formatCode>
                <c:ptCount val="103"/>
                <c:pt idx="0">
                  <c:v>213.1</c:v>
                </c:pt>
                <c:pt idx="1">
                  <c:v>207.1</c:v>
                </c:pt>
                <c:pt idx="2">
                  <c:v>204.8</c:v>
                </c:pt>
                <c:pt idx="3">
                  <c:v>209.1</c:v>
                </c:pt>
                <c:pt idx="4">
                  <c:v>203.1</c:v>
                </c:pt>
                <c:pt idx="5">
                  <c:v>215</c:v>
                </c:pt>
                <c:pt idx="6">
                  <c:v>208.4</c:v>
                </c:pt>
                <c:pt idx="7">
                  <c:v>214.4</c:v>
                </c:pt>
                <c:pt idx="8">
                  <c:v>213.6</c:v>
                </c:pt>
                <c:pt idx="9">
                  <c:v>222.4</c:v>
                </c:pt>
                <c:pt idx="10">
                  <c:v>213.7</c:v>
                </c:pt>
                <c:pt idx="11">
                  <c:v>225.5</c:v>
                </c:pt>
                <c:pt idx="12">
                  <c:v>232.5</c:v>
                </c:pt>
                <c:pt idx="13">
                  <c:v>233</c:v>
                </c:pt>
                <c:pt idx="14">
                  <c:v>232.1</c:v>
                </c:pt>
                <c:pt idx="15">
                  <c:v>226.5</c:v>
                </c:pt>
                <c:pt idx="16">
                  <c:v>218.8</c:v>
                </c:pt>
                <c:pt idx="17">
                  <c:v>231.3</c:v>
                </c:pt>
                <c:pt idx="18">
                  <c:v>231.6</c:v>
                </c:pt>
                <c:pt idx="19">
                  <c:v>232</c:v>
                </c:pt>
                <c:pt idx="20">
                  <c:v>230</c:v>
                </c:pt>
                <c:pt idx="21">
                  <c:v>247.1</c:v>
                </c:pt>
                <c:pt idx="22">
                  <c:v>241</c:v>
                </c:pt>
                <c:pt idx="23">
                  <c:v>238.6</c:v>
                </c:pt>
                <c:pt idx="24">
                  <c:v>225.3</c:v>
                </c:pt>
                <c:pt idx="25">
                  <c:v>239.2</c:v>
                </c:pt>
                <c:pt idx="26">
                  <c:v>244.3</c:v>
                </c:pt>
                <c:pt idx="27">
                  <c:v>237.1</c:v>
                </c:pt>
                <c:pt idx="28">
                  <c:v>239.5</c:v>
                </c:pt>
                <c:pt idx="29">
                  <c:v>244.7</c:v>
                </c:pt>
                <c:pt idx="30">
                  <c:v>256</c:v>
                </c:pt>
                <c:pt idx="31">
                  <c:v>244.7</c:v>
                </c:pt>
                <c:pt idx="32">
                  <c:v>247.1</c:v>
                </c:pt>
                <c:pt idx="33">
                  <c:v>245</c:v>
                </c:pt>
                <c:pt idx="34">
                  <c:v>251.9</c:v>
                </c:pt>
                <c:pt idx="35">
                  <c:v>251.3</c:v>
                </c:pt>
                <c:pt idx="36">
                  <c:v>233.6</c:v>
                </c:pt>
                <c:pt idx="37">
                  <c:v>236.9</c:v>
                </c:pt>
                <c:pt idx="38">
                  <c:v>255.5</c:v>
                </c:pt>
                <c:pt idx="39">
                  <c:v>260.60000000000002</c:v>
                </c:pt>
                <c:pt idx="40">
                  <c:v>262.7</c:v>
                </c:pt>
                <c:pt idx="41">
                  <c:v>262.60000000000002</c:v>
                </c:pt>
                <c:pt idx="42">
                  <c:v>269.89999999999998</c:v>
                </c:pt>
                <c:pt idx="43">
                  <c:v>272.10000000000002</c:v>
                </c:pt>
                <c:pt idx="44">
                  <c:v>267.7</c:v>
                </c:pt>
                <c:pt idx="45">
                  <c:v>273.2</c:v>
                </c:pt>
                <c:pt idx="46">
                  <c:v>280.8</c:v>
                </c:pt>
                <c:pt idx="47">
                  <c:v>289.3</c:v>
                </c:pt>
                <c:pt idx="48">
                  <c:v>266.7</c:v>
                </c:pt>
                <c:pt idx="49">
                  <c:v>283</c:v>
                </c:pt>
                <c:pt idx="50">
                  <c:v>266</c:v>
                </c:pt>
                <c:pt idx="51">
                  <c:v>260.3</c:v>
                </c:pt>
                <c:pt idx="52">
                  <c:v>268.8</c:v>
                </c:pt>
                <c:pt idx="53">
                  <c:v>283.60000000000002</c:v>
                </c:pt>
                <c:pt idx="54">
                  <c:v>293.60000000000002</c:v>
                </c:pt>
                <c:pt idx="55">
                  <c:v>287</c:v>
                </c:pt>
                <c:pt idx="56">
                  <c:v>282.60000000000002</c:v>
                </c:pt>
                <c:pt idx="57">
                  <c:v>283.8</c:v>
                </c:pt>
                <c:pt idx="58">
                  <c:v>288.39999999999998</c:v>
                </c:pt>
                <c:pt idx="59">
                  <c:v>285.8</c:v>
                </c:pt>
                <c:pt idx="60">
                  <c:v>277.8</c:v>
                </c:pt>
                <c:pt idx="61">
                  <c:v>269.10000000000002</c:v>
                </c:pt>
                <c:pt idx="62">
                  <c:v>291</c:v>
                </c:pt>
                <c:pt idx="63">
                  <c:v>284.60000000000002</c:v>
                </c:pt>
                <c:pt idx="64">
                  <c:v>289.3</c:v>
                </c:pt>
                <c:pt idx="65">
                  <c:v>293.89999999999998</c:v>
                </c:pt>
                <c:pt idx="66">
                  <c:v>301.8</c:v>
                </c:pt>
                <c:pt idx="67">
                  <c:v>288.89999999999998</c:v>
                </c:pt>
                <c:pt idx="68">
                  <c:v>289.5</c:v>
                </c:pt>
                <c:pt idx="69">
                  <c:v>285</c:v>
                </c:pt>
                <c:pt idx="70">
                  <c:v>294.5</c:v>
                </c:pt>
                <c:pt idx="71">
                  <c:v>284</c:v>
                </c:pt>
                <c:pt idx="72">
                  <c:v>276.8</c:v>
                </c:pt>
                <c:pt idx="73">
                  <c:v>316.5</c:v>
                </c:pt>
                <c:pt idx="74">
                  <c:v>310.7</c:v>
                </c:pt>
                <c:pt idx="75">
                  <c:v>302.5</c:v>
                </c:pt>
                <c:pt idx="76">
                  <c:v>302.60000000000002</c:v>
                </c:pt>
                <c:pt idx="77">
                  <c:v>318.60000000000002</c:v>
                </c:pt>
                <c:pt idx="78">
                  <c:v>320.5</c:v>
                </c:pt>
                <c:pt idx="79">
                  <c:v>304.5</c:v>
                </c:pt>
                <c:pt idx="80">
                  <c:v>302.39999999999998</c:v>
                </c:pt>
                <c:pt idx="81">
                  <c:v>302.39999999999998</c:v>
                </c:pt>
                <c:pt idx="82">
                  <c:v>288.2</c:v>
                </c:pt>
                <c:pt idx="83">
                  <c:v>308.10000000000002</c:v>
                </c:pt>
                <c:pt idx="84">
                  <c:v>309.3</c:v>
                </c:pt>
                <c:pt idx="85">
                  <c:v>326.5</c:v>
                </c:pt>
                <c:pt idx="86">
                  <c:v>310.3</c:v>
                </c:pt>
                <c:pt idx="87">
                  <c:v>299.7</c:v>
                </c:pt>
                <c:pt idx="88">
                  <c:v>306.60000000000002</c:v>
                </c:pt>
                <c:pt idx="89">
                  <c:v>309.5</c:v>
                </c:pt>
                <c:pt idx="90">
                  <c:v>303.60000000000002</c:v>
                </c:pt>
                <c:pt idx="91">
                  <c:v>320</c:v>
                </c:pt>
                <c:pt idx="92">
                  <c:v>324.10000000000002</c:v>
                </c:pt>
                <c:pt idx="93">
                  <c:v>344.8</c:v>
                </c:pt>
                <c:pt idx="94">
                  <c:v>322.3</c:v>
                </c:pt>
                <c:pt idx="95">
                  <c:v>316.89999999999998</c:v>
                </c:pt>
                <c:pt idx="96">
                  <c:v>329.3</c:v>
                </c:pt>
                <c:pt idx="97">
                  <c:v>343.2</c:v>
                </c:pt>
                <c:pt idx="98">
                  <c:v>339.1</c:v>
                </c:pt>
                <c:pt idx="99">
                  <c:v>327</c:v>
                </c:pt>
                <c:pt idx="100">
                  <c:v>310</c:v>
                </c:pt>
                <c:pt idx="101" formatCode="General">
                  <c:v>324.8</c:v>
                </c:pt>
                <c:pt idx="102" formatCode="General">
                  <c:v>339</c:v>
                </c:pt>
              </c:numCache>
            </c:numRef>
          </c:val>
          <c:smooth val="0"/>
        </c:ser>
        <c:ser>
          <c:idx val="7"/>
          <c:order val="7"/>
          <c:tx>
            <c:strRef>
              <c:f>Sheet1!$A$10</c:f>
              <c:strCache>
                <c:ptCount val="1"/>
                <c:pt idx="0">
                  <c:v>     Accommodation and Food Services</c:v>
                </c:pt>
              </c:strCache>
            </c:strRef>
          </c:tx>
          <c:spPr>
            <a:ln w="28575" cap="rnd">
              <a:solidFill>
                <a:schemeClr val="accent2">
                  <a:lumMod val="6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Sheet1!$B$10:$CZ$10</c:f>
              <c:numCache>
                <c:formatCode>0.0</c:formatCode>
                <c:ptCount val="103"/>
                <c:pt idx="0">
                  <c:v>105.2</c:v>
                </c:pt>
                <c:pt idx="1">
                  <c:v>105.2</c:v>
                </c:pt>
                <c:pt idx="2">
                  <c:v>102.1</c:v>
                </c:pt>
                <c:pt idx="3">
                  <c:v>101.8</c:v>
                </c:pt>
                <c:pt idx="4">
                  <c:v>100.8</c:v>
                </c:pt>
                <c:pt idx="5">
                  <c:v>96.5</c:v>
                </c:pt>
                <c:pt idx="6">
                  <c:v>105.9</c:v>
                </c:pt>
                <c:pt idx="7">
                  <c:v>98.1</c:v>
                </c:pt>
                <c:pt idx="8">
                  <c:v>103.3</c:v>
                </c:pt>
                <c:pt idx="9">
                  <c:v>105.7</c:v>
                </c:pt>
                <c:pt idx="10">
                  <c:v>101.9</c:v>
                </c:pt>
                <c:pt idx="11">
                  <c:v>102.8</c:v>
                </c:pt>
                <c:pt idx="12">
                  <c:v>104</c:v>
                </c:pt>
                <c:pt idx="13">
                  <c:v>110.9</c:v>
                </c:pt>
                <c:pt idx="14">
                  <c:v>119.5</c:v>
                </c:pt>
                <c:pt idx="15">
                  <c:v>114.8</c:v>
                </c:pt>
                <c:pt idx="16">
                  <c:v>120.5</c:v>
                </c:pt>
                <c:pt idx="17">
                  <c:v>117.7</c:v>
                </c:pt>
                <c:pt idx="18">
                  <c:v>112.9</c:v>
                </c:pt>
                <c:pt idx="19">
                  <c:v>130.9</c:v>
                </c:pt>
                <c:pt idx="20">
                  <c:v>117.6</c:v>
                </c:pt>
                <c:pt idx="21">
                  <c:v>120</c:v>
                </c:pt>
                <c:pt idx="22">
                  <c:v>114.6</c:v>
                </c:pt>
                <c:pt idx="23">
                  <c:v>121</c:v>
                </c:pt>
                <c:pt idx="24">
                  <c:v>123.5</c:v>
                </c:pt>
                <c:pt idx="25">
                  <c:v>124.6</c:v>
                </c:pt>
                <c:pt idx="26">
                  <c:v>117.4</c:v>
                </c:pt>
                <c:pt idx="27">
                  <c:v>123.2</c:v>
                </c:pt>
                <c:pt idx="28">
                  <c:v>126.5</c:v>
                </c:pt>
                <c:pt idx="29">
                  <c:v>134.19999999999999</c:v>
                </c:pt>
                <c:pt idx="30">
                  <c:v>129</c:v>
                </c:pt>
                <c:pt idx="31">
                  <c:v>132.4</c:v>
                </c:pt>
                <c:pt idx="32">
                  <c:v>129.6</c:v>
                </c:pt>
                <c:pt idx="33">
                  <c:v>131.80000000000001</c:v>
                </c:pt>
                <c:pt idx="34">
                  <c:v>127</c:v>
                </c:pt>
                <c:pt idx="35">
                  <c:v>139</c:v>
                </c:pt>
                <c:pt idx="36">
                  <c:v>134.4</c:v>
                </c:pt>
                <c:pt idx="37">
                  <c:v>149</c:v>
                </c:pt>
                <c:pt idx="38">
                  <c:v>144.30000000000001</c:v>
                </c:pt>
                <c:pt idx="39">
                  <c:v>135.30000000000001</c:v>
                </c:pt>
                <c:pt idx="40">
                  <c:v>129.4</c:v>
                </c:pt>
                <c:pt idx="41">
                  <c:v>130.6</c:v>
                </c:pt>
                <c:pt idx="42">
                  <c:v>132.30000000000001</c:v>
                </c:pt>
                <c:pt idx="43">
                  <c:v>133.6</c:v>
                </c:pt>
                <c:pt idx="44">
                  <c:v>130</c:v>
                </c:pt>
                <c:pt idx="45">
                  <c:v>148.5</c:v>
                </c:pt>
                <c:pt idx="46">
                  <c:v>146.5</c:v>
                </c:pt>
                <c:pt idx="47">
                  <c:v>154.9</c:v>
                </c:pt>
                <c:pt idx="48">
                  <c:v>148.4</c:v>
                </c:pt>
                <c:pt idx="49">
                  <c:v>148</c:v>
                </c:pt>
                <c:pt idx="50">
                  <c:v>151.5</c:v>
                </c:pt>
                <c:pt idx="51">
                  <c:v>152.6</c:v>
                </c:pt>
                <c:pt idx="52">
                  <c:v>157.80000000000001</c:v>
                </c:pt>
                <c:pt idx="53">
                  <c:v>155.80000000000001</c:v>
                </c:pt>
                <c:pt idx="54">
                  <c:v>164.9</c:v>
                </c:pt>
                <c:pt idx="55">
                  <c:v>164.8</c:v>
                </c:pt>
                <c:pt idx="56">
                  <c:v>151.4</c:v>
                </c:pt>
                <c:pt idx="57">
                  <c:v>151.80000000000001</c:v>
                </c:pt>
                <c:pt idx="58">
                  <c:v>138</c:v>
                </c:pt>
                <c:pt idx="59">
                  <c:v>137.1</c:v>
                </c:pt>
                <c:pt idx="60">
                  <c:v>144.6</c:v>
                </c:pt>
                <c:pt idx="61">
                  <c:v>156.80000000000001</c:v>
                </c:pt>
                <c:pt idx="62">
                  <c:v>164.9</c:v>
                </c:pt>
                <c:pt idx="63">
                  <c:v>167.1</c:v>
                </c:pt>
                <c:pt idx="64">
                  <c:v>165.5</c:v>
                </c:pt>
                <c:pt idx="65">
                  <c:v>161.1</c:v>
                </c:pt>
                <c:pt idx="66">
                  <c:v>153.5</c:v>
                </c:pt>
                <c:pt idx="67">
                  <c:v>154</c:v>
                </c:pt>
                <c:pt idx="68">
                  <c:v>157.4</c:v>
                </c:pt>
                <c:pt idx="69">
                  <c:v>161.1</c:v>
                </c:pt>
                <c:pt idx="70">
                  <c:v>171.9</c:v>
                </c:pt>
                <c:pt idx="71">
                  <c:v>181.2</c:v>
                </c:pt>
                <c:pt idx="72">
                  <c:v>176.9</c:v>
                </c:pt>
                <c:pt idx="73">
                  <c:v>175.8</c:v>
                </c:pt>
                <c:pt idx="74">
                  <c:v>179.8</c:v>
                </c:pt>
                <c:pt idx="75">
                  <c:v>200.6</c:v>
                </c:pt>
                <c:pt idx="76">
                  <c:v>178.3</c:v>
                </c:pt>
                <c:pt idx="77">
                  <c:v>177.9</c:v>
                </c:pt>
                <c:pt idx="78">
                  <c:v>179.9</c:v>
                </c:pt>
                <c:pt idx="79">
                  <c:v>177.3</c:v>
                </c:pt>
                <c:pt idx="80">
                  <c:v>173.3</c:v>
                </c:pt>
                <c:pt idx="81">
                  <c:v>169.5</c:v>
                </c:pt>
                <c:pt idx="82">
                  <c:v>175.2</c:v>
                </c:pt>
                <c:pt idx="83">
                  <c:v>191.7</c:v>
                </c:pt>
                <c:pt idx="84">
                  <c:v>184.1</c:v>
                </c:pt>
                <c:pt idx="85">
                  <c:v>172.4</c:v>
                </c:pt>
                <c:pt idx="86">
                  <c:v>189.9</c:v>
                </c:pt>
                <c:pt idx="87">
                  <c:v>189.8</c:v>
                </c:pt>
                <c:pt idx="88">
                  <c:v>189.9</c:v>
                </c:pt>
                <c:pt idx="89">
                  <c:v>182.2</c:v>
                </c:pt>
                <c:pt idx="90">
                  <c:v>163.30000000000001</c:v>
                </c:pt>
                <c:pt idx="91">
                  <c:v>186.7</c:v>
                </c:pt>
                <c:pt idx="92">
                  <c:v>185.7</c:v>
                </c:pt>
                <c:pt idx="93">
                  <c:v>195.6</c:v>
                </c:pt>
                <c:pt idx="94">
                  <c:v>206.1</c:v>
                </c:pt>
                <c:pt idx="95">
                  <c:v>205</c:v>
                </c:pt>
                <c:pt idx="96">
                  <c:v>193.1</c:v>
                </c:pt>
                <c:pt idx="97">
                  <c:v>195.6</c:v>
                </c:pt>
                <c:pt idx="98">
                  <c:v>200.2</c:v>
                </c:pt>
                <c:pt idx="99">
                  <c:v>210.9</c:v>
                </c:pt>
                <c:pt idx="100">
                  <c:v>209.4</c:v>
                </c:pt>
                <c:pt idx="101" formatCode="General">
                  <c:v>221</c:v>
                </c:pt>
                <c:pt idx="102" formatCode="General">
                  <c:v>219.2</c:v>
                </c:pt>
              </c:numCache>
            </c:numRef>
          </c:val>
          <c:smooth val="0"/>
        </c:ser>
        <c:ser>
          <c:idx val="8"/>
          <c:order val="8"/>
          <c:tx>
            <c:strRef>
              <c:f>Sheet1!$A$11</c:f>
              <c:strCache>
                <c:ptCount val="1"/>
                <c:pt idx="0">
                  <c:v>     Transport, Postal and Warehousing</c:v>
                </c:pt>
              </c:strCache>
            </c:strRef>
          </c:tx>
          <c:spPr>
            <a:ln w="28575" cap="rnd">
              <a:solidFill>
                <a:schemeClr val="accent3">
                  <a:lumMod val="60000"/>
                </a:schemeClr>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Sheet1!$B$11:$CZ$11</c:f>
              <c:numCache>
                <c:formatCode>0.0</c:formatCode>
                <c:ptCount val="103"/>
                <c:pt idx="0">
                  <c:v>100.9</c:v>
                </c:pt>
                <c:pt idx="1">
                  <c:v>103.2</c:v>
                </c:pt>
                <c:pt idx="2">
                  <c:v>103.3</c:v>
                </c:pt>
                <c:pt idx="3">
                  <c:v>104.7</c:v>
                </c:pt>
                <c:pt idx="4">
                  <c:v>95.1</c:v>
                </c:pt>
                <c:pt idx="5">
                  <c:v>90.6</c:v>
                </c:pt>
                <c:pt idx="6">
                  <c:v>95.3</c:v>
                </c:pt>
                <c:pt idx="7">
                  <c:v>91.9</c:v>
                </c:pt>
                <c:pt idx="8">
                  <c:v>86.3</c:v>
                </c:pt>
                <c:pt idx="9">
                  <c:v>95.1</c:v>
                </c:pt>
                <c:pt idx="10">
                  <c:v>101.3</c:v>
                </c:pt>
                <c:pt idx="11">
                  <c:v>101</c:v>
                </c:pt>
                <c:pt idx="12">
                  <c:v>88.3</c:v>
                </c:pt>
                <c:pt idx="13">
                  <c:v>95.7</c:v>
                </c:pt>
                <c:pt idx="14">
                  <c:v>99</c:v>
                </c:pt>
                <c:pt idx="15">
                  <c:v>97.4</c:v>
                </c:pt>
                <c:pt idx="16">
                  <c:v>96.1</c:v>
                </c:pt>
                <c:pt idx="17">
                  <c:v>104.9</c:v>
                </c:pt>
                <c:pt idx="18">
                  <c:v>109.4</c:v>
                </c:pt>
                <c:pt idx="19">
                  <c:v>107.3</c:v>
                </c:pt>
                <c:pt idx="20">
                  <c:v>94.5</c:v>
                </c:pt>
                <c:pt idx="21">
                  <c:v>95.7</c:v>
                </c:pt>
                <c:pt idx="22">
                  <c:v>101.7</c:v>
                </c:pt>
                <c:pt idx="23">
                  <c:v>106.2</c:v>
                </c:pt>
                <c:pt idx="24">
                  <c:v>101.2</c:v>
                </c:pt>
                <c:pt idx="25">
                  <c:v>101.3</c:v>
                </c:pt>
                <c:pt idx="26">
                  <c:v>107.8</c:v>
                </c:pt>
                <c:pt idx="27">
                  <c:v>106.6</c:v>
                </c:pt>
                <c:pt idx="28">
                  <c:v>97.6</c:v>
                </c:pt>
                <c:pt idx="29">
                  <c:v>106.1</c:v>
                </c:pt>
                <c:pt idx="30">
                  <c:v>111.1</c:v>
                </c:pt>
                <c:pt idx="31">
                  <c:v>101.7</c:v>
                </c:pt>
                <c:pt idx="32">
                  <c:v>105.9</c:v>
                </c:pt>
                <c:pt idx="33">
                  <c:v>104.8</c:v>
                </c:pt>
                <c:pt idx="34">
                  <c:v>105</c:v>
                </c:pt>
                <c:pt idx="35">
                  <c:v>110.9</c:v>
                </c:pt>
                <c:pt idx="36">
                  <c:v>112.7</c:v>
                </c:pt>
                <c:pt idx="37">
                  <c:v>116.9</c:v>
                </c:pt>
                <c:pt idx="38">
                  <c:v>117.3</c:v>
                </c:pt>
                <c:pt idx="39">
                  <c:v>118.3</c:v>
                </c:pt>
                <c:pt idx="40">
                  <c:v>113.3</c:v>
                </c:pt>
                <c:pt idx="41">
                  <c:v>108.9</c:v>
                </c:pt>
                <c:pt idx="42">
                  <c:v>104.2</c:v>
                </c:pt>
                <c:pt idx="43">
                  <c:v>101.8</c:v>
                </c:pt>
                <c:pt idx="44">
                  <c:v>99.3</c:v>
                </c:pt>
                <c:pt idx="45">
                  <c:v>104</c:v>
                </c:pt>
                <c:pt idx="46">
                  <c:v>111.4</c:v>
                </c:pt>
                <c:pt idx="47">
                  <c:v>108.4</c:v>
                </c:pt>
                <c:pt idx="48">
                  <c:v>98.2</c:v>
                </c:pt>
                <c:pt idx="49">
                  <c:v>108.2</c:v>
                </c:pt>
                <c:pt idx="50">
                  <c:v>112.6</c:v>
                </c:pt>
                <c:pt idx="51">
                  <c:v>118.8</c:v>
                </c:pt>
                <c:pt idx="52">
                  <c:v>121.3</c:v>
                </c:pt>
                <c:pt idx="53">
                  <c:v>113.8</c:v>
                </c:pt>
                <c:pt idx="54">
                  <c:v>115</c:v>
                </c:pt>
                <c:pt idx="55">
                  <c:v>121.2</c:v>
                </c:pt>
                <c:pt idx="56">
                  <c:v>112.5</c:v>
                </c:pt>
                <c:pt idx="57">
                  <c:v>116.6</c:v>
                </c:pt>
                <c:pt idx="58">
                  <c:v>122.2</c:v>
                </c:pt>
                <c:pt idx="59">
                  <c:v>131.19999999999999</c:v>
                </c:pt>
                <c:pt idx="60">
                  <c:v>115.8</c:v>
                </c:pt>
                <c:pt idx="61">
                  <c:v>122.2</c:v>
                </c:pt>
                <c:pt idx="62">
                  <c:v>124.9</c:v>
                </c:pt>
                <c:pt idx="63">
                  <c:v>124.3</c:v>
                </c:pt>
                <c:pt idx="64">
                  <c:v>124.5</c:v>
                </c:pt>
                <c:pt idx="65">
                  <c:v>120.5</c:v>
                </c:pt>
                <c:pt idx="66">
                  <c:v>121.5</c:v>
                </c:pt>
                <c:pt idx="67">
                  <c:v>138.69999999999999</c:v>
                </c:pt>
                <c:pt idx="68">
                  <c:v>134</c:v>
                </c:pt>
                <c:pt idx="69">
                  <c:v>148.30000000000001</c:v>
                </c:pt>
                <c:pt idx="70">
                  <c:v>141.69999999999999</c:v>
                </c:pt>
                <c:pt idx="71">
                  <c:v>150.9</c:v>
                </c:pt>
                <c:pt idx="72">
                  <c:v>135.9</c:v>
                </c:pt>
                <c:pt idx="73">
                  <c:v>137.69999999999999</c:v>
                </c:pt>
                <c:pt idx="74">
                  <c:v>134.6</c:v>
                </c:pt>
                <c:pt idx="75">
                  <c:v>139.19999999999999</c:v>
                </c:pt>
                <c:pt idx="76">
                  <c:v>126.5</c:v>
                </c:pt>
                <c:pt idx="77">
                  <c:v>141.5</c:v>
                </c:pt>
                <c:pt idx="78">
                  <c:v>147</c:v>
                </c:pt>
                <c:pt idx="79">
                  <c:v>142.1</c:v>
                </c:pt>
                <c:pt idx="80">
                  <c:v>140.69999999999999</c:v>
                </c:pt>
                <c:pt idx="81">
                  <c:v>136.19999999999999</c:v>
                </c:pt>
                <c:pt idx="82">
                  <c:v>126</c:v>
                </c:pt>
                <c:pt idx="83">
                  <c:v>133.9</c:v>
                </c:pt>
                <c:pt idx="84">
                  <c:v>132.9</c:v>
                </c:pt>
                <c:pt idx="85">
                  <c:v>142.6</c:v>
                </c:pt>
                <c:pt idx="86">
                  <c:v>137.6</c:v>
                </c:pt>
                <c:pt idx="87">
                  <c:v>143.1</c:v>
                </c:pt>
                <c:pt idx="88">
                  <c:v>139.6</c:v>
                </c:pt>
                <c:pt idx="89">
                  <c:v>140.5</c:v>
                </c:pt>
                <c:pt idx="90">
                  <c:v>144.69999999999999</c:v>
                </c:pt>
                <c:pt idx="91">
                  <c:v>146.19999999999999</c:v>
                </c:pt>
                <c:pt idx="92">
                  <c:v>140.5</c:v>
                </c:pt>
                <c:pt idx="93">
                  <c:v>152.4</c:v>
                </c:pt>
                <c:pt idx="94">
                  <c:v>151</c:v>
                </c:pt>
                <c:pt idx="95">
                  <c:v>157.80000000000001</c:v>
                </c:pt>
                <c:pt idx="96">
                  <c:v>153.1</c:v>
                </c:pt>
                <c:pt idx="97">
                  <c:v>153.30000000000001</c:v>
                </c:pt>
                <c:pt idx="98">
                  <c:v>168.1</c:v>
                </c:pt>
                <c:pt idx="99">
                  <c:v>159.19999999999999</c:v>
                </c:pt>
                <c:pt idx="100">
                  <c:v>165.4</c:v>
                </c:pt>
                <c:pt idx="101" formatCode="General">
                  <c:v>157.80000000000001</c:v>
                </c:pt>
                <c:pt idx="102" formatCode="General">
                  <c:v>146.19999999999999</c:v>
                </c:pt>
              </c:numCache>
            </c:numRef>
          </c:val>
          <c:smooth val="0"/>
        </c:ser>
        <c:ser>
          <c:idx val="9"/>
          <c:order val="9"/>
          <c:tx>
            <c:strRef>
              <c:f>Sheet1!$A$12</c:f>
              <c:strCache>
                <c:ptCount val="1"/>
                <c:pt idx="0">
                  <c:v>     Information Media and Telecommunications</c:v>
                </c:pt>
              </c:strCache>
            </c:strRef>
          </c:tx>
          <c:spPr>
            <a:ln w="28575" cap="rnd">
              <a:solidFill>
                <a:schemeClr val="accent4">
                  <a:lumMod val="60000"/>
                </a:schemeClr>
              </a:solidFill>
              <a:round/>
            </a:ln>
            <a:effectLst/>
          </c:spPr>
          <c:marker>
            <c:symbol val="triangle"/>
            <c:size val="5"/>
            <c:spPr>
              <a:solidFill>
                <a:schemeClr val="accent4">
                  <a:lumMod val="60000"/>
                </a:schemeClr>
              </a:solidFill>
              <a:ln w="9525">
                <a:solidFill>
                  <a:schemeClr val="accent4">
                    <a:lumMod val="6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Sheet1!$B$12:$CZ$12</c:f>
              <c:numCache>
                <c:formatCode>0.0</c:formatCode>
                <c:ptCount val="103"/>
                <c:pt idx="0">
                  <c:v>46.6</c:v>
                </c:pt>
                <c:pt idx="1">
                  <c:v>48.1</c:v>
                </c:pt>
                <c:pt idx="2">
                  <c:v>47.7</c:v>
                </c:pt>
                <c:pt idx="3">
                  <c:v>46.9</c:v>
                </c:pt>
                <c:pt idx="4">
                  <c:v>48</c:v>
                </c:pt>
                <c:pt idx="5">
                  <c:v>46.5</c:v>
                </c:pt>
                <c:pt idx="6">
                  <c:v>47.2</c:v>
                </c:pt>
                <c:pt idx="7">
                  <c:v>47.4</c:v>
                </c:pt>
                <c:pt idx="8">
                  <c:v>45.5</c:v>
                </c:pt>
                <c:pt idx="9">
                  <c:v>48.1</c:v>
                </c:pt>
                <c:pt idx="10">
                  <c:v>44.1</c:v>
                </c:pt>
                <c:pt idx="11">
                  <c:v>44.5</c:v>
                </c:pt>
                <c:pt idx="12">
                  <c:v>56.3</c:v>
                </c:pt>
                <c:pt idx="13">
                  <c:v>55.1</c:v>
                </c:pt>
                <c:pt idx="14">
                  <c:v>50.7</c:v>
                </c:pt>
                <c:pt idx="15">
                  <c:v>43.6</c:v>
                </c:pt>
                <c:pt idx="16">
                  <c:v>45.7</c:v>
                </c:pt>
                <c:pt idx="17">
                  <c:v>51.9</c:v>
                </c:pt>
                <c:pt idx="18">
                  <c:v>57.5</c:v>
                </c:pt>
                <c:pt idx="19">
                  <c:v>60.6</c:v>
                </c:pt>
                <c:pt idx="20">
                  <c:v>61</c:v>
                </c:pt>
                <c:pt idx="21">
                  <c:v>59.1</c:v>
                </c:pt>
                <c:pt idx="22">
                  <c:v>53</c:v>
                </c:pt>
                <c:pt idx="23">
                  <c:v>46.2</c:v>
                </c:pt>
                <c:pt idx="24">
                  <c:v>45.2</c:v>
                </c:pt>
                <c:pt idx="25">
                  <c:v>44.9</c:v>
                </c:pt>
                <c:pt idx="26">
                  <c:v>44.1</c:v>
                </c:pt>
                <c:pt idx="27">
                  <c:v>43.8</c:v>
                </c:pt>
                <c:pt idx="28">
                  <c:v>46.3</c:v>
                </c:pt>
                <c:pt idx="29">
                  <c:v>47.3</c:v>
                </c:pt>
                <c:pt idx="30">
                  <c:v>46.1</c:v>
                </c:pt>
                <c:pt idx="31">
                  <c:v>51</c:v>
                </c:pt>
                <c:pt idx="32">
                  <c:v>49.1</c:v>
                </c:pt>
                <c:pt idx="33">
                  <c:v>50.5</c:v>
                </c:pt>
                <c:pt idx="34">
                  <c:v>54.5</c:v>
                </c:pt>
                <c:pt idx="35">
                  <c:v>55</c:v>
                </c:pt>
                <c:pt idx="36">
                  <c:v>63.1</c:v>
                </c:pt>
                <c:pt idx="37">
                  <c:v>66.099999999999994</c:v>
                </c:pt>
                <c:pt idx="38">
                  <c:v>65.599999999999994</c:v>
                </c:pt>
                <c:pt idx="39">
                  <c:v>68.2</c:v>
                </c:pt>
                <c:pt idx="40">
                  <c:v>60.6</c:v>
                </c:pt>
                <c:pt idx="41">
                  <c:v>62.3</c:v>
                </c:pt>
                <c:pt idx="42">
                  <c:v>60.6</c:v>
                </c:pt>
                <c:pt idx="43">
                  <c:v>57.3</c:v>
                </c:pt>
                <c:pt idx="44">
                  <c:v>56</c:v>
                </c:pt>
                <c:pt idx="45">
                  <c:v>57.1</c:v>
                </c:pt>
                <c:pt idx="46">
                  <c:v>63.2</c:v>
                </c:pt>
                <c:pt idx="47">
                  <c:v>64</c:v>
                </c:pt>
                <c:pt idx="48">
                  <c:v>65.099999999999994</c:v>
                </c:pt>
                <c:pt idx="49">
                  <c:v>56.8</c:v>
                </c:pt>
                <c:pt idx="50">
                  <c:v>55.1</c:v>
                </c:pt>
                <c:pt idx="51">
                  <c:v>62.4</c:v>
                </c:pt>
                <c:pt idx="52">
                  <c:v>58.4</c:v>
                </c:pt>
                <c:pt idx="53">
                  <c:v>63.2</c:v>
                </c:pt>
                <c:pt idx="54">
                  <c:v>65</c:v>
                </c:pt>
                <c:pt idx="55">
                  <c:v>68.400000000000006</c:v>
                </c:pt>
                <c:pt idx="56">
                  <c:v>62.8</c:v>
                </c:pt>
                <c:pt idx="57">
                  <c:v>62.2</c:v>
                </c:pt>
                <c:pt idx="58">
                  <c:v>63.3</c:v>
                </c:pt>
                <c:pt idx="59">
                  <c:v>74.5</c:v>
                </c:pt>
                <c:pt idx="60">
                  <c:v>67.900000000000006</c:v>
                </c:pt>
                <c:pt idx="61">
                  <c:v>67</c:v>
                </c:pt>
                <c:pt idx="62">
                  <c:v>60</c:v>
                </c:pt>
                <c:pt idx="63">
                  <c:v>62</c:v>
                </c:pt>
                <c:pt idx="64">
                  <c:v>65.7</c:v>
                </c:pt>
                <c:pt idx="65">
                  <c:v>70.2</c:v>
                </c:pt>
                <c:pt idx="66">
                  <c:v>66.7</c:v>
                </c:pt>
                <c:pt idx="67">
                  <c:v>60.9</c:v>
                </c:pt>
                <c:pt idx="68">
                  <c:v>61.4</c:v>
                </c:pt>
                <c:pt idx="69">
                  <c:v>66.5</c:v>
                </c:pt>
                <c:pt idx="70">
                  <c:v>62.9</c:v>
                </c:pt>
                <c:pt idx="71">
                  <c:v>69</c:v>
                </c:pt>
                <c:pt idx="72">
                  <c:v>68</c:v>
                </c:pt>
                <c:pt idx="73">
                  <c:v>62.4</c:v>
                </c:pt>
                <c:pt idx="74">
                  <c:v>61.7</c:v>
                </c:pt>
                <c:pt idx="75">
                  <c:v>63.9</c:v>
                </c:pt>
                <c:pt idx="76">
                  <c:v>64.900000000000006</c:v>
                </c:pt>
                <c:pt idx="77">
                  <c:v>60.8</c:v>
                </c:pt>
                <c:pt idx="78">
                  <c:v>56.6</c:v>
                </c:pt>
                <c:pt idx="79">
                  <c:v>53.4</c:v>
                </c:pt>
                <c:pt idx="80">
                  <c:v>57.9</c:v>
                </c:pt>
                <c:pt idx="81">
                  <c:v>59.1</c:v>
                </c:pt>
                <c:pt idx="82">
                  <c:v>62.8</c:v>
                </c:pt>
                <c:pt idx="83">
                  <c:v>66</c:v>
                </c:pt>
                <c:pt idx="84">
                  <c:v>63.2</c:v>
                </c:pt>
                <c:pt idx="85">
                  <c:v>52.8</c:v>
                </c:pt>
                <c:pt idx="86">
                  <c:v>66.8</c:v>
                </c:pt>
                <c:pt idx="87">
                  <c:v>59</c:v>
                </c:pt>
                <c:pt idx="88">
                  <c:v>53.2</c:v>
                </c:pt>
                <c:pt idx="89">
                  <c:v>55.7</c:v>
                </c:pt>
                <c:pt idx="90">
                  <c:v>59</c:v>
                </c:pt>
                <c:pt idx="91">
                  <c:v>55</c:v>
                </c:pt>
                <c:pt idx="92">
                  <c:v>63.8</c:v>
                </c:pt>
                <c:pt idx="93">
                  <c:v>63.8</c:v>
                </c:pt>
                <c:pt idx="94">
                  <c:v>65.900000000000006</c:v>
                </c:pt>
                <c:pt idx="95">
                  <c:v>59.8</c:v>
                </c:pt>
                <c:pt idx="96">
                  <c:v>61.5</c:v>
                </c:pt>
                <c:pt idx="97">
                  <c:v>62.7</c:v>
                </c:pt>
                <c:pt idx="98">
                  <c:v>57.2</c:v>
                </c:pt>
                <c:pt idx="99">
                  <c:v>56.1</c:v>
                </c:pt>
                <c:pt idx="100">
                  <c:v>57</c:v>
                </c:pt>
                <c:pt idx="101" formatCode="General">
                  <c:v>56</c:v>
                </c:pt>
                <c:pt idx="102" formatCode="General">
                  <c:v>56.6</c:v>
                </c:pt>
              </c:numCache>
            </c:numRef>
          </c:val>
          <c:smooth val="0"/>
        </c:ser>
        <c:ser>
          <c:idx val="10"/>
          <c:order val="10"/>
          <c:tx>
            <c:strRef>
              <c:f>Sheet1!$A$13</c:f>
              <c:strCache>
                <c:ptCount val="1"/>
                <c:pt idx="0">
                  <c:v>     Financial and Insurance Services</c:v>
                </c:pt>
              </c:strCache>
            </c:strRef>
          </c:tx>
          <c:spPr>
            <a:ln w="28575" cap="rnd">
              <a:solidFill>
                <a:schemeClr val="accent5">
                  <a:lumMod val="60000"/>
                </a:schemeClr>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Sheet1!$B$13:$CZ$13</c:f>
              <c:numCache>
                <c:formatCode>0.0</c:formatCode>
                <c:ptCount val="103"/>
                <c:pt idx="0">
                  <c:v>96.3</c:v>
                </c:pt>
                <c:pt idx="1">
                  <c:v>96.5</c:v>
                </c:pt>
                <c:pt idx="2">
                  <c:v>83.4</c:v>
                </c:pt>
                <c:pt idx="3">
                  <c:v>80.400000000000006</c:v>
                </c:pt>
                <c:pt idx="4">
                  <c:v>78.900000000000006</c:v>
                </c:pt>
                <c:pt idx="5">
                  <c:v>83.8</c:v>
                </c:pt>
                <c:pt idx="6">
                  <c:v>90</c:v>
                </c:pt>
                <c:pt idx="7">
                  <c:v>96.4</c:v>
                </c:pt>
                <c:pt idx="8">
                  <c:v>87.1</c:v>
                </c:pt>
                <c:pt idx="9">
                  <c:v>92.1</c:v>
                </c:pt>
                <c:pt idx="10">
                  <c:v>88.8</c:v>
                </c:pt>
                <c:pt idx="11">
                  <c:v>88</c:v>
                </c:pt>
                <c:pt idx="12">
                  <c:v>88.8</c:v>
                </c:pt>
                <c:pt idx="13">
                  <c:v>82.6</c:v>
                </c:pt>
                <c:pt idx="14">
                  <c:v>82.9</c:v>
                </c:pt>
                <c:pt idx="15">
                  <c:v>86.7</c:v>
                </c:pt>
                <c:pt idx="16">
                  <c:v>87.4</c:v>
                </c:pt>
                <c:pt idx="17">
                  <c:v>78.900000000000006</c:v>
                </c:pt>
                <c:pt idx="18">
                  <c:v>83.5</c:v>
                </c:pt>
                <c:pt idx="19">
                  <c:v>80.900000000000006</c:v>
                </c:pt>
                <c:pt idx="20">
                  <c:v>78.3</c:v>
                </c:pt>
                <c:pt idx="21">
                  <c:v>77.400000000000006</c:v>
                </c:pt>
                <c:pt idx="22">
                  <c:v>81.400000000000006</c:v>
                </c:pt>
                <c:pt idx="23">
                  <c:v>93.6</c:v>
                </c:pt>
                <c:pt idx="24">
                  <c:v>90.7</c:v>
                </c:pt>
                <c:pt idx="25">
                  <c:v>88.4</c:v>
                </c:pt>
                <c:pt idx="26">
                  <c:v>82.9</c:v>
                </c:pt>
                <c:pt idx="27">
                  <c:v>87.1</c:v>
                </c:pt>
                <c:pt idx="28">
                  <c:v>96.6</c:v>
                </c:pt>
                <c:pt idx="29">
                  <c:v>100.7</c:v>
                </c:pt>
                <c:pt idx="30">
                  <c:v>89.1</c:v>
                </c:pt>
                <c:pt idx="31">
                  <c:v>79.5</c:v>
                </c:pt>
                <c:pt idx="32">
                  <c:v>74.5</c:v>
                </c:pt>
                <c:pt idx="33">
                  <c:v>83.1</c:v>
                </c:pt>
                <c:pt idx="34">
                  <c:v>89.2</c:v>
                </c:pt>
                <c:pt idx="35">
                  <c:v>83.1</c:v>
                </c:pt>
                <c:pt idx="36">
                  <c:v>88</c:v>
                </c:pt>
                <c:pt idx="37">
                  <c:v>83.6</c:v>
                </c:pt>
                <c:pt idx="38">
                  <c:v>86.3</c:v>
                </c:pt>
                <c:pt idx="39">
                  <c:v>90.6</c:v>
                </c:pt>
                <c:pt idx="40">
                  <c:v>90.7</c:v>
                </c:pt>
                <c:pt idx="41">
                  <c:v>96.9</c:v>
                </c:pt>
                <c:pt idx="42">
                  <c:v>88.7</c:v>
                </c:pt>
                <c:pt idx="43">
                  <c:v>87.7</c:v>
                </c:pt>
                <c:pt idx="44">
                  <c:v>86.7</c:v>
                </c:pt>
                <c:pt idx="45">
                  <c:v>100.5</c:v>
                </c:pt>
                <c:pt idx="46">
                  <c:v>97.4</c:v>
                </c:pt>
                <c:pt idx="47">
                  <c:v>85.7</c:v>
                </c:pt>
                <c:pt idx="48">
                  <c:v>85.5</c:v>
                </c:pt>
                <c:pt idx="49">
                  <c:v>83.4</c:v>
                </c:pt>
                <c:pt idx="50">
                  <c:v>91.5</c:v>
                </c:pt>
                <c:pt idx="51">
                  <c:v>87.4</c:v>
                </c:pt>
                <c:pt idx="52">
                  <c:v>88.1</c:v>
                </c:pt>
                <c:pt idx="53">
                  <c:v>95.7</c:v>
                </c:pt>
                <c:pt idx="54">
                  <c:v>108</c:v>
                </c:pt>
                <c:pt idx="55">
                  <c:v>101</c:v>
                </c:pt>
                <c:pt idx="56">
                  <c:v>94</c:v>
                </c:pt>
                <c:pt idx="57">
                  <c:v>93.1</c:v>
                </c:pt>
                <c:pt idx="58">
                  <c:v>92.5</c:v>
                </c:pt>
                <c:pt idx="59">
                  <c:v>100.7</c:v>
                </c:pt>
                <c:pt idx="60">
                  <c:v>101.3</c:v>
                </c:pt>
                <c:pt idx="61">
                  <c:v>102.2</c:v>
                </c:pt>
                <c:pt idx="62">
                  <c:v>107.1</c:v>
                </c:pt>
                <c:pt idx="63">
                  <c:v>113.6</c:v>
                </c:pt>
                <c:pt idx="64">
                  <c:v>103.1</c:v>
                </c:pt>
                <c:pt idx="65">
                  <c:v>110</c:v>
                </c:pt>
                <c:pt idx="66">
                  <c:v>109.3</c:v>
                </c:pt>
                <c:pt idx="67">
                  <c:v>111.3</c:v>
                </c:pt>
                <c:pt idx="68">
                  <c:v>104.9</c:v>
                </c:pt>
                <c:pt idx="69">
                  <c:v>90.3</c:v>
                </c:pt>
                <c:pt idx="70">
                  <c:v>93.3</c:v>
                </c:pt>
                <c:pt idx="71">
                  <c:v>98.4</c:v>
                </c:pt>
                <c:pt idx="72">
                  <c:v>104.7</c:v>
                </c:pt>
                <c:pt idx="73">
                  <c:v>116.6</c:v>
                </c:pt>
                <c:pt idx="74">
                  <c:v>117.2</c:v>
                </c:pt>
                <c:pt idx="75">
                  <c:v>103.6</c:v>
                </c:pt>
                <c:pt idx="76">
                  <c:v>110.5</c:v>
                </c:pt>
                <c:pt idx="77">
                  <c:v>113.2</c:v>
                </c:pt>
                <c:pt idx="78">
                  <c:v>121.3</c:v>
                </c:pt>
                <c:pt idx="79">
                  <c:v>129.80000000000001</c:v>
                </c:pt>
                <c:pt idx="80">
                  <c:v>126.4</c:v>
                </c:pt>
                <c:pt idx="81">
                  <c:v>104.5</c:v>
                </c:pt>
                <c:pt idx="82">
                  <c:v>106.7</c:v>
                </c:pt>
                <c:pt idx="83">
                  <c:v>113.2</c:v>
                </c:pt>
                <c:pt idx="84">
                  <c:v>110.4</c:v>
                </c:pt>
                <c:pt idx="85">
                  <c:v>116.2</c:v>
                </c:pt>
                <c:pt idx="86">
                  <c:v>116.3</c:v>
                </c:pt>
                <c:pt idx="87">
                  <c:v>119.5</c:v>
                </c:pt>
                <c:pt idx="88">
                  <c:v>112.4</c:v>
                </c:pt>
                <c:pt idx="89">
                  <c:v>114.4</c:v>
                </c:pt>
                <c:pt idx="90">
                  <c:v>119.3</c:v>
                </c:pt>
                <c:pt idx="91">
                  <c:v>116.8</c:v>
                </c:pt>
                <c:pt idx="92">
                  <c:v>117</c:v>
                </c:pt>
                <c:pt idx="93">
                  <c:v>107.2</c:v>
                </c:pt>
                <c:pt idx="94">
                  <c:v>105.1</c:v>
                </c:pt>
                <c:pt idx="95">
                  <c:v>106.8</c:v>
                </c:pt>
                <c:pt idx="96">
                  <c:v>114.9</c:v>
                </c:pt>
                <c:pt idx="97">
                  <c:v>118.8</c:v>
                </c:pt>
                <c:pt idx="98">
                  <c:v>113.1</c:v>
                </c:pt>
                <c:pt idx="99">
                  <c:v>113.6</c:v>
                </c:pt>
                <c:pt idx="100">
                  <c:v>115.4</c:v>
                </c:pt>
                <c:pt idx="101" formatCode="General">
                  <c:v>116.7</c:v>
                </c:pt>
                <c:pt idx="102" formatCode="General">
                  <c:v>129</c:v>
                </c:pt>
              </c:numCache>
            </c:numRef>
          </c:val>
          <c:smooth val="0"/>
        </c:ser>
        <c:ser>
          <c:idx val="11"/>
          <c:order val="11"/>
          <c:tx>
            <c:strRef>
              <c:f>Sheet1!$A$14</c:f>
              <c:strCache>
                <c:ptCount val="1"/>
                <c:pt idx="0">
                  <c:v>     Rental, Hiring and Real Estate Services</c:v>
                </c:pt>
              </c:strCache>
            </c:strRef>
          </c:tx>
          <c:spPr>
            <a:ln w="28575" cap="rnd">
              <a:solidFill>
                <a:schemeClr val="accent6">
                  <a:lumMod val="60000"/>
                </a:schemeClr>
              </a:solidFill>
              <a:round/>
            </a:ln>
            <a:effectLst/>
          </c:spPr>
          <c:marker>
            <c:symbol val="square"/>
            <c:size val="5"/>
            <c:spPr>
              <a:solidFill>
                <a:schemeClr val="accent6">
                  <a:lumMod val="60000"/>
                </a:schemeClr>
              </a:solidFill>
              <a:ln w="9525">
                <a:solidFill>
                  <a:schemeClr val="accent6">
                    <a:lumMod val="6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Sheet1!$B$14:$CZ$14</c:f>
              <c:numCache>
                <c:formatCode>0.0</c:formatCode>
                <c:ptCount val="103"/>
                <c:pt idx="0">
                  <c:v>24.2</c:v>
                </c:pt>
                <c:pt idx="1">
                  <c:v>25.1</c:v>
                </c:pt>
                <c:pt idx="2">
                  <c:v>24.5</c:v>
                </c:pt>
                <c:pt idx="3">
                  <c:v>23.6</c:v>
                </c:pt>
                <c:pt idx="4">
                  <c:v>25.9</c:v>
                </c:pt>
                <c:pt idx="5">
                  <c:v>25.9</c:v>
                </c:pt>
                <c:pt idx="6">
                  <c:v>21.2</c:v>
                </c:pt>
                <c:pt idx="7">
                  <c:v>22.2</c:v>
                </c:pt>
                <c:pt idx="8">
                  <c:v>20.3</c:v>
                </c:pt>
                <c:pt idx="9">
                  <c:v>20.3</c:v>
                </c:pt>
                <c:pt idx="10">
                  <c:v>23.1</c:v>
                </c:pt>
                <c:pt idx="11">
                  <c:v>23.5</c:v>
                </c:pt>
                <c:pt idx="12">
                  <c:v>24</c:v>
                </c:pt>
                <c:pt idx="13">
                  <c:v>18.899999999999999</c:v>
                </c:pt>
                <c:pt idx="14">
                  <c:v>21</c:v>
                </c:pt>
                <c:pt idx="15">
                  <c:v>23.2</c:v>
                </c:pt>
                <c:pt idx="16">
                  <c:v>22.3</c:v>
                </c:pt>
                <c:pt idx="17">
                  <c:v>22.4</c:v>
                </c:pt>
                <c:pt idx="18">
                  <c:v>19.8</c:v>
                </c:pt>
                <c:pt idx="19">
                  <c:v>20.3</c:v>
                </c:pt>
                <c:pt idx="20">
                  <c:v>21.5</c:v>
                </c:pt>
                <c:pt idx="21">
                  <c:v>23.2</c:v>
                </c:pt>
                <c:pt idx="22">
                  <c:v>21.2</c:v>
                </c:pt>
                <c:pt idx="23">
                  <c:v>25.8</c:v>
                </c:pt>
                <c:pt idx="24">
                  <c:v>26.3</c:v>
                </c:pt>
                <c:pt idx="25">
                  <c:v>25</c:v>
                </c:pt>
                <c:pt idx="26">
                  <c:v>21.9</c:v>
                </c:pt>
                <c:pt idx="27">
                  <c:v>23.4</c:v>
                </c:pt>
                <c:pt idx="28">
                  <c:v>24.5</c:v>
                </c:pt>
                <c:pt idx="29">
                  <c:v>24.2</c:v>
                </c:pt>
                <c:pt idx="30">
                  <c:v>25</c:v>
                </c:pt>
                <c:pt idx="31">
                  <c:v>34.6</c:v>
                </c:pt>
                <c:pt idx="32">
                  <c:v>28.4</c:v>
                </c:pt>
                <c:pt idx="33">
                  <c:v>25.2</c:v>
                </c:pt>
                <c:pt idx="34">
                  <c:v>29.1</c:v>
                </c:pt>
                <c:pt idx="35">
                  <c:v>28.3</c:v>
                </c:pt>
                <c:pt idx="36">
                  <c:v>28.3</c:v>
                </c:pt>
                <c:pt idx="37">
                  <c:v>26.4</c:v>
                </c:pt>
                <c:pt idx="38">
                  <c:v>20.6</c:v>
                </c:pt>
                <c:pt idx="39">
                  <c:v>22.5</c:v>
                </c:pt>
                <c:pt idx="40">
                  <c:v>26.9</c:v>
                </c:pt>
                <c:pt idx="41">
                  <c:v>32.6</c:v>
                </c:pt>
                <c:pt idx="42">
                  <c:v>38</c:v>
                </c:pt>
                <c:pt idx="43">
                  <c:v>31</c:v>
                </c:pt>
                <c:pt idx="44">
                  <c:v>37.1</c:v>
                </c:pt>
                <c:pt idx="45">
                  <c:v>33.299999999999997</c:v>
                </c:pt>
                <c:pt idx="46">
                  <c:v>30.3</c:v>
                </c:pt>
                <c:pt idx="47">
                  <c:v>29.7</c:v>
                </c:pt>
                <c:pt idx="48">
                  <c:v>36.799999999999997</c:v>
                </c:pt>
                <c:pt idx="49">
                  <c:v>35.4</c:v>
                </c:pt>
                <c:pt idx="50">
                  <c:v>38.799999999999997</c:v>
                </c:pt>
                <c:pt idx="51">
                  <c:v>32.6</c:v>
                </c:pt>
                <c:pt idx="52">
                  <c:v>38.299999999999997</c:v>
                </c:pt>
                <c:pt idx="53">
                  <c:v>33.700000000000003</c:v>
                </c:pt>
                <c:pt idx="54">
                  <c:v>31.2</c:v>
                </c:pt>
                <c:pt idx="55">
                  <c:v>34.799999999999997</c:v>
                </c:pt>
                <c:pt idx="56">
                  <c:v>36.4</c:v>
                </c:pt>
                <c:pt idx="57">
                  <c:v>38.6</c:v>
                </c:pt>
                <c:pt idx="58">
                  <c:v>37.9</c:v>
                </c:pt>
                <c:pt idx="59">
                  <c:v>36.799999999999997</c:v>
                </c:pt>
                <c:pt idx="60">
                  <c:v>39.5</c:v>
                </c:pt>
                <c:pt idx="61">
                  <c:v>37.700000000000003</c:v>
                </c:pt>
                <c:pt idx="62">
                  <c:v>40.9</c:v>
                </c:pt>
                <c:pt idx="63">
                  <c:v>39.299999999999997</c:v>
                </c:pt>
                <c:pt idx="64">
                  <c:v>42.9</c:v>
                </c:pt>
                <c:pt idx="65">
                  <c:v>42.5</c:v>
                </c:pt>
                <c:pt idx="66">
                  <c:v>49.5</c:v>
                </c:pt>
                <c:pt idx="67">
                  <c:v>51</c:v>
                </c:pt>
                <c:pt idx="68">
                  <c:v>46.1</c:v>
                </c:pt>
                <c:pt idx="69">
                  <c:v>47.9</c:v>
                </c:pt>
                <c:pt idx="70">
                  <c:v>35.6</c:v>
                </c:pt>
                <c:pt idx="71">
                  <c:v>39.1</c:v>
                </c:pt>
                <c:pt idx="72">
                  <c:v>38.6</c:v>
                </c:pt>
                <c:pt idx="73">
                  <c:v>34.1</c:v>
                </c:pt>
                <c:pt idx="74">
                  <c:v>33.1</c:v>
                </c:pt>
                <c:pt idx="75">
                  <c:v>41.3</c:v>
                </c:pt>
                <c:pt idx="76">
                  <c:v>38.9</c:v>
                </c:pt>
                <c:pt idx="77">
                  <c:v>43.1</c:v>
                </c:pt>
                <c:pt idx="78">
                  <c:v>42.1</c:v>
                </c:pt>
                <c:pt idx="79">
                  <c:v>45.3</c:v>
                </c:pt>
                <c:pt idx="80">
                  <c:v>43</c:v>
                </c:pt>
                <c:pt idx="81">
                  <c:v>45.4</c:v>
                </c:pt>
                <c:pt idx="82">
                  <c:v>51.8</c:v>
                </c:pt>
                <c:pt idx="83">
                  <c:v>47.7</c:v>
                </c:pt>
                <c:pt idx="84">
                  <c:v>42.5</c:v>
                </c:pt>
                <c:pt idx="85">
                  <c:v>42.6</c:v>
                </c:pt>
                <c:pt idx="86">
                  <c:v>43.3</c:v>
                </c:pt>
                <c:pt idx="87">
                  <c:v>47</c:v>
                </c:pt>
                <c:pt idx="88">
                  <c:v>38.700000000000003</c:v>
                </c:pt>
                <c:pt idx="89">
                  <c:v>38.6</c:v>
                </c:pt>
                <c:pt idx="90">
                  <c:v>43</c:v>
                </c:pt>
                <c:pt idx="91">
                  <c:v>44.6</c:v>
                </c:pt>
                <c:pt idx="92">
                  <c:v>42.3</c:v>
                </c:pt>
                <c:pt idx="93">
                  <c:v>47.2</c:v>
                </c:pt>
                <c:pt idx="94">
                  <c:v>46.2</c:v>
                </c:pt>
                <c:pt idx="95">
                  <c:v>48.8</c:v>
                </c:pt>
                <c:pt idx="96">
                  <c:v>52.2</c:v>
                </c:pt>
                <c:pt idx="97">
                  <c:v>46.4</c:v>
                </c:pt>
                <c:pt idx="98">
                  <c:v>47.7</c:v>
                </c:pt>
                <c:pt idx="99">
                  <c:v>43.2</c:v>
                </c:pt>
                <c:pt idx="100">
                  <c:v>43.6</c:v>
                </c:pt>
                <c:pt idx="101" formatCode="General">
                  <c:v>49.6</c:v>
                </c:pt>
                <c:pt idx="102" formatCode="General">
                  <c:v>52.3</c:v>
                </c:pt>
              </c:numCache>
            </c:numRef>
          </c:val>
          <c:smooth val="0"/>
        </c:ser>
        <c:ser>
          <c:idx val="12"/>
          <c:order val="12"/>
          <c:tx>
            <c:strRef>
              <c:f>Sheet1!$A$15</c:f>
              <c:strCache>
                <c:ptCount val="1"/>
                <c:pt idx="0">
                  <c:v>     Professional, Scientific and Technical Services</c:v>
                </c:pt>
              </c:strCache>
            </c:strRef>
          </c:tx>
          <c:spPr>
            <a:ln w="28575" cap="rnd">
              <a:solidFill>
                <a:schemeClr val="accent1">
                  <a:lumMod val="80000"/>
                  <a:lumOff val="20000"/>
                </a:schemeClr>
              </a:solidFill>
              <a:round/>
            </a:ln>
            <a:effectLst/>
          </c:spPr>
          <c:marker>
            <c:symbol val="diamond"/>
            <c:size val="5"/>
            <c:spPr>
              <a:solidFill>
                <a:schemeClr val="accent1">
                  <a:lumMod val="80000"/>
                  <a:lumOff val="20000"/>
                </a:schemeClr>
              </a:solidFill>
              <a:ln w="9525">
                <a:solidFill>
                  <a:schemeClr val="accent1">
                    <a:lumMod val="80000"/>
                    <a:lumOff val="2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Sheet1!$B$15:$CZ$15</c:f>
              <c:numCache>
                <c:formatCode>0.0</c:formatCode>
                <c:ptCount val="103"/>
                <c:pt idx="0">
                  <c:v>99</c:v>
                </c:pt>
                <c:pt idx="1">
                  <c:v>99.4</c:v>
                </c:pt>
                <c:pt idx="2">
                  <c:v>106</c:v>
                </c:pt>
                <c:pt idx="3">
                  <c:v>99.8</c:v>
                </c:pt>
                <c:pt idx="4">
                  <c:v>107</c:v>
                </c:pt>
                <c:pt idx="5">
                  <c:v>103.1</c:v>
                </c:pt>
                <c:pt idx="6">
                  <c:v>91.2</c:v>
                </c:pt>
                <c:pt idx="7">
                  <c:v>95.1</c:v>
                </c:pt>
                <c:pt idx="8">
                  <c:v>96</c:v>
                </c:pt>
                <c:pt idx="9">
                  <c:v>93.3</c:v>
                </c:pt>
                <c:pt idx="10">
                  <c:v>104.4</c:v>
                </c:pt>
                <c:pt idx="11">
                  <c:v>104.5</c:v>
                </c:pt>
                <c:pt idx="12">
                  <c:v>122.7</c:v>
                </c:pt>
                <c:pt idx="13">
                  <c:v>119.6</c:v>
                </c:pt>
                <c:pt idx="14">
                  <c:v>123.9</c:v>
                </c:pt>
                <c:pt idx="15">
                  <c:v>139</c:v>
                </c:pt>
                <c:pt idx="16">
                  <c:v>137.6</c:v>
                </c:pt>
                <c:pt idx="17">
                  <c:v>145.19999999999999</c:v>
                </c:pt>
                <c:pt idx="18">
                  <c:v>139.80000000000001</c:v>
                </c:pt>
                <c:pt idx="19">
                  <c:v>139.6</c:v>
                </c:pt>
                <c:pt idx="20">
                  <c:v>140.69999999999999</c:v>
                </c:pt>
                <c:pt idx="21">
                  <c:v>137</c:v>
                </c:pt>
                <c:pt idx="22">
                  <c:v>135</c:v>
                </c:pt>
                <c:pt idx="23">
                  <c:v>148.4</c:v>
                </c:pt>
                <c:pt idx="24">
                  <c:v>157.80000000000001</c:v>
                </c:pt>
                <c:pt idx="25">
                  <c:v>155.9</c:v>
                </c:pt>
                <c:pt idx="26">
                  <c:v>158.80000000000001</c:v>
                </c:pt>
                <c:pt idx="27">
                  <c:v>155.1</c:v>
                </c:pt>
                <c:pt idx="28">
                  <c:v>160.69999999999999</c:v>
                </c:pt>
                <c:pt idx="29">
                  <c:v>158.1</c:v>
                </c:pt>
                <c:pt idx="30">
                  <c:v>146.69999999999999</c:v>
                </c:pt>
                <c:pt idx="31">
                  <c:v>151</c:v>
                </c:pt>
                <c:pt idx="32">
                  <c:v>166.3</c:v>
                </c:pt>
                <c:pt idx="33">
                  <c:v>158.5</c:v>
                </c:pt>
                <c:pt idx="34">
                  <c:v>153.80000000000001</c:v>
                </c:pt>
                <c:pt idx="35">
                  <c:v>153.69999999999999</c:v>
                </c:pt>
                <c:pt idx="36">
                  <c:v>155.1</c:v>
                </c:pt>
                <c:pt idx="37">
                  <c:v>158.6</c:v>
                </c:pt>
                <c:pt idx="38">
                  <c:v>167.7</c:v>
                </c:pt>
                <c:pt idx="39">
                  <c:v>162.4</c:v>
                </c:pt>
                <c:pt idx="40">
                  <c:v>156.30000000000001</c:v>
                </c:pt>
                <c:pt idx="41">
                  <c:v>146.1</c:v>
                </c:pt>
                <c:pt idx="42">
                  <c:v>162.19999999999999</c:v>
                </c:pt>
                <c:pt idx="43">
                  <c:v>159.69999999999999</c:v>
                </c:pt>
                <c:pt idx="44">
                  <c:v>153.30000000000001</c:v>
                </c:pt>
                <c:pt idx="45">
                  <c:v>152.69999999999999</c:v>
                </c:pt>
                <c:pt idx="46">
                  <c:v>168.5</c:v>
                </c:pt>
                <c:pt idx="47">
                  <c:v>161.19999999999999</c:v>
                </c:pt>
                <c:pt idx="48">
                  <c:v>167.3</c:v>
                </c:pt>
                <c:pt idx="49">
                  <c:v>165.5</c:v>
                </c:pt>
                <c:pt idx="50">
                  <c:v>164.1</c:v>
                </c:pt>
                <c:pt idx="51">
                  <c:v>163.30000000000001</c:v>
                </c:pt>
                <c:pt idx="52">
                  <c:v>160.6</c:v>
                </c:pt>
                <c:pt idx="53">
                  <c:v>167.7</c:v>
                </c:pt>
                <c:pt idx="54">
                  <c:v>167.2</c:v>
                </c:pt>
                <c:pt idx="55">
                  <c:v>170.5</c:v>
                </c:pt>
                <c:pt idx="56">
                  <c:v>185.6</c:v>
                </c:pt>
                <c:pt idx="57">
                  <c:v>193.1</c:v>
                </c:pt>
                <c:pt idx="58">
                  <c:v>189</c:v>
                </c:pt>
                <c:pt idx="59">
                  <c:v>192</c:v>
                </c:pt>
                <c:pt idx="60">
                  <c:v>196.5</c:v>
                </c:pt>
                <c:pt idx="61">
                  <c:v>186.3</c:v>
                </c:pt>
                <c:pt idx="62">
                  <c:v>189.9</c:v>
                </c:pt>
                <c:pt idx="63">
                  <c:v>195.6</c:v>
                </c:pt>
                <c:pt idx="64">
                  <c:v>212.1</c:v>
                </c:pt>
                <c:pt idx="65">
                  <c:v>212.9</c:v>
                </c:pt>
                <c:pt idx="66">
                  <c:v>215</c:v>
                </c:pt>
                <c:pt idx="67">
                  <c:v>205.5</c:v>
                </c:pt>
                <c:pt idx="68">
                  <c:v>193.7</c:v>
                </c:pt>
                <c:pt idx="69">
                  <c:v>215.3</c:v>
                </c:pt>
                <c:pt idx="70">
                  <c:v>204.5</c:v>
                </c:pt>
                <c:pt idx="71">
                  <c:v>193.3</c:v>
                </c:pt>
                <c:pt idx="72">
                  <c:v>207.4</c:v>
                </c:pt>
                <c:pt idx="73">
                  <c:v>222.9</c:v>
                </c:pt>
                <c:pt idx="74">
                  <c:v>220.3</c:v>
                </c:pt>
                <c:pt idx="75">
                  <c:v>216.9</c:v>
                </c:pt>
                <c:pt idx="76">
                  <c:v>219</c:v>
                </c:pt>
                <c:pt idx="77">
                  <c:v>218.1</c:v>
                </c:pt>
                <c:pt idx="78">
                  <c:v>234</c:v>
                </c:pt>
                <c:pt idx="79">
                  <c:v>222.5</c:v>
                </c:pt>
                <c:pt idx="80">
                  <c:v>236.8</c:v>
                </c:pt>
                <c:pt idx="81">
                  <c:v>220.7</c:v>
                </c:pt>
                <c:pt idx="82">
                  <c:v>241.4</c:v>
                </c:pt>
                <c:pt idx="83">
                  <c:v>245.6</c:v>
                </c:pt>
                <c:pt idx="84">
                  <c:v>244.5</c:v>
                </c:pt>
                <c:pt idx="85">
                  <c:v>246.6</c:v>
                </c:pt>
                <c:pt idx="86">
                  <c:v>251.8</c:v>
                </c:pt>
                <c:pt idx="87">
                  <c:v>242.9</c:v>
                </c:pt>
                <c:pt idx="88">
                  <c:v>269.8</c:v>
                </c:pt>
                <c:pt idx="89">
                  <c:v>247.1</c:v>
                </c:pt>
                <c:pt idx="90">
                  <c:v>242</c:v>
                </c:pt>
                <c:pt idx="91">
                  <c:v>246.7</c:v>
                </c:pt>
                <c:pt idx="92">
                  <c:v>242.6</c:v>
                </c:pt>
                <c:pt idx="93">
                  <c:v>236.4</c:v>
                </c:pt>
                <c:pt idx="94">
                  <c:v>272.5</c:v>
                </c:pt>
                <c:pt idx="95">
                  <c:v>274</c:v>
                </c:pt>
                <c:pt idx="96">
                  <c:v>249.4</c:v>
                </c:pt>
                <c:pt idx="97">
                  <c:v>255.1</c:v>
                </c:pt>
                <c:pt idx="98">
                  <c:v>257</c:v>
                </c:pt>
                <c:pt idx="99">
                  <c:v>266.8</c:v>
                </c:pt>
                <c:pt idx="100">
                  <c:v>274</c:v>
                </c:pt>
                <c:pt idx="101" formatCode="General">
                  <c:v>256.3</c:v>
                </c:pt>
                <c:pt idx="102" formatCode="General">
                  <c:v>276.3</c:v>
                </c:pt>
              </c:numCache>
            </c:numRef>
          </c:val>
          <c:smooth val="0"/>
        </c:ser>
        <c:ser>
          <c:idx val="13"/>
          <c:order val="13"/>
          <c:tx>
            <c:strRef>
              <c:f>Sheet1!$A$16</c:f>
              <c:strCache>
                <c:ptCount val="1"/>
                <c:pt idx="0">
                  <c:v>     Administrative and Support Services</c:v>
                </c:pt>
              </c:strCache>
            </c:strRef>
          </c:tx>
          <c:spPr>
            <a:ln w="28575" cap="rnd">
              <a:solidFill>
                <a:schemeClr val="accent2">
                  <a:lumMod val="80000"/>
                  <a:lumOff val="20000"/>
                </a:schemeClr>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Sheet1!$B$16:$CZ$16</c:f>
              <c:numCache>
                <c:formatCode>0.0</c:formatCode>
                <c:ptCount val="103"/>
                <c:pt idx="0">
                  <c:v>43.3</c:v>
                </c:pt>
                <c:pt idx="1">
                  <c:v>43.4</c:v>
                </c:pt>
                <c:pt idx="2">
                  <c:v>48.8</c:v>
                </c:pt>
                <c:pt idx="3">
                  <c:v>46.9</c:v>
                </c:pt>
                <c:pt idx="4">
                  <c:v>49.6</c:v>
                </c:pt>
                <c:pt idx="5">
                  <c:v>49.5</c:v>
                </c:pt>
                <c:pt idx="6">
                  <c:v>45.8</c:v>
                </c:pt>
                <c:pt idx="7">
                  <c:v>51.1</c:v>
                </c:pt>
                <c:pt idx="8">
                  <c:v>51.6</c:v>
                </c:pt>
                <c:pt idx="9">
                  <c:v>51.5</c:v>
                </c:pt>
                <c:pt idx="10">
                  <c:v>53.7</c:v>
                </c:pt>
                <c:pt idx="11">
                  <c:v>58.1</c:v>
                </c:pt>
                <c:pt idx="12">
                  <c:v>53.1</c:v>
                </c:pt>
                <c:pt idx="13">
                  <c:v>49.1</c:v>
                </c:pt>
                <c:pt idx="14">
                  <c:v>56.2</c:v>
                </c:pt>
                <c:pt idx="15">
                  <c:v>53.8</c:v>
                </c:pt>
                <c:pt idx="16">
                  <c:v>56</c:v>
                </c:pt>
                <c:pt idx="17">
                  <c:v>59.1</c:v>
                </c:pt>
                <c:pt idx="18">
                  <c:v>62.7</c:v>
                </c:pt>
                <c:pt idx="19">
                  <c:v>61.8</c:v>
                </c:pt>
                <c:pt idx="20">
                  <c:v>62.8</c:v>
                </c:pt>
                <c:pt idx="21">
                  <c:v>69.099999999999994</c:v>
                </c:pt>
                <c:pt idx="22">
                  <c:v>67.900000000000006</c:v>
                </c:pt>
                <c:pt idx="23">
                  <c:v>61.8</c:v>
                </c:pt>
                <c:pt idx="24">
                  <c:v>67.3</c:v>
                </c:pt>
                <c:pt idx="25">
                  <c:v>64.900000000000006</c:v>
                </c:pt>
                <c:pt idx="26">
                  <c:v>71.5</c:v>
                </c:pt>
                <c:pt idx="27">
                  <c:v>71.400000000000006</c:v>
                </c:pt>
                <c:pt idx="28">
                  <c:v>75.900000000000006</c:v>
                </c:pt>
                <c:pt idx="29">
                  <c:v>80.5</c:v>
                </c:pt>
                <c:pt idx="30">
                  <c:v>77.8</c:v>
                </c:pt>
                <c:pt idx="31">
                  <c:v>83.4</c:v>
                </c:pt>
                <c:pt idx="32">
                  <c:v>89.6</c:v>
                </c:pt>
                <c:pt idx="33">
                  <c:v>79.900000000000006</c:v>
                </c:pt>
                <c:pt idx="34">
                  <c:v>82.4</c:v>
                </c:pt>
                <c:pt idx="35">
                  <c:v>79.3</c:v>
                </c:pt>
                <c:pt idx="36">
                  <c:v>93.6</c:v>
                </c:pt>
                <c:pt idx="37">
                  <c:v>95.4</c:v>
                </c:pt>
                <c:pt idx="38">
                  <c:v>90.5</c:v>
                </c:pt>
                <c:pt idx="39">
                  <c:v>79.900000000000006</c:v>
                </c:pt>
                <c:pt idx="40">
                  <c:v>74.7</c:v>
                </c:pt>
                <c:pt idx="41">
                  <c:v>76.2</c:v>
                </c:pt>
                <c:pt idx="42">
                  <c:v>78.3</c:v>
                </c:pt>
                <c:pt idx="43">
                  <c:v>82.4</c:v>
                </c:pt>
                <c:pt idx="44">
                  <c:v>88.8</c:v>
                </c:pt>
                <c:pt idx="45">
                  <c:v>86.9</c:v>
                </c:pt>
                <c:pt idx="46">
                  <c:v>87</c:v>
                </c:pt>
                <c:pt idx="47">
                  <c:v>83.9</c:v>
                </c:pt>
                <c:pt idx="48">
                  <c:v>86.5</c:v>
                </c:pt>
                <c:pt idx="49">
                  <c:v>94.6</c:v>
                </c:pt>
                <c:pt idx="50">
                  <c:v>79.900000000000006</c:v>
                </c:pt>
                <c:pt idx="51">
                  <c:v>81.2</c:v>
                </c:pt>
                <c:pt idx="52">
                  <c:v>81.7</c:v>
                </c:pt>
                <c:pt idx="53">
                  <c:v>86.6</c:v>
                </c:pt>
                <c:pt idx="54">
                  <c:v>88.9</c:v>
                </c:pt>
                <c:pt idx="55">
                  <c:v>85.7</c:v>
                </c:pt>
                <c:pt idx="56">
                  <c:v>88.6</c:v>
                </c:pt>
                <c:pt idx="57">
                  <c:v>98.1</c:v>
                </c:pt>
                <c:pt idx="58">
                  <c:v>97.6</c:v>
                </c:pt>
                <c:pt idx="59">
                  <c:v>78.900000000000006</c:v>
                </c:pt>
                <c:pt idx="60">
                  <c:v>95.6</c:v>
                </c:pt>
                <c:pt idx="61">
                  <c:v>80.8</c:v>
                </c:pt>
                <c:pt idx="62">
                  <c:v>81.2</c:v>
                </c:pt>
                <c:pt idx="63">
                  <c:v>80.599999999999994</c:v>
                </c:pt>
                <c:pt idx="64">
                  <c:v>88.8</c:v>
                </c:pt>
                <c:pt idx="65">
                  <c:v>84.2</c:v>
                </c:pt>
                <c:pt idx="66">
                  <c:v>84.1</c:v>
                </c:pt>
                <c:pt idx="67">
                  <c:v>94.7</c:v>
                </c:pt>
                <c:pt idx="68">
                  <c:v>98.5</c:v>
                </c:pt>
                <c:pt idx="69">
                  <c:v>84.6</c:v>
                </c:pt>
                <c:pt idx="70">
                  <c:v>86.9</c:v>
                </c:pt>
                <c:pt idx="71">
                  <c:v>90.2</c:v>
                </c:pt>
                <c:pt idx="72">
                  <c:v>100.3</c:v>
                </c:pt>
                <c:pt idx="73">
                  <c:v>95.2</c:v>
                </c:pt>
                <c:pt idx="74">
                  <c:v>96.3</c:v>
                </c:pt>
                <c:pt idx="75">
                  <c:v>98.9</c:v>
                </c:pt>
                <c:pt idx="76">
                  <c:v>98.7</c:v>
                </c:pt>
                <c:pt idx="77">
                  <c:v>102.7</c:v>
                </c:pt>
                <c:pt idx="78">
                  <c:v>101.2</c:v>
                </c:pt>
                <c:pt idx="79">
                  <c:v>100.4</c:v>
                </c:pt>
                <c:pt idx="80">
                  <c:v>106.5</c:v>
                </c:pt>
                <c:pt idx="81">
                  <c:v>108.6</c:v>
                </c:pt>
                <c:pt idx="82">
                  <c:v>103.1</c:v>
                </c:pt>
                <c:pt idx="83">
                  <c:v>95.2</c:v>
                </c:pt>
                <c:pt idx="84">
                  <c:v>91.3</c:v>
                </c:pt>
                <c:pt idx="85">
                  <c:v>93.6</c:v>
                </c:pt>
                <c:pt idx="86">
                  <c:v>91.6</c:v>
                </c:pt>
                <c:pt idx="87">
                  <c:v>97.1</c:v>
                </c:pt>
                <c:pt idx="88">
                  <c:v>96.7</c:v>
                </c:pt>
                <c:pt idx="89">
                  <c:v>99.1</c:v>
                </c:pt>
                <c:pt idx="90">
                  <c:v>99.4</c:v>
                </c:pt>
                <c:pt idx="91">
                  <c:v>91.8</c:v>
                </c:pt>
                <c:pt idx="92">
                  <c:v>89.3</c:v>
                </c:pt>
                <c:pt idx="93">
                  <c:v>87.2</c:v>
                </c:pt>
                <c:pt idx="94">
                  <c:v>107.8</c:v>
                </c:pt>
                <c:pt idx="95">
                  <c:v>112.6</c:v>
                </c:pt>
                <c:pt idx="96">
                  <c:v>110.4</c:v>
                </c:pt>
                <c:pt idx="97">
                  <c:v>108.3</c:v>
                </c:pt>
                <c:pt idx="98">
                  <c:v>115.3</c:v>
                </c:pt>
                <c:pt idx="99">
                  <c:v>107.3</c:v>
                </c:pt>
                <c:pt idx="100">
                  <c:v>118.8</c:v>
                </c:pt>
                <c:pt idx="101" formatCode="General">
                  <c:v>112.6</c:v>
                </c:pt>
                <c:pt idx="102" formatCode="General">
                  <c:v>117.1</c:v>
                </c:pt>
              </c:numCache>
            </c:numRef>
          </c:val>
          <c:smooth val="0"/>
        </c:ser>
        <c:ser>
          <c:idx val="14"/>
          <c:order val="14"/>
          <c:tx>
            <c:strRef>
              <c:f>Sheet1!$A$17</c:f>
              <c:strCache>
                <c:ptCount val="1"/>
                <c:pt idx="0">
                  <c:v>     Public Administration and Safety</c:v>
                </c:pt>
              </c:strCache>
            </c:strRef>
          </c:tx>
          <c:spPr>
            <a:ln w="28575" cap="rnd">
              <a:solidFill>
                <a:srgbClr val="7030A0"/>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Sheet1!$B$17:$CZ$17</c:f>
              <c:numCache>
                <c:formatCode>0.0</c:formatCode>
                <c:ptCount val="103"/>
                <c:pt idx="0">
                  <c:v>118.5</c:v>
                </c:pt>
                <c:pt idx="1">
                  <c:v>110.3</c:v>
                </c:pt>
                <c:pt idx="2">
                  <c:v>114.2</c:v>
                </c:pt>
                <c:pt idx="3">
                  <c:v>107.1</c:v>
                </c:pt>
                <c:pt idx="4">
                  <c:v>109.3</c:v>
                </c:pt>
                <c:pt idx="5">
                  <c:v>121</c:v>
                </c:pt>
                <c:pt idx="6">
                  <c:v>113.6</c:v>
                </c:pt>
                <c:pt idx="7">
                  <c:v>111.7</c:v>
                </c:pt>
                <c:pt idx="8">
                  <c:v>120.4</c:v>
                </c:pt>
                <c:pt idx="9">
                  <c:v>106.6</c:v>
                </c:pt>
                <c:pt idx="10">
                  <c:v>108.1</c:v>
                </c:pt>
                <c:pt idx="11">
                  <c:v>108.9</c:v>
                </c:pt>
                <c:pt idx="12">
                  <c:v>106.8</c:v>
                </c:pt>
                <c:pt idx="13">
                  <c:v>109.3</c:v>
                </c:pt>
                <c:pt idx="14">
                  <c:v>105.6</c:v>
                </c:pt>
                <c:pt idx="15">
                  <c:v>108.5</c:v>
                </c:pt>
                <c:pt idx="16">
                  <c:v>103.6</c:v>
                </c:pt>
                <c:pt idx="17">
                  <c:v>104.5</c:v>
                </c:pt>
                <c:pt idx="18">
                  <c:v>109.9</c:v>
                </c:pt>
                <c:pt idx="19">
                  <c:v>95.6</c:v>
                </c:pt>
                <c:pt idx="20">
                  <c:v>104.2</c:v>
                </c:pt>
                <c:pt idx="21">
                  <c:v>105.6</c:v>
                </c:pt>
                <c:pt idx="22">
                  <c:v>107</c:v>
                </c:pt>
                <c:pt idx="23">
                  <c:v>100.8</c:v>
                </c:pt>
                <c:pt idx="24">
                  <c:v>96.6</c:v>
                </c:pt>
                <c:pt idx="25">
                  <c:v>106.1</c:v>
                </c:pt>
                <c:pt idx="26">
                  <c:v>94</c:v>
                </c:pt>
                <c:pt idx="27">
                  <c:v>99.8</c:v>
                </c:pt>
                <c:pt idx="28">
                  <c:v>103.6</c:v>
                </c:pt>
                <c:pt idx="29">
                  <c:v>100.9</c:v>
                </c:pt>
                <c:pt idx="30">
                  <c:v>96.2</c:v>
                </c:pt>
                <c:pt idx="31">
                  <c:v>99.5</c:v>
                </c:pt>
                <c:pt idx="32">
                  <c:v>100.1</c:v>
                </c:pt>
                <c:pt idx="33">
                  <c:v>103.9</c:v>
                </c:pt>
                <c:pt idx="34">
                  <c:v>100.7</c:v>
                </c:pt>
                <c:pt idx="35">
                  <c:v>93.8</c:v>
                </c:pt>
                <c:pt idx="36">
                  <c:v>99.8</c:v>
                </c:pt>
                <c:pt idx="37">
                  <c:v>109.6</c:v>
                </c:pt>
                <c:pt idx="38">
                  <c:v>115.2</c:v>
                </c:pt>
                <c:pt idx="39">
                  <c:v>114.5</c:v>
                </c:pt>
                <c:pt idx="40">
                  <c:v>106.3</c:v>
                </c:pt>
                <c:pt idx="41">
                  <c:v>111.7</c:v>
                </c:pt>
                <c:pt idx="42">
                  <c:v>109.4</c:v>
                </c:pt>
                <c:pt idx="43">
                  <c:v>124.5</c:v>
                </c:pt>
                <c:pt idx="44">
                  <c:v>116.5</c:v>
                </c:pt>
                <c:pt idx="45">
                  <c:v>124.1</c:v>
                </c:pt>
                <c:pt idx="46">
                  <c:v>122.7</c:v>
                </c:pt>
                <c:pt idx="47">
                  <c:v>112.8</c:v>
                </c:pt>
                <c:pt idx="48">
                  <c:v>101.9</c:v>
                </c:pt>
                <c:pt idx="49">
                  <c:v>113.5</c:v>
                </c:pt>
                <c:pt idx="50">
                  <c:v>115.9</c:v>
                </c:pt>
                <c:pt idx="51">
                  <c:v>121.6</c:v>
                </c:pt>
                <c:pt idx="52">
                  <c:v>118.6</c:v>
                </c:pt>
                <c:pt idx="53">
                  <c:v>124.9</c:v>
                </c:pt>
                <c:pt idx="54">
                  <c:v>114.5</c:v>
                </c:pt>
                <c:pt idx="55">
                  <c:v>121.7</c:v>
                </c:pt>
                <c:pt idx="56">
                  <c:v>125.9</c:v>
                </c:pt>
                <c:pt idx="57">
                  <c:v>112.2</c:v>
                </c:pt>
                <c:pt idx="58">
                  <c:v>107.6</c:v>
                </c:pt>
                <c:pt idx="59">
                  <c:v>112.7</c:v>
                </c:pt>
                <c:pt idx="60">
                  <c:v>118.3</c:v>
                </c:pt>
                <c:pt idx="61">
                  <c:v>117.8</c:v>
                </c:pt>
                <c:pt idx="62">
                  <c:v>121.5</c:v>
                </c:pt>
                <c:pt idx="63">
                  <c:v>115.3</c:v>
                </c:pt>
                <c:pt idx="64">
                  <c:v>108</c:v>
                </c:pt>
                <c:pt idx="65">
                  <c:v>114.1</c:v>
                </c:pt>
                <c:pt idx="66">
                  <c:v>103.7</c:v>
                </c:pt>
                <c:pt idx="67">
                  <c:v>110.7</c:v>
                </c:pt>
                <c:pt idx="68">
                  <c:v>122.8</c:v>
                </c:pt>
                <c:pt idx="69">
                  <c:v>126.6</c:v>
                </c:pt>
                <c:pt idx="70">
                  <c:v>125</c:v>
                </c:pt>
                <c:pt idx="71">
                  <c:v>126.1</c:v>
                </c:pt>
                <c:pt idx="72">
                  <c:v>110.7</c:v>
                </c:pt>
                <c:pt idx="73">
                  <c:v>122</c:v>
                </c:pt>
                <c:pt idx="74">
                  <c:v>127.1</c:v>
                </c:pt>
                <c:pt idx="75">
                  <c:v>129.5</c:v>
                </c:pt>
                <c:pt idx="76">
                  <c:v>131.5</c:v>
                </c:pt>
                <c:pt idx="77">
                  <c:v>130.6</c:v>
                </c:pt>
                <c:pt idx="78">
                  <c:v>133.5</c:v>
                </c:pt>
                <c:pt idx="79">
                  <c:v>140.30000000000001</c:v>
                </c:pt>
                <c:pt idx="80">
                  <c:v>137.19999999999999</c:v>
                </c:pt>
                <c:pt idx="81">
                  <c:v>133.4</c:v>
                </c:pt>
                <c:pt idx="82">
                  <c:v>138.19999999999999</c:v>
                </c:pt>
                <c:pt idx="83">
                  <c:v>138.9</c:v>
                </c:pt>
                <c:pt idx="84">
                  <c:v>120.1</c:v>
                </c:pt>
                <c:pt idx="85">
                  <c:v>132</c:v>
                </c:pt>
                <c:pt idx="86">
                  <c:v>138.30000000000001</c:v>
                </c:pt>
                <c:pt idx="87">
                  <c:v>144.19999999999999</c:v>
                </c:pt>
                <c:pt idx="88">
                  <c:v>136.30000000000001</c:v>
                </c:pt>
                <c:pt idx="89">
                  <c:v>145.6</c:v>
                </c:pt>
                <c:pt idx="90">
                  <c:v>145.9</c:v>
                </c:pt>
                <c:pt idx="91">
                  <c:v>142.69999999999999</c:v>
                </c:pt>
                <c:pt idx="92">
                  <c:v>149.5</c:v>
                </c:pt>
                <c:pt idx="93">
                  <c:v>154.6</c:v>
                </c:pt>
                <c:pt idx="94">
                  <c:v>150.4</c:v>
                </c:pt>
                <c:pt idx="95">
                  <c:v>149.5</c:v>
                </c:pt>
                <c:pt idx="96">
                  <c:v>135.80000000000001</c:v>
                </c:pt>
                <c:pt idx="97">
                  <c:v>144.1</c:v>
                </c:pt>
                <c:pt idx="98">
                  <c:v>155.69999999999999</c:v>
                </c:pt>
                <c:pt idx="99">
                  <c:v>145.9</c:v>
                </c:pt>
                <c:pt idx="100">
                  <c:v>146.4</c:v>
                </c:pt>
                <c:pt idx="101" formatCode="General">
                  <c:v>157.69999999999999</c:v>
                </c:pt>
                <c:pt idx="102" formatCode="General">
                  <c:v>162.6</c:v>
                </c:pt>
              </c:numCache>
            </c:numRef>
          </c:val>
          <c:smooth val="0"/>
        </c:ser>
        <c:ser>
          <c:idx val="15"/>
          <c:order val="15"/>
          <c:tx>
            <c:strRef>
              <c:f>Sheet1!$A$18</c:f>
              <c:strCache>
                <c:ptCount val="1"/>
                <c:pt idx="0">
                  <c:v>     Education and Training</c:v>
                </c:pt>
              </c:strCache>
            </c:strRef>
          </c:tx>
          <c:spPr>
            <a:ln w="28575" cap="rnd">
              <a:solidFill>
                <a:schemeClr val="accent4">
                  <a:lumMod val="80000"/>
                  <a:lumOff val="20000"/>
                </a:schemeClr>
              </a:solidFill>
              <a:round/>
            </a:ln>
            <a:effectLst/>
          </c:spPr>
          <c:marker>
            <c:symbol val="none"/>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Sheet1!$B$18:$CZ$18</c:f>
              <c:numCache>
                <c:formatCode>0.0</c:formatCode>
                <c:ptCount val="103"/>
                <c:pt idx="0">
                  <c:v>141.30000000000001</c:v>
                </c:pt>
                <c:pt idx="1">
                  <c:v>130.4</c:v>
                </c:pt>
                <c:pt idx="2">
                  <c:v>139.30000000000001</c:v>
                </c:pt>
                <c:pt idx="3">
                  <c:v>146.9</c:v>
                </c:pt>
                <c:pt idx="4">
                  <c:v>149.6</c:v>
                </c:pt>
                <c:pt idx="5">
                  <c:v>140.5</c:v>
                </c:pt>
                <c:pt idx="6">
                  <c:v>137.19999999999999</c:v>
                </c:pt>
                <c:pt idx="7">
                  <c:v>140.69999999999999</c:v>
                </c:pt>
                <c:pt idx="8">
                  <c:v>137</c:v>
                </c:pt>
                <c:pt idx="9">
                  <c:v>144.19999999999999</c:v>
                </c:pt>
                <c:pt idx="10">
                  <c:v>138.5</c:v>
                </c:pt>
                <c:pt idx="11">
                  <c:v>140.1</c:v>
                </c:pt>
                <c:pt idx="12">
                  <c:v>138.19999999999999</c:v>
                </c:pt>
                <c:pt idx="13">
                  <c:v>140.19999999999999</c:v>
                </c:pt>
                <c:pt idx="14">
                  <c:v>140.4</c:v>
                </c:pt>
                <c:pt idx="15">
                  <c:v>150.5</c:v>
                </c:pt>
                <c:pt idx="16">
                  <c:v>152.30000000000001</c:v>
                </c:pt>
                <c:pt idx="17">
                  <c:v>144</c:v>
                </c:pt>
                <c:pt idx="18">
                  <c:v>137.69999999999999</c:v>
                </c:pt>
                <c:pt idx="19">
                  <c:v>138.6</c:v>
                </c:pt>
                <c:pt idx="20">
                  <c:v>142.5</c:v>
                </c:pt>
                <c:pt idx="21">
                  <c:v>146</c:v>
                </c:pt>
                <c:pt idx="22">
                  <c:v>137.5</c:v>
                </c:pt>
                <c:pt idx="23">
                  <c:v>141.1</c:v>
                </c:pt>
                <c:pt idx="24">
                  <c:v>143.4</c:v>
                </c:pt>
                <c:pt idx="25">
                  <c:v>147.4</c:v>
                </c:pt>
                <c:pt idx="26">
                  <c:v>140.6</c:v>
                </c:pt>
                <c:pt idx="27">
                  <c:v>149.19999999999999</c:v>
                </c:pt>
                <c:pt idx="28">
                  <c:v>140.30000000000001</c:v>
                </c:pt>
                <c:pt idx="29">
                  <c:v>136.19999999999999</c:v>
                </c:pt>
                <c:pt idx="30">
                  <c:v>129</c:v>
                </c:pt>
                <c:pt idx="31">
                  <c:v>151.80000000000001</c:v>
                </c:pt>
                <c:pt idx="32">
                  <c:v>156</c:v>
                </c:pt>
                <c:pt idx="33">
                  <c:v>151.80000000000001</c:v>
                </c:pt>
                <c:pt idx="34">
                  <c:v>145.80000000000001</c:v>
                </c:pt>
                <c:pt idx="35">
                  <c:v>150.19999999999999</c:v>
                </c:pt>
                <c:pt idx="36">
                  <c:v>161.30000000000001</c:v>
                </c:pt>
                <c:pt idx="37">
                  <c:v>149.69999999999999</c:v>
                </c:pt>
                <c:pt idx="38">
                  <c:v>146.1</c:v>
                </c:pt>
                <c:pt idx="39">
                  <c:v>156.30000000000001</c:v>
                </c:pt>
                <c:pt idx="40">
                  <c:v>168</c:v>
                </c:pt>
                <c:pt idx="41">
                  <c:v>166.8</c:v>
                </c:pt>
                <c:pt idx="42">
                  <c:v>162.80000000000001</c:v>
                </c:pt>
                <c:pt idx="43">
                  <c:v>165.4</c:v>
                </c:pt>
                <c:pt idx="44">
                  <c:v>170</c:v>
                </c:pt>
                <c:pt idx="45">
                  <c:v>177.1</c:v>
                </c:pt>
                <c:pt idx="46">
                  <c:v>171.5</c:v>
                </c:pt>
                <c:pt idx="47">
                  <c:v>170.8</c:v>
                </c:pt>
                <c:pt idx="48">
                  <c:v>182.7</c:v>
                </c:pt>
                <c:pt idx="49">
                  <c:v>186.3</c:v>
                </c:pt>
                <c:pt idx="50">
                  <c:v>177.1</c:v>
                </c:pt>
                <c:pt idx="51">
                  <c:v>188.1</c:v>
                </c:pt>
                <c:pt idx="52">
                  <c:v>181.8</c:v>
                </c:pt>
                <c:pt idx="53">
                  <c:v>171.4</c:v>
                </c:pt>
                <c:pt idx="54">
                  <c:v>156</c:v>
                </c:pt>
                <c:pt idx="55">
                  <c:v>174.4</c:v>
                </c:pt>
                <c:pt idx="56">
                  <c:v>180.9</c:v>
                </c:pt>
                <c:pt idx="57">
                  <c:v>178.3</c:v>
                </c:pt>
                <c:pt idx="58">
                  <c:v>180</c:v>
                </c:pt>
                <c:pt idx="59">
                  <c:v>180.7</c:v>
                </c:pt>
                <c:pt idx="60">
                  <c:v>188.4</c:v>
                </c:pt>
                <c:pt idx="61">
                  <c:v>196.5</c:v>
                </c:pt>
                <c:pt idx="62">
                  <c:v>181.9</c:v>
                </c:pt>
                <c:pt idx="63">
                  <c:v>200.7</c:v>
                </c:pt>
                <c:pt idx="64">
                  <c:v>199.9</c:v>
                </c:pt>
                <c:pt idx="65">
                  <c:v>206.7</c:v>
                </c:pt>
                <c:pt idx="66">
                  <c:v>203</c:v>
                </c:pt>
                <c:pt idx="67">
                  <c:v>202.3</c:v>
                </c:pt>
                <c:pt idx="68">
                  <c:v>211.2</c:v>
                </c:pt>
                <c:pt idx="69">
                  <c:v>198.1</c:v>
                </c:pt>
                <c:pt idx="70">
                  <c:v>193.2</c:v>
                </c:pt>
                <c:pt idx="71">
                  <c:v>211.9</c:v>
                </c:pt>
                <c:pt idx="72">
                  <c:v>212.4</c:v>
                </c:pt>
                <c:pt idx="73">
                  <c:v>213.3</c:v>
                </c:pt>
                <c:pt idx="74">
                  <c:v>205.1</c:v>
                </c:pt>
                <c:pt idx="75">
                  <c:v>214.3</c:v>
                </c:pt>
                <c:pt idx="76">
                  <c:v>231.1</c:v>
                </c:pt>
                <c:pt idx="77">
                  <c:v>218.9</c:v>
                </c:pt>
                <c:pt idx="78">
                  <c:v>199.5</c:v>
                </c:pt>
                <c:pt idx="79">
                  <c:v>222.8</c:v>
                </c:pt>
                <c:pt idx="80">
                  <c:v>214</c:v>
                </c:pt>
                <c:pt idx="81">
                  <c:v>216.4</c:v>
                </c:pt>
                <c:pt idx="82">
                  <c:v>214.4</c:v>
                </c:pt>
                <c:pt idx="83">
                  <c:v>236.5</c:v>
                </c:pt>
                <c:pt idx="84">
                  <c:v>227.2</c:v>
                </c:pt>
                <c:pt idx="85">
                  <c:v>230.3</c:v>
                </c:pt>
                <c:pt idx="86">
                  <c:v>221.4</c:v>
                </c:pt>
                <c:pt idx="87">
                  <c:v>233</c:v>
                </c:pt>
                <c:pt idx="88">
                  <c:v>220.1</c:v>
                </c:pt>
                <c:pt idx="89">
                  <c:v>234.6</c:v>
                </c:pt>
                <c:pt idx="90">
                  <c:v>219.6</c:v>
                </c:pt>
                <c:pt idx="91">
                  <c:v>238</c:v>
                </c:pt>
                <c:pt idx="92">
                  <c:v>238.7</c:v>
                </c:pt>
                <c:pt idx="93">
                  <c:v>235.2</c:v>
                </c:pt>
                <c:pt idx="94">
                  <c:v>234.4</c:v>
                </c:pt>
                <c:pt idx="95">
                  <c:v>241.8</c:v>
                </c:pt>
                <c:pt idx="96">
                  <c:v>253.7</c:v>
                </c:pt>
                <c:pt idx="97">
                  <c:v>227.8</c:v>
                </c:pt>
                <c:pt idx="98">
                  <c:v>226.4</c:v>
                </c:pt>
                <c:pt idx="99">
                  <c:v>237</c:v>
                </c:pt>
                <c:pt idx="100">
                  <c:v>257.39999999999998</c:v>
                </c:pt>
                <c:pt idx="101" formatCode="General">
                  <c:v>265.2</c:v>
                </c:pt>
                <c:pt idx="102" formatCode="General">
                  <c:v>251.9</c:v>
                </c:pt>
              </c:numCache>
            </c:numRef>
          </c:val>
          <c:smooth val="0"/>
        </c:ser>
        <c:ser>
          <c:idx val="16"/>
          <c:order val="16"/>
          <c:tx>
            <c:strRef>
              <c:f>Sheet1!$A$19</c:f>
              <c:strCache>
                <c:ptCount val="1"/>
                <c:pt idx="0">
                  <c:v>     Health Care and Social Assistance</c:v>
                </c:pt>
              </c:strCache>
            </c:strRef>
          </c:tx>
          <c:spPr>
            <a:ln w="28575" cap="rnd">
              <a:solidFill>
                <a:schemeClr val="accent5">
                  <a:lumMod val="80000"/>
                  <a:lumOff val="20000"/>
                </a:schemeClr>
              </a:solidFill>
              <a:round/>
            </a:ln>
            <a:effectLst/>
          </c:spPr>
          <c:marker>
            <c:symbol val="square"/>
            <c:size val="5"/>
            <c:spPr>
              <a:solidFill>
                <a:schemeClr val="accent5">
                  <a:lumMod val="80000"/>
                  <a:lumOff val="20000"/>
                </a:schemeClr>
              </a:solidFill>
              <a:ln w="9525">
                <a:solidFill>
                  <a:schemeClr val="accent5">
                    <a:lumMod val="80000"/>
                    <a:lumOff val="2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Sheet1!$B$19:$CZ$19</c:f>
              <c:numCache>
                <c:formatCode>0.0</c:formatCode>
                <c:ptCount val="103"/>
                <c:pt idx="0">
                  <c:v>175.6</c:v>
                </c:pt>
                <c:pt idx="1">
                  <c:v>170</c:v>
                </c:pt>
                <c:pt idx="2">
                  <c:v>169.7</c:v>
                </c:pt>
                <c:pt idx="3">
                  <c:v>163.6</c:v>
                </c:pt>
                <c:pt idx="4">
                  <c:v>166.3</c:v>
                </c:pt>
                <c:pt idx="5">
                  <c:v>168.4</c:v>
                </c:pt>
                <c:pt idx="6">
                  <c:v>157.6</c:v>
                </c:pt>
                <c:pt idx="7">
                  <c:v>165.2</c:v>
                </c:pt>
                <c:pt idx="8">
                  <c:v>166.5</c:v>
                </c:pt>
                <c:pt idx="9">
                  <c:v>168.4</c:v>
                </c:pt>
                <c:pt idx="10">
                  <c:v>158.80000000000001</c:v>
                </c:pt>
                <c:pt idx="11">
                  <c:v>169.2</c:v>
                </c:pt>
                <c:pt idx="12">
                  <c:v>161</c:v>
                </c:pt>
                <c:pt idx="13">
                  <c:v>157.9</c:v>
                </c:pt>
                <c:pt idx="14">
                  <c:v>164.8</c:v>
                </c:pt>
                <c:pt idx="15">
                  <c:v>176.9</c:v>
                </c:pt>
                <c:pt idx="16">
                  <c:v>181.5</c:v>
                </c:pt>
                <c:pt idx="17">
                  <c:v>171.4</c:v>
                </c:pt>
                <c:pt idx="18">
                  <c:v>170.8</c:v>
                </c:pt>
                <c:pt idx="19">
                  <c:v>180.2</c:v>
                </c:pt>
                <c:pt idx="20">
                  <c:v>182.9</c:v>
                </c:pt>
                <c:pt idx="21">
                  <c:v>183.1</c:v>
                </c:pt>
                <c:pt idx="22">
                  <c:v>182.8</c:v>
                </c:pt>
                <c:pt idx="23">
                  <c:v>177.9</c:v>
                </c:pt>
                <c:pt idx="24">
                  <c:v>179.8</c:v>
                </c:pt>
                <c:pt idx="25">
                  <c:v>187.5</c:v>
                </c:pt>
                <c:pt idx="26">
                  <c:v>191.6</c:v>
                </c:pt>
                <c:pt idx="27">
                  <c:v>196.2</c:v>
                </c:pt>
                <c:pt idx="28">
                  <c:v>193.1</c:v>
                </c:pt>
                <c:pt idx="29">
                  <c:v>197.9</c:v>
                </c:pt>
                <c:pt idx="30">
                  <c:v>201.4</c:v>
                </c:pt>
                <c:pt idx="31">
                  <c:v>184</c:v>
                </c:pt>
                <c:pt idx="32">
                  <c:v>171.5</c:v>
                </c:pt>
                <c:pt idx="33">
                  <c:v>182</c:v>
                </c:pt>
                <c:pt idx="34">
                  <c:v>193.3</c:v>
                </c:pt>
                <c:pt idx="35">
                  <c:v>198.7</c:v>
                </c:pt>
                <c:pt idx="36">
                  <c:v>206.8</c:v>
                </c:pt>
                <c:pt idx="37">
                  <c:v>199.2</c:v>
                </c:pt>
                <c:pt idx="38">
                  <c:v>218.5</c:v>
                </c:pt>
                <c:pt idx="39">
                  <c:v>217.6</c:v>
                </c:pt>
                <c:pt idx="40">
                  <c:v>215.5</c:v>
                </c:pt>
                <c:pt idx="41">
                  <c:v>219.1</c:v>
                </c:pt>
                <c:pt idx="42">
                  <c:v>216.9</c:v>
                </c:pt>
                <c:pt idx="43">
                  <c:v>209.6</c:v>
                </c:pt>
                <c:pt idx="44">
                  <c:v>225.1</c:v>
                </c:pt>
                <c:pt idx="45">
                  <c:v>233.5</c:v>
                </c:pt>
                <c:pt idx="46">
                  <c:v>220.1</c:v>
                </c:pt>
                <c:pt idx="47">
                  <c:v>222</c:v>
                </c:pt>
                <c:pt idx="48">
                  <c:v>227</c:v>
                </c:pt>
                <c:pt idx="49">
                  <c:v>228.4</c:v>
                </c:pt>
                <c:pt idx="50">
                  <c:v>241.6</c:v>
                </c:pt>
                <c:pt idx="51">
                  <c:v>239.7</c:v>
                </c:pt>
                <c:pt idx="52">
                  <c:v>240.3</c:v>
                </c:pt>
                <c:pt idx="53">
                  <c:v>249.2</c:v>
                </c:pt>
                <c:pt idx="54">
                  <c:v>254.2</c:v>
                </c:pt>
                <c:pt idx="55">
                  <c:v>259.7</c:v>
                </c:pt>
                <c:pt idx="56">
                  <c:v>249.4</c:v>
                </c:pt>
                <c:pt idx="57">
                  <c:v>253.8</c:v>
                </c:pt>
                <c:pt idx="58">
                  <c:v>263.60000000000002</c:v>
                </c:pt>
                <c:pt idx="59">
                  <c:v>276.60000000000002</c:v>
                </c:pt>
                <c:pt idx="60">
                  <c:v>275.39999999999998</c:v>
                </c:pt>
                <c:pt idx="61">
                  <c:v>264.7</c:v>
                </c:pt>
                <c:pt idx="62">
                  <c:v>264.7</c:v>
                </c:pt>
                <c:pt idx="63">
                  <c:v>258.3</c:v>
                </c:pt>
                <c:pt idx="64">
                  <c:v>256</c:v>
                </c:pt>
                <c:pt idx="65">
                  <c:v>257.2</c:v>
                </c:pt>
                <c:pt idx="66">
                  <c:v>275.39999999999998</c:v>
                </c:pt>
                <c:pt idx="67">
                  <c:v>275.8</c:v>
                </c:pt>
                <c:pt idx="68">
                  <c:v>272.39999999999998</c:v>
                </c:pt>
                <c:pt idx="69">
                  <c:v>281.39999999999998</c:v>
                </c:pt>
                <c:pt idx="70">
                  <c:v>290.3</c:v>
                </c:pt>
                <c:pt idx="71">
                  <c:v>285.10000000000002</c:v>
                </c:pt>
                <c:pt idx="72">
                  <c:v>298.39999999999998</c:v>
                </c:pt>
                <c:pt idx="73">
                  <c:v>300.7</c:v>
                </c:pt>
                <c:pt idx="74">
                  <c:v>299.39999999999998</c:v>
                </c:pt>
                <c:pt idx="75">
                  <c:v>293.7</c:v>
                </c:pt>
                <c:pt idx="76">
                  <c:v>312.8</c:v>
                </c:pt>
                <c:pt idx="77">
                  <c:v>317.3</c:v>
                </c:pt>
                <c:pt idx="78">
                  <c:v>321.7</c:v>
                </c:pt>
                <c:pt idx="79">
                  <c:v>333</c:v>
                </c:pt>
                <c:pt idx="80">
                  <c:v>333</c:v>
                </c:pt>
                <c:pt idx="81">
                  <c:v>326.60000000000002</c:v>
                </c:pt>
                <c:pt idx="82">
                  <c:v>329.4</c:v>
                </c:pt>
                <c:pt idx="83">
                  <c:v>310</c:v>
                </c:pt>
                <c:pt idx="84">
                  <c:v>332.2</c:v>
                </c:pt>
                <c:pt idx="85">
                  <c:v>335.3</c:v>
                </c:pt>
                <c:pt idx="86">
                  <c:v>338.3</c:v>
                </c:pt>
                <c:pt idx="87">
                  <c:v>348.5</c:v>
                </c:pt>
                <c:pt idx="88">
                  <c:v>343.5</c:v>
                </c:pt>
                <c:pt idx="89">
                  <c:v>357</c:v>
                </c:pt>
                <c:pt idx="90">
                  <c:v>355.8</c:v>
                </c:pt>
                <c:pt idx="91">
                  <c:v>356.9</c:v>
                </c:pt>
                <c:pt idx="92">
                  <c:v>341.6</c:v>
                </c:pt>
                <c:pt idx="93">
                  <c:v>339.5</c:v>
                </c:pt>
                <c:pt idx="94">
                  <c:v>356.3</c:v>
                </c:pt>
                <c:pt idx="95">
                  <c:v>347.1</c:v>
                </c:pt>
                <c:pt idx="96">
                  <c:v>369</c:v>
                </c:pt>
                <c:pt idx="97">
                  <c:v>373.2</c:v>
                </c:pt>
                <c:pt idx="98">
                  <c:v>381</c:v>
                </c:pt>
                <c:pt idx="99">
                  <c:v>398.8</c:v>
                </c:pt>
                <c:pt idx="100">
                  <c:v>390</c:v>
                </c:pt>
                <c:pt idx="101" formatCode="General">
                  <c:v>402.4</c:v>
                </c:pt>
                <c:pt idx="102" formatCode="General">
                  <c:v>412</c:v>
                </c:pt>
              </c:numCache>
            </c:numRef>
          </c:val>
          <c:smooth val="0"/>
        </c:ser>
        <c:ser>
          <c:idx val="17"/>
          <c:order val="17"/>
          <c:tx>
            <c:strRef>
              <c:f>Sheet1!$A$20</c:f>
              <c:strCache>
                <c:ptCount val="1"/>
                <c:pt idx="0">
                  <c:v>     Arts and Recreation Services</c:v>
                </c:pt>
              </c:strCache>
            </c:strRef>
          </c:tx>
          <c:spPr>
            <a:ln w="28575" cap="rnd">
              <a:solidFill>
                <a:schemeClr val="accent6">
                  <a:lumMod val="80000"/>
                  <a:lumOff val="20000"/>
                </a:schemeClr>
              </a:solidFill>
              <a:round/>
            </a:ln>
            <a:effectLst/>
          </c:spPr>
          <c:marker>
            <c:symbol val="triangle"/>
            <c:size val="5"/>
            <c:spPr>
              <a:solidFill>
                <a:schemeClr val="accent6">
                  <a:lumMod val="80000"/>
                  <a:lumOff val="20000"/>
                </a:schemeClr>
              </a:solidFill>
              <a:ln w="9525">
                <a:solidFill>
                  <a:schemeClr val="accent6">
                    <a:lumMod val="80000"/>
                    <a:lumOff val="2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Sheet1!$B$20:$CZ$20</c:f>
              <c:numCache>
                <c:formatCode>0.0</c:formatCode>
                <c:ptCount val="103"/>
                <c:pt idx="0">
                  <c:v>23.7</c:v>
                </c:pt>
                <c:pt idx="1">
                  <c:v>22.8</c:v>
                </c:pt>
                <c:pt idx="2">
                  <c:v>21.1</c:v>
                </c:pt>
                <c:pt idx="3">
                  <c:v>21.3</c:v>
                </c:pt>
                <c:pt idx="4">
                  <c:v>23.5</c:v>
                </c:pt>
                <c:pt idx="5">
                  <c:v>20.2</c:v>
                </c:pt>
                <c:pt idx="6">
                  <c:v>21.6</c:v>
                </c:pt>
                <c:pt idx="7">
                  <c:v>23.3</c:v>
                </c:pt>
                <c:pt idx="8">
                  <c:v>22.2</c:v>
                </c:pt>
                <c:pt idx="9">
                  <c:v>25.1</c:v>
                </c:pt>
                <c:pt idx="10">
                  <c:v>25.6</c:v>
                </c:pt>
                <c:pt idx="11">
                  <c:v>24.9</c:v>
                </c:pt>
                <c:pt idx="12">
                  <c:v>27.2</c:v>
                </c:pt>
                <c:pt idx="13">
                  <c:v>32</c:v>
                </c:pt>
                <c:pt idx="14">
                  <c:v>27.7</c:v>
                </c:pt>
                <c:pt idx="15">
                  <c:v>32.200000000000003</c:v>
                </c:pt>
                <c:pt idx="16">
                  <c:v>32.6</c:v>
                </c:pt>
                <c:pt idx="17">
                  <c:v>31.6</c:v>
                </c:pt>
                <c:pt idx="18">
                  <c:v>30.3</c:v>
                </c:pt>
                <c:pt idx="19">
                  <c:v>26.2</c:v>
                </c:pt>
                <c:pt idx="20">
                  <c:v>31.1</c:v>
                </c:pt>
                <c:pt idx="21">
                  <c:v>26</c:v>
                </c:pt>
                <c:pt idx="22">
                  <c:v>33</c:v>
                </c:pt>
                <c:pt idx="23">
                  <c:v>28.5</c:v>
                </c:pt>
                <c:pt idx="24">
                  <c:v>31.1</c:v>
                </c:pt>
                <c:pt idx="25">
                  <c:v>36.4</c:v>
                </c:pt>
                <c:pt idx="26">
                  <c:v>34.299999999999997</c:v>
                </c:pt>
                <c:pt idx="27">
                  <c:v>35.200000000000003</c:v>
                </c:pt>
                <c:pt idx="28">
                  <c:v>36.9</c:v>
                </c:pt>
                <c:pt idx="29">
                  <c:v>37.799999999999997</c:v>
                </c:pt>
                <c:pt idx="30">
                  <c:v>35.799999999999997</c:v>
                </c:pt>
                <c:pt idx="31">
                  <c:v>37.5</c:v>
                </c:pt>
                <c:pt idx="32">
                  <c:v>37.5</c:v>
                </c:pt>
                <c:pt idx="33">
                  <c:v>38.200000000000003</c:v>
                </c:pt>
                <c:pt idx="34">
                  <c:v>39.1</c:v>
                </c:pt>
                <c:pt idx="35">
                  <c:v>41.4</c:v>
                </c:pt>
                <c:pt idx="36">
                  <c:v>40.5</c:v>
                </c:pt>
                <c:pt idx="37">
                  <c:v>40.5</c:v>
                </c:pt>
                <c:pt idx="38">
                  <c:v>36</c:v>
                </c:pt>
                <c:pt idx="39">
                  <c:v>35.9</c:v>
                </c:pt>
                <c:pt idx="40">
                  <c:v>34.6</c:v>
                </c:pt>
                <c:pt idx="41">
                  <c:v>36.1</c:v>
                </c:pt>
                <c:pt idx="42">
                  <c:v>38.5</c:v>
                </c:pt>
                <c:pt idx="43">
                  <c:v>40.299999999999997</c:v>
                </c:pt>
                <c:pt idx="44">
                  <c:v>38.700000000000003</c:v>
                </c:pt>
                <c:pt idx="45">
                  <c:v>39.299999999999997</c:v>
                </c:pt>
                <c:pt idx="46">
                  <c:v>38.299999999999997</c:v>
                </c:pt>
                <c:pt idx="47">
                  <c:v>35.5</c:v>
                </c:pt>
                <c:pt idx="48">
                  <c:v>43.1</c:v>
                </c:pt>
                <c:pt idx="49">
                  <c:v>43.2</c:v>
                </c:pt>
                <c:pt idx="50">
                  <c:v>46.9</c:v>
                </c:pt>
                <c:pt idx="51">
                  <c:v>39.700000000000003</c:v>
                </c:pt>
                <c:pt idx="52">
                  <c:v>40.9</c:v>
                </c:pt>
                <c:pt idx="53">
                  <c:v>43.5</c:v>
                </c:pt>
                <c:pt idx="54">
                  <c:v>49.3</c:v>
                </c:pt>
                <c:pt idx="55">
                  <c:v>49.7</c:v>
                </c:pt>
                <c:pt idx="56">
                  <c:v>48.8</c:v>
                </c:pt>
                <c:pt idx="57">
                  <c:v>46.1</c:v>
                </c:pt>
                <c:pt idx="58">
                  <c:v>46.5</c:v>
                </c:pt>
                <c:pt idx="59">
                  <c:v>49.8</c:v>
                </c:pt>
                <c:pt idx="60">
                  <c:v>50.1</c:v>
                </c:pt>
                <c:pt idx="61">
                  <c:v>49.3</c:v>
                </c:pt>
                <c:pt idx="62">
                  <c:v>50.3</c:v>
                </c:pt>
                <c:pt idx="63">
                  <c:v>56.4</c:v>
                </c:pt>
                <c:pt idx="64">
                  <c:v>57.7</c:v>
                </c:pt>
                <c:pt idx="65">
                  <c:v>55.5</c:v>
                </c:pt>
                <c:pt idx="66">
                  <c:v>52.5</c:v>
                </c:pt>
                <c:pt idx="67">
                  <c:v>51.5</c:v>
                </c:pt>
                <c:pt idx="68">
                  <c:v>55.4</c:v>
                </c:pt>
                <c:pt idx="69">
                  <c:v>55.1</c:v>
                </c:pt>
                <c:pt idx="70">
                  <c:v>62.3</c:v>
                </c:pt>
                <c:pt idx="71">
                  <c:v>66.3</c:v>
                </c:pt>
                <c:pt idx="72">
                  <c:v>67.099999999999994</c:v>
                </c:pt>
                <c:pt idx="73">
                  <c:v>60.9</c:v>
                </c:pt>
                <c:pt idx="74">
                  <c:v>55.7</c:v>
                </c:pt>
                <c:pt idx="75">
                  <c:v>52.9</c:v>
                </c:pt>
                <c:pt idx="76">
                  <c:v>54.8</c:v>
                </c:pt>
                <c:pt idx="77">
                  <c:v>56.8</c:v>
                </c:pt>
                <c:pt idx="78">
                  <c:v>58.2</c:v>
                </c:pt>
                <c:pt idx="79">
                  <c:v>67.2</c:v>
                </c:pt>
                <c:pt idx="80">
                  <c:v>54.7</c:v>
                </c:pt>
                <c:pt idx="81">
                  <c:v>54.5</c:v>
                </c:pt>
                <c:pt idx="82">
                  <c:v>58</c:v>
                </c:pt>
                <c:pt idx="83">
                  <c:v>62.5</c:v>
                </c:pt>
                <c:pt idx="84">
                  <c:v>56.1</c:v>
                </c:pt>
                <c:pt idx="85">
                  <c:v>58.9</c:v>
                </c:pt>
                <c:pt idx="86">
                  <c:v>56.8</c:v>
                </c:pt>
                <c:pt idx="87">
                  <c:v>66.8</c:v>
                </c:pt>
                <c:pt idx="88">
                  <c:v>53.3</c:v>
                </c:pt>
                <c:pt idx="89">
                  <c:v>53</c:v>
                </c:pt>
                <c:pt idx="90">
                  <c:v>60.8</c:v>
                </c:pt>
                <c:pt idx="91">
                  <c:v>53.4</c:v>
                </c:pt>
                <c:pt idx="92">
                  <c:v>69.5</c:v>
                </c:pt>
                <c:pt idx="93">
                  <c:v>69.599999999999994</c:v>
                </c:pt>
                <c:pt idx="94">
                  <c:v>71.900000000000006</c:v>
                </c:pt>
                <c:pt idx="95">
                  <c:v>62.1</c:v>
                </c:pt>
                <c:pt idx="96">
                  <c:v>57.8</c:v>
                </c:pt>
                <c:pt idx="97">
                  <c:v>65.599999999999994</c:v>
                </c:pt>
                <c:pt idx="98">
                  <c:v>67.8</c:v>
                </c:pt>
                <c:pt idx="99">
                  <c:v>62.8</c:v>
                </c:pt>
                <c:pt idx="100">
                  <c:v>63.1</c:v>
                </c:pt>
                <c:pt idx="101" formatCode="General">
                  <c:v>53.3</c:v>
                </c:pt>
                <c:pt idx="102" formatCode="General">
                  <c:v>52.6</c:v>
                </c:pt>
              </c:numCache>
            </c:numRef>
          </c:val>
          <c:smooth val="0"/>
        </c:ser>
        <c:ser>
          <c:idx val="18"/>
          <c:order val="18"/>
          <c:tx>
            <c:strRef>
              <c:f>Sheet1!$A$21</c:f>
              <c:strCache>
                <c:ptCount val="1"/>
                <c:pt idx="0">
                  <c:v>     Other Services</c:v>
                </c:pt>
              </c:strCache>
            </c:strRef>
          </c:tx>
          <c:spPr>
            <a:ln w="28575" cap="rnd">
              <a:solidFill>
                <a:schemeClr val="accent1">
                  <a:lumMod val="80000"/>
                </a:schemeClr>
              </a:solidFill>
              <a:round/>
            </a:ln>
            <a:effectLst/>
          </c:spPr>
          <c:marker>
            <c:symbol val="x"/>
            <c:size val="5"/>
            <c:spPr>
              <a:noFill/>
              <a:ln w="9525">
                <a:solidFill>
                  <a:schemeClr val="accent1">
                    <a:lumMod val="80000"/>
                  </a:schemeClr>
                </a:solidFill>
              </a:ln>
              <a:effectLst/>
            </c:spPr>
          </c:marker>
          <c:cat>
            <c:numRef>
              <c:f>Sheet1!$B$2:$CZ$2</c:f>
              <c:numCache>
                <c:formatCode>mmm\-yy</c:formatCode>
                <c:ptCount val="103"/>
                <c:pt idx="0">
                  <c:v>33451</c:v>
                </c:pt>
                <c:pt idx="1">
                  <c:v>33543</c:v>
                </c:pt>
                <c:pt idx="2">
                  <c:v>33635</c:v>
                </c:pt>
                <c:pt idx="3">
                  <c:v>33725</c:v>
                </c:pt>
                <c:pt idx="4">
                  <c:v>33817</c:v>
                </c:pt>
                <c:pt idx="5">
                  <c:v>33909</c:v>
                </c:pt>
                <c:pt idx="6">
                  <c:v>34001</c:v>
                </c:pt>
                <c:pt idx="7">
                  <c:v>34090</c:v>
                </c:pt>
                <c:pt idx="8">
                  <c:v>34182</c:v>
                </c:pt>
                <c:pt idx="9">
                  <c:v>34274</c:v>
                </c:pt>
                <c:pt idx="10">
                  <c:v>34366</c:v>
                </c:pt>
                <c:pt idx="11">
                  <c:v>34455</c:v>
                </c:pt>
                <c:pt idx="12">
                  <c:v>34547</c:v>
                </c:pt>
                <c:pt idx="13">
                  <c:v>34639</c:v>
                </c:pt>
                <c:pt idx="14">
                  <c:v>34731</c:v>
                </c:pt>
                <c:pt idx="15">
                  <c:v>34820</c:v>
                </c:pt>
                <c:pt idx="16">
                  <c:v>34912</c:v>
                </c:pt>
                <c:pt idx="17">
                  <c:v>35004</c:v>
                </c:pt>
                <c:pt idx="18">
                  <c:v>35096</c:v>
                </c:pt>
                <c:pt idx="19">
                  <c:v>35186</c:v>
                </c:pt>
                <c:pt idx="20">
                  <c:v>35278</c:v>
                </c:pt>
                <c:pt idx="21">
                  <c:v>35370</c:v>
                </c:pt>
                <c:pt idx="22">
                  <c:v>35462</c:v>
                </c:pt>
                <c:pt idx="23">
                  <c:v>35551</c:v>
                </c:pt>
                <c:pt idx="24">
                  <c:v>35643</c:v>
                </c:pt>
                <c:pt idx="25">
                  <c:v>35735</c:v>
                </c:pt>
                <c:pt idx="26">
                  <c:v>35827</c:v>
                </c:pt>
                <c:pt idx="27">
                  <c:v>35916</c:v>
                </c:pt>
                <c:pt idx="28">
                  <c:v>36008</c:v>
                </c:pt>
                <c:pt idx="29">
                  <c:v>36100</c:v>
                </c:pt>
                <c:pt idx="30">
                  <c:v>36192</c:v>
                </c:pt>
                <c:pt idx="31">
                  <c:v>36281</c:v>
                </c:pt>
                <c:pt idx="32">
                  <c:v>36373</c:v>
                </c:pt>
                <c:pt idx="33">
                  <c:v>36465</c:v>
                </c:pt>
                <c:pt idx="34">
                  <c:v>36557</c:v>
                </c:pt>
                <c:pt idx="35">
                  <c:v>36647</c:v>
                </c:pt>
                <c:pt idx="36">
                  <c:v>36739</c:v>
                </c:pt>
                <c:pt idx="37">
                  <c:v>36831</c:v>
                </c:pt>
                <c:pt idx="38">
                  <c:v>36923</c:v>
                </c:pt>
                <c:pt idx="39">
                  <c:v>37012</c:v>
                </c:pt>
                <c:pt idx="40">
                  <c:v>37104</c:v>
                </c:pt>
                <c:pt idx="41">
                  <c:v>37196</c:v>
                </c:pt>
                <c:pt idx="42">
                  <c:v>37288</c:v>
                </c:pt>
                <c:pt idx="43">
                  <c:v>37377</c:v>
                </c:pt>
                <c:pt idx="44">
                  <c:v>37469</c:v>
                </c:pt>
                <c:pt idx="45">
                  <c:v>37561</c:v>
                </c:pt>
                <c:pt idx="46">
                  <c:v>37653</c:v>
                </c:pt>
                <c:pt idx="47">
                  <c:v>37742</c:v>
                </c:pt>
                <c:pt idx="48">
                  <c:v>37834</c:v>
                </c:pt>
                <c:pt idx="49">
                  <c:v>37926</c:v>
                </c:pt>
                <c:pt idx="50">
                  <c:v>38018</c:v>
                </c:pt>
                <c:pt idx="51">
                  <c:v>38108</c:v>
                </c:pt>
                <c:pt idx="52">
                  <c:v>38200</c:v>
                </c:pt>
                <c:pt idx="53">
                  <c:v>38292</c:v>
                </c:pt>
                <c:pt idx="54">
                  <c:v>38384</c:v>
                </c:pt>
                <c:pt idx="55">
                  <c:v>38473</c:v>
                </c:pt>
                <c:pt idx="56">
                  <c:v>38565</c:v>
                </c:pt>
                <c:pt idx="57">
                  <c:v>38657</c:v>
                </c:pt>
                <c:pt idx="58">
                  <c:v>38749</c:v>
                </c:pt>
                <c:pt idx="59">
                  <c:v>38838</c:v>
                </c:pt>
                <c:pt idx="60">
                  <c:v>38930</c:v>
                </c:pt>
                <c:pt idx="61">
                  <c:v>39022</c:v>
                </c:pt>
                <c:pt idx="62">
                  <c:v>39114</c:v>
                </c:pt>
                <c:pt idx="63">
                  <c:v>39203</c:v>
                </c:pt>
                <c:pt idx="64">
                  <c:v>39295</c:v>
                </c:pt>
                <c:pt idx="65">
                  <c:v>39387</c:v>
                </c:pt>
                <c:pt idx="66">
                  <c:v>39479</c:v>
                </c:pt>
                <c:pt idx="67">
                  <c:v>39569</c:v>
                </c:pt>
                <c:pt idx="68">
                  <c:v>39661</c:v>
                </c:pt>
                <c:pt idx="69">
                  <c:v>39753</c:v>
                </c:pt>
                <c:pt idx="70">
                  <c:v>39845</c:v>
                </c:pt>
                <c:pt idx="71">
                  <c:v>39934</c:v>
                </c:pt>
                <c:pt idx="72">
                  <c:v>40026</c:v>
                </c:pt>
                <c:pt idx="73">
                  <c:v>40118</c:v>
                </c:pt>
                <c:pt idx="74">
                  <c:v>40210</c:v>
                </c:pt>
                <c:pt idx="75">
                  <c:v>40299</c:v>
                </c:pt>
                <c:pt idx="76">
                  <c:v>40391</c:v>
                </c:pt>
                <c:pt idx="77">
                  <c:v>40483</c:v>
                </c:pt>
                <c:pt idx="78">
                  <c:v>40575</c:v>
                </c:pt>
                <c:pt idx="79">
                  <c:v>40664</c:v>
                </c:pt>
                <c:pt idx="80">
                  <c:v>40756</c:v>
                </c:pt>
                <c:pt idx="81">
                  <c:v>40848</c:v>
                </c:pt>
                <c:pt idx="82">
                  <c:v>40940</c:v>
                </c:pt>
                <c:pt idx="83">
                  <c:v>41030</c:v>
                </c:pt>
                <c:pt idx="84">
                  <c:v>41122</c:v>
                </c:pt>
                <c:pt idx="85">
                  <c:v>41214</c:v>
                </c:pt>
                <c:pt idx="86">
                  <c:v>41306</c:v>
                </c:pt>
                <c:pt idx="87">
                  <c:v>41395</c:v>
                </c:pt>
                <c:pt idx="88">
                  <c:v>41487</c:v>
                </c:pt>
                <c:pt idx="89">
                  <c:v>41579</c:v>
                </c:pt>
                <c:pt idx="90">
                  <c:v>41671</c:v>
                </c:pt>
                <c:pt idx="91">
                  <c:v>41760</c:v>
                </c:pt>
                <c:pt idx="92">
                  <c:v>41852</c:v>
                </c:pt>
                <c:pt idx="93">
                  <c:v>41944</c:v>
                </c:pt>
                <c:pt idx="94">
                  <c:v>42036</c:v>
                </c:pt>
                <c:pt idx="95">
                  <c:v>42125</c:v>
                </c:pt>
                <c:pt idx="96">
                  <c:v>42217</c:v>
                </c:pt>
                <c:pt idx="97">
                  <c:v>42309</c:v>
                </c:pt>
                <c:pt idx="98">
                  <c:v>42401</c:v>
                </c:pt>
                <c:pt idx="99">
                  <c:v>42491</c:v>
                </c:pt>
                <c:pt idx="100">
                  <c:v>42583</c:v>
                </c:pt>
                <c:pt idx="101">
                  <c:v>42675</c:v>
                </c:pt>
                <c:pt idx="102">
                  <c:v>42767</c:v>
                </c:pt>
              </c:numCache>
            </c:numRef>
          </c:cat>
          <c:val>
            <c:numRef>
              <c:f>Sheet1!$B$21:$CZ$21</c:f>
              <c:numCache>
                <c:formatCode>0.0</c:formatCode>
                <c:ptCount val="103"/>
                <c:pt idx="0">
                  <c:v>88</c:v>
                </c:pt>
                <c:pt idx="1">
                  <c:v>82</c:v>
                </c:pt>
                <c:pt idx="2">
                  <c:v>85.4</c:v>
                </c:pt>
                <c:pt idx="3">
                  <c:v>92.2</c:v>
                </c:pt>
                <c:pt idx="4">
                  <c:v>91.6</c:v>
                </c:pt>
                <c:pt idx="5">
                  <c:v>91.4</c:v>
                </c:pt>
                <c:pt idx="6">
                  <c:v>89.2</c:v>
                </c:pt>
                <c:pt idx="7">
                  <c:v>89.7</c:v>
                </c:pt>
                <c:pt idx="8">
                  <c:v>90.1</c:v>
                </c:pt>
                <c:pt idx="9">
                  <c:v>89.6</c:v>
                </c:pt>
                <c:pt idx="10">
                  <c:v>88</c:v>
                </c:pt>
                <c:pt idx="11">
                  <c:v>95.3</c:v>
                </c:pt>
                <c:pt idx="12">
                  <c:v>99</c:v>
                </c:pt>
                <c:pt idx="13">
                  <c:v>100</c:v>
                </c:pt>
                <c:pt idx="14">
                  <c:v>97.1</c:v>
                </c:pt>
                <c:pt idx="15">
                  <c:v>101.4</c:v>
                </c:pt>
                <c:pt idx="16">
                  <c:v>96.5</c:v>
                </c:pt>
                <c:pt idx="17">
                  <c:v>104.2</c:v>
                </c:pt>
                <c:pt idx="18">
                  <c:v>98.1</c:v>
                </c:pt>
                <c:pt idx="19">
                  <c:v>97.2</c:v>
                </c:pt>
                <c:pt idx="20">
                  <c:v>90.7</c:v>
                </c:pt>
                <c:pt idx="21">
                  <c:v>91</c:v>
                </c:pt>
                <c:pt idx="22">
                  <c:v>99.1</c:v>
                </c:pt>
                <c:pt idx="23">
                  <c:v>103.8</c:v>
                </c:pt>
                <c:pt idx="24">
                  <c:v>96.1</c:v>
                </c:pt>
                <c:pt idx="25">
                  <c:v>97.4</c:v>
                </c:pt>
                <c:pt idx="26">
                  <c:v>102.3</c:v>
                </c:pt>
                <c:pt idx="27">
                  <c:v>99.5</c:v>
                </c:pt>
                <c:pt idx="28">
                  <c:v>99.1</c:v>
                </c:pt>
                <c:pt idx="29">
                  <c:v>94</c:v>
                </c:pt>
                <c:pt idx="30">
                  <c:v>100.1</c:v>
                </c:pt>
                <c:pt idx="31">
                  <c:v>95.1</c:v>
                </c:pt>
                <c:pt idx="32">
                  <c:v>98.3</c:v>
                </c:pt>
                <c:pt idx="33">
                  <c:v>104.6</c:v>
                </c:pt>
                <c:pt idx="34">
                  <c:v>108.3</c:v>
                </c:pt>
                <c:pt idx="35">
                  <c:v>98.2</c:v>
                </c:pt>
                <c:pt idx="36">
                  <c:v>90.5</c:v>
                </c:pt>
                <c:pt idx="37">
                  <c:v>88.3</c:v>
                </c:pt>
                <c:pt idx="38">
                  <c:v>90.7</c:v>
                </c:pt>
                <c:pt idx="39">
                  <c:v>106.6</c:v>
                </c:pt>
                <c:pt idx="40">
                  <c:v>109.2</c:v>
                </c:pt>
                <c:pt idx="41">
                  <c:v>104.2</c:v>
                </c:pt>
                <c:pt idx="42">
                  <c:v>100.8</c:v>
                </c:pt>
                <c:pt idx="43">
                  <c:v>103</c:v>
                </c:pt>
                <c:pt idx="44">
                  <c:v>101.6</c:v>
                </c:pt>
                <c:pt idx="45">
                  <c:v>93.9</c:v>
                </c:pt>
                <c:pt idx="46">
                  <c:v>97.7</c:v>
                </c:pt>
                <c:pt idx="47">
                  <c:v>108</c:v>
                </c:pt>
                <c:pt idx="48">
                  <c:v>104.2</c:v>
                </c:pt>
                <c:pt idx="49">
                  <c:v>103.8</c:v>
                </c:pt>
                <c:pt idx="50">
                  <c:v>101.9</c:v>
                </c:pt>
                <c:pt idx="51">
                  <c:v>95.5</c:v>
                </c:pt>
                <c:pt idx="52">
                  <c:v>91.5</c:v>
                </c:pt>
                <c:pt idx="53">
                  <c:v>92.8</c:v>
                </c:pt>
                <c:pt idx="54">
                  <c:v>99.3</c:v>
                </c:pt>
                <c:pt idx="55">
                  <c:v>96.2</c:v>
                </c:pt>
                <c:pt idx="56">
                  <c:v>101.7</c:v>
                </c:pt>
                <c:pt idx="57">
                  <c:v>96.3</c:v>
                </c:pt>
                <c:pt idx="58">
                  <c:v>96.9</c:v>
                </c:pt>
                <c:pt idx="59">
                  <c:v>97.6</c:v>
                </c:pt>
                <c:pt idx="60">
                  <c:v>89.8</c:v>
                </c:pt>
                <c:pt idx="61">
                  <c:v>100.6</c:v>
                </c:pt>
                <c:pt idx="62">
                  <c:v>102.3</c:v>
                </c:pt>
                <c:pt idx="63">
                  <c:v>112.3</c:v>
                </c:pt>
                <c:pt idx="64">
                  <c:v>114.4</c:v>
                </c:pt>
                <c:pt idx="65">
                  <c:v>123.6</c:v>
                </c:pt>
                <c:pt idx="66">
                  <c:v>114.6</c:v>
                </c:pt>
                <c:pt idx="67">
                  <c:v>107.8</c:v>
                </c:pt>
                <c:pt idx="68">
                  <c:v>108.2</c:v>
                </c:pt>
                <c:pt idx="69">
                  <c:v>109.3</c:v>
                </c:pt>
                <c:pt idx="70">
                  <c:v>111.1</c:v>
                </c:pt>
                <c:pt idx="71">
                  <c:v>102.9</c:v>
                </c:pt>
                <c:pt idx="72">
                  <c:v>101.7</c:v>
                </c:pt>
                <c:pt idx="73">
                  <c:v>108.6</c:v>
                </c:pt>
                <c:pt idx="74">
                  <c:v>105.2</c:v>
                </c:pt>
                <c:pt idx="75">
                  <c:v>109.5</c:v>
                </c:pt>
                <c:pt idx="76">
                  <c:v>107.6</c:v>
                </c:pt>
                <c:pt idx="77">
                  <c:v>112</c:v>
                </c:pt>
                <c:pt idx="78">
                  <c:v>110.8</c:v>
                </c:pt>
                <c:pt idx="79">
                  <c:v>105.1</c:v>
                </c:pt>
                <c:pt idx="80">
                  <c:v>105.8</c:v>
                </c:pt>
                <c:pt idx="81">
                  <c:v>117.8</c:v>
                </c:pt>
                <c:pt idx="82">
                  <c:v>115.4</c:v>
                </c:pt>
                <c:pt idx="83">
                  <c:v>111.6</c:v>
                </c:pt>
                <c:pt idx="84">
                  <c:v>110.6</c:v>
                </c:pt>
                <c:pt idx="85">
                  <c:v>107.1</c:v>
                </c:pt>
                <c:pt idx="86">
                  <c:v>105.5</c:v>
                </c:pt>
                <c:pt idx="87">
                  <c:v>106.5</c:v>
                </c:pt>
                <c:pt idx="88">
                  <c:v>116</c:v>
                </c:pt>
                <c:pt idx="89">
                  <c:v>105.8</c:v>
                </c:pt>
                <c:pt idx="90">
                  <c:v>110</c:v>
                </c:pt>
                <c:pt idx="91">
                  <c:v>113.2</c:v>
                </c:pt>
                <c:pt idx="92">
                  <c:v>108.2</c:v>
                </c:pt>
                <c:pt idx="93">
                  <c:v>105</c:v>
                </c:pt>
                <c:pt idx="94">
                  <c:v>112.3</c:v>
                </c:pt>
                <c:pt idx="95">
                  <c:v>107.8</c:v>
                </c:pt>
                <c:pt idx="96">
                  <c:v>108.4</c:v>
                </c:pt>
                <c:pt idx="97">
                  <c:v>107.4</c:v>
                </c:pt>
                <c:pt idx="98">
                  <c:v>108</c:v>
                </c:pt>
                <c:pt idx="99">
                  <c:v>106.1</c:v>
                </c:pt>
                <c:pt idx="100">
                  <c:v>114.9</c:v>
                </c:pt>
                <c:pt idx="101" formatCode="General">
                  <c:v>119.2</c:v>
                </c:pt>
                <c:pt idx="102" formatCode="General">
                  <c:v>127.7</c:v>
                </c:pt>
              </c:numCache>
            </c:numRef>
          </c:val>
          <c:smooth val="0"/>
        </c:ser>
        <c:dLbls>
          <c:showLegendKey val="0"/>
          <c:showVal val="0"/>
          <c:showCatName val="0"/>
          <c:showSerName val="0"/>
          <c:showPercent val="0"/>
          <c:showBubbleSize val="0"/>
        </c:dLbls>
        <c:smooth val="0"/>
        <c:axId val="211712832"/>
        <c:axId val="211713392"/>
      </c:lineChart>
      <c:dateAx>
        <c:axId val="21171283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3392"/>
        <c:crosses val="autoZero"/>
        <c:auto val="1"/>
        <c:lblOffset val="100"/>
        <c:baseTimeUnit val="months"/>
        <c:majorUnit val="6"/>
        <c:majorTimeUnit val="months"/>
      </c:dateAx>
      <c:valAx>
        <c:axId val="21171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People</a:t>
                </a:r>
                <a:r>
                  <a:rPr lang="en-AU" baseline="0"/>
                  <a:t> Employed (000's)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2832"/>
        <c:crosses val="autoZero"/>
        <c:crossBetween val="between"/>
      </c:valAx>
      <c:spPr>
        <a:noFill/>
        <a:ln>
          <a:noFill/>
        </a:ln>
        <a:effectLst/>
      </c:spPr>
    </c:plotArea>
    <c:legend>
      <c:legendPos val="b"/>
      <c:layout>
        <c:manualLayout>
          <c:xMode val="edge"/>
          <c:yMode val="edge"/>
          <c:x val="8.9912038836706815E-2"/>
          <c:y val="0.84251763651494782"/>
          <c:w val="0.86307409048036621"/>
          <c:h val="0.157482363485052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ViF</a:t>
            </a:r>
            <a:r>
              <a:rPr lang="en-AU" baseline="0"/>
              <a:t> 2016 LGA projections 2016 &amp; 2031 Population -</a:t>
            </a:r>
          </a:p>
          <a:p>
            <a:pPr algn="l">
              <a:defRPr/>
            </a:pPr>
            <a:r>
              <a:rPr lang="en-AU" baseline="0"/>
              <a:t>Metropolitan Melbourne</a:t>
            </a:r>
            <a:endParaRPr lang="en-AU"/>
          </a:p>
        </c:rich>
      </c:tx>
      <c:layout>
        <c:manualLayout>
          <c:xMode val="edge"/>
          <c:yMode val="edge"/>
          <c:x val="1.9114173228346409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381151574803149"/>
          <c:y val="9.0389378079332436E-2"/>
          <c:w val="0.76284990157480315"/>
          <c:h val="0.89831808444326611"/>
        </c:manualLayout>
      </c:layout>
      <c:barChart>
        <c:barDir val="bar"/>
        <c:grouping val="clustered"/>
        <c:varyColors val="0"/>
        <c:ser>
          <c:idx val="0"/>
          <c:order val="0"/>
          <c:tx>
            <c:strRef>
              <c:f>'LGA areas'!$E$4</c:f>
              <c:strCache>
                <c:ptCount val="1"/>
                <c:pt idx="0">
                  <c:v>Estiamted Population 2016</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'LGA areas'!$D$5:$D$47</c:f>
              <c:strCache>
                <c:ptCount val="43"/>
                <c:pt idx="0">
                  <c:v>Central Subregion</c:v>
                </c:pt>
                <c:pt idx="1">
                  <c:v>Melbourne </c:v>
                </c:pt>
                <c:pt idx="2">
                  <c:v>Port Phillip </c:v>
                </c:pt>
                <c:pt idx="3">
                  <c:v>Yarra </c:v>
                </c:pt>
                <c:pt idx="5">
                  <c:v>Eastern Subregion</c:v>
                </c:pt>
                <c:pt idx="6">
                  <c:v>Knox </c:v>
                </c:pt>
                <c:pt idx="7">
                  <c:v>Manningham </c:v>
                </c:pt>
                <c:pt idx="8">
                  <c:v>Maroondah </c:v>
                </c:pt>
                <c:pt idx="9">
                  <c:v>Monash </c:v>
                </c:pt>
                <c:pt idx="10">
                  <c:v>Whitehorse </c:v>
                </c:pt>
                <c:pt idx="11">
                  <c:v>Yarra Ranges </c:v>
                </c:pt>
                <c:pt idx="13">
                  <c:v>Inner East Subregion</c:v>
                </c:pt>
                <c:pt idx="14">
                  <c:v>Stonnington </c:v>
                </c:pt>
                <c:pt idx="15">
                  <c:v>Boroondara </c:v>
                </c:pt>
                <c:pt idx="16">
                  <c:v>Bayside </c:v>
                </c:pt>
                <c:pt idx="17">
                  <c:v>Glen Eira </c:v>
                </c:pt>
                <c:pt idx="19">
                  <c:v>Northern Subregion</c:v>
                </c:pt>
                <c:pt idx="20">
                  <c:v>Banyule </c:v>
                </c:pt>
                <c:pt idx="21">
                  <c:v>Darebin </c:v>
                </c:pt>
                <c:pt idx="22">
                  <c:v>Hume </c:v>
                </c:pt>
                <c:pt idx="23">
                  <c:v>Mitchell </c:v>
                </c:pt>
                <c:pt idx="24">
                  <c:v>Moreland </c:v>
                </c:pt>
                <c:pt idx="25">
                  <c:v>Nillumbik </c:v>
                </c:pt>
                <c:pt idx="26">
                  <c:v>Whittlesea </c:v>
                </c:pt>
                <c:pt idx="28">
                  <c:v>Southern Subregion</c:v>
                </c:pt>
                <c:pt idx="29">
                  <c:v>Cardinia </c:v>
                </c:pt>
                <c:pt idx="30">
                  <c:v>Casey </c:v>
                </c:pt>
                <c:pt idx="31">
                  <c:v>Frankston </c:v>
                </c:pt>
                <c:pt idx="32">
                  <c:v>Greater Dandenong </c:v>
                </c:pt>
                <c:pt idx="33">
                  <c:v>Kingston </c:v>
                </c:pt>
                <c:pt idx="34">
                  <c:v>Mornington Peninsula </c:v>
                </c:pt>
                <c:pt idx="36">
                  <c:v>Western Subregion</c:v>
                </c:pt>
                <c:pt idx="37">
                  <c:v>Maribyrnong </c:v>
                </c:pt>
                <c:pt idx="38">
                  <c:v>Brimbank </c:v>
                </c:pt>
                <c:pt idx="39">
                  <c:v>Hobsons Bay </c:v>
                </c:pt>
                <c:pt idx="40">
                  <c:v>Melton </c:v>
                </c:pt>
                <c:pt idx="41">
                  <c:v>Moonee Valley </c:v>
                </c:pt>
                <c:pt idx="42">
                  <c:v>Wyndham </c:v>
                </c:pt>
              </c:strCache>
            </c:strRef>
          </c:cat>
          <c:val>
            <c:numRef>
              <c:f>'LGA areas'!$E$5:$E$47</c:f>
              <c:numCache>
                <c:formatCode>#,##0</c:formatCode>
                <c:ptCount val="43"/>
                <c:pt idx="1">
                  <c:v>135725.96359641751</c:v>
                </c:pt>
                <c:pt idx="2">
                  <c:v>109103.16374034146</c:v>
                </c:pt>
                <c:pt idx="3">
                  <c:v>92609.934199564857</c:v>
                </c:pt>
                <c:pt idx="6">
                  <c:v>157097.14148083588</c:v>
                </c:pt>
                <c:pt idx="7">
                  <c:v>120664.30816108877</c:v>
                </c:pt>
                <c:pt idx="8">
                  <c:v>113840.87896556345</c:v>
                </c:pt>
                <c:pt idx="9">
                  <c:v>189591.44500248972</c:v>
                </c:pt>
                <c:pt idx="10">
                  <c:v>167971.42240365277</c:v>
                </c:pt>
                <c:pt idx="11">
                  <c:v>151355.31948935389</c:v>
                </c:pt>
                <c:pt idx="14">
                  <c:v>110607.68144284755</c:v>
                </c:pt>
                <c:pt idx="15">
                  <c:v>177052.62966330312</c:v>
                </c:pt>
                <c:pt idx="16">
                  <c:v>102427.22225487148</c:v>
                </c:pt>
                <c:pt idx="17">
                  <c:v>148384.84988601587</c:v>
                </c:pt>
                <c:pt idx="20">
                  <c:v>127386.51545869609</c:v>
                </c:pt>
                <c:pt idx="21">
                  <c:v>153191.86047084903</c:v>
                </c:pt>
                <c:pt idx="22">
                  <c:v>200214.83870181089</c:v>
                </c:pt>
                <c:pt idx="23">
                  <c:v>39919.808535596138</c:v>
                </c:pt>
                <c:pt idx="24">
                  <c:v>170993.85301638837</c:v>
                </c:pt>
                <c:pt idx="25">
                  <c:v>62797.955936269092</c:v>
                </c:pt>
                <c:pt idx="26">
                  <c:v>203397.09560779261</c:v>
                </c:pt>
                <c:pt idx="29">
                  <c:v>95518.464354957192</c:v>
                </c:pt>
                <c:pt idx="30">
                  <c:v>302078.55598734127</c:v>
                </c:pt>
                <c:pt idx="31">
                  <c:v>137112.15962705188</c:v>
                </c:pt>
                <c:pt idx="32">
                  <c:v>155772.89062826114</c:v>
                </c:pt>
                <c:pt idx="33">
                  <c:v>156128.16827222172</c:v>
                </c:pt>
                <c:pt idx="34">
                  <c:v>156695.80704292789</c:v>
                </c:pt>
                <c:pt idx="37">
                  <c:v>85470.797292030154</c:v>
                </c:pt>
                <c:pt idx="38">
                  <c:v>201428.57300722925</c:v>
                </c:pt>
                <c:pt idx="39">
                  <c:v>93577.064052646572</c:v>
                </c:pt>
                <c:pt idx="40">
                  <c:v>138181.37158638574</c:v>
                </c:pt>
                <c:pt idx="41">
                  <c:v>121845.91537619311</c:v>
                </c:pt>
                <c:pt idx="42">
                  <c:v>220468.47656385461</c:v>
                </c:pt>
              </c:numCache>
            </c:numRef>
          </c:val>
        </c:ser>
        <c:ser>
          <c:idx val="1"/>
          <c:order val="1"/>
          <c:tx>
            <c:strRef>
              <c:f>'LGA areas'!$F$4</c:f>
              <c:strCache>
                <c:ptCount val="1"/>
                <c:pt idx="0">
                  <c:v>Estimated Population 2031</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'LGA areas'!$D$5:$D$47</c:f>
              <c:strCache>
                <c:ptCount val="43"/>
                <c:pt idx="0">
                  <c:v>Central Subregion</c:v>
                </c:pt>
                <c:pt idx="1">
                  <c:v>Melbourne </c:v>
                </c:pt>
                <c:pt idx="2">
                  <c:v>Port Phillip </c:v>
                </c:pt>
                <c:pt idx="3">
                  <c:v>Yarra </c:v>
                </c:pt>
                <c:pt idx="5">
                  <c:v>Eastern Subregion</c:v>
                </c:pt>
                <c:pt idx="6">
                  <c:v>Knox </c:v>
                </c:pt>
                <c:pt idx="7">
                  <c:v>Manningham </c:v>
                </c:pt>
                <c:pt idx="8">
                  <c:v>Maroondah </c:v>
                </c:pt>
                <c:pt idx="9">
                  <c:v>Monash </c:v>
                </c:pt>
                <c:pt idx="10">
                  <c:v>Whitehorse </c:v>
                </c:pt>
                <c:pt idx="11">
                  <c:v>Yarra Ranges </c:v>
                </c:pt>
                <c:pt idx="13">
                  <c:v>Inner East Subregion</c:v>
                </c:pt>
                <c:pt idx="14">
                  <c:v>Stonnington </c:v>
                </c:pt>
                <c:pt idx="15">
                  <c:v>Boroondara </c:v>
                </c:pt>
                <c:pt idx="16">
                  <c:v>Bayside </c:v>
                </c:pt>
                <c:pt idx="17">
                  <c:v>Glen Eira </c:v>
                </c:pt>
                <c:pt idx="19">
                  <c:v>Northern Subregion</c:v>
                </c:pt>
                <c:pt idx="20">
                  <c:v>Banyule </c:v>
                </c:pt>
                <c:pt idx="21">
                  <c:v>Darebin </c:v>
                </c:pt>
                <c:pt idx="22">
                  <c:v>Hume </c:v>
                </c:pt>
                <c:pt idx="23">
                  <c:v>Mitchell </c:v>
                </c:pt>
                <c:pt idx="24">
                  <c:v>Moreland </c:v>
                </c:pt>
                <c:pt idx="25">
                  <c:v>Nillumbik </c:v>
                </c:pt>
                <c:pt idx="26">
                  <c:v>Whittlesea </c:v>
                </c:pt>
                <c:pt idx="28">
                  <c:v>Southern Subregion</c:v>
                </c:pt>
                <c:pt idx="29">
                  <c:v>Cardinia </c:v>
                </c:pt>
                <c:pt idx="30">
                  <c:v>Casey </c:v>
                </c:pt>
                <c:pt idx="31">
                  <c:v>Frankston </c:v>
                </c:pt>
                <c:pt idx="32">
                  <c:v>Greater Dandenong </c:v>
                </c:pt>
                <c:pt idx="33">
                  <c:v>Kingston </c:v>
                </c:pt>
                <c:pt idx="34">
                  <c:v>Mornington Peninsula </c:v>
                </c:pt>
                <c:pt idx="36">
                  <c:v>Western Subregion</c:v>
                </c:pt>
                <c:pt idx="37">
                  <c:v>Maribyrnong </c:v>
                </c:pt>
                <c:pt idx="38">
                  <c:v>Brimbank </c:v>
                </c:pt>
                <c:pt idx="39">
                  <c:v>Hobsons Bay </c:v>
                </c:pt>
                <c:pt idx="40">
                  <c:v>Melton </c:v>
                </c:pt>
                <c:pt idx="41">
                  <c:v>Moonee Valley </c:v>
                </c:pt>
                <c:pt idx="42">
                  <c:v>Wyndham </c:v>
                </c:pt>
              </c:strCache>
            </c:strRef>
          </c:cat>
          <c:val>
            <c:numRef>
              <c:f>'LGA areas'!$F$5:$F$47</c:f>
              <c:numCache>
                <c:formatCode>#,##0</c:formatCode>
                <c:ptCount val="43"/>
                <c:pt idx="1">
                  <c:v>229765.4254055584</c:v>
                </c:pt>
                <c:pt idx="2">
                  <c:v>143080.95039449327</c:v>
                </c:pt>
                <c:pt idx="3">
                  <c:v>122022.44994833108</c:v>
                </c:pt>
                <c:pt idx="6">
                  <c:v>180251.1542098333</c:v>
                </c:pt>
                <c:pt idx="7">
                  <c:v>139149.57413259603</c:v>
                </c:pt>
                <c:pt idx="8">
                  <c:v>132180.28495454407</c:v>
                </c:pt>
                <c:pt idx="9">
                  <c:v>215992.3792266754</c:v>
                </c:pt>
                <c:pt idx="10">
                  <c:v>193588.60998133532</c:v>
                </c:pt>
                <c:pt idx="11">
                  <c:v>170304.56523919129</c:v>
                </c:pt>
                <c:pt idx="14">
                  <c:v>135615.4056406944</c:v>
                </c:pt>
                <c:pt idx="15">
                  <c:v>199313.79471882607</c:v>
                </c:pt>
                <c:pt idx="16">
                  <c:v>116846.50309158904</c:v>
                </c:pt>
                <c:pt idx="17">
                  <c:v>170412.15529711629</c:v>
                </c:pt>
                <c:pt idx="20">
                  <c:v>145035.64965468703</c:v>
                </c:pt>
                <c:pt idx="21">
                  <c:v>191937.99309914355</c:v>
                </c:pt>
                <c:pt idx="22">
                  <c:v>293895.42076845973</c:v>
                </c:pt>
                <c:pt idx="23">
                  <c:v>81550.495731744872</c:v>
                </c:pt>
                <c:pt idx="24">
                  <c:v>216299.00457750639</c:v>
                </c:pt>
                <c:pt idx="25">
                  <c:v>67599.920797807543</c:v>
                </c:pt>
                <c:pt idx="26">
                  <c:v>313959.4519903278</c:v>
                </c:pt>
                <c:pt idx="29">
                  <c:v>161735.52005506516</c:v>
                </c:pt>
                <c:pt idx="30">
                  <c:v>437459.0341678877</c:v>
                </c:pt>
                <c:pt idx="31">
                  <c:v>155201.52959902291</c:v>
                </c:pt>
                <c:pt idx="32">
                  <c:v>193591.76576669206</c:v>
                </c:pt>
                <c:pt idx="33">
                  <c:v>182718.47511238858</c:v>
                </c:pt>
                <c:pt idx="34">
                  <c:v>181839.04009706635</c:v>
                </c:pt>
                <c:pt idx="37">
                  <c:v>130376.79727924663</c:v>
                </c:pt>
                <c:pt idx="38">
                  <c:v>227544.2877967933</c:v>
                </c:pt>
                <c:pt idx="39">
                  <c:v>109442.40794292471</c:v>
                </c:pt>
                <c:pt idx="40">
                  <c:v>266007.92381781439</c:v>
                </c:pt>
                <c:pt idx="41">
                  <c:v>146445.73721225647</c:v>
                </c:pt>
                <c:pt idx="42">
                  <c:v>361394.12929522636</c:v>
                </c:pt>
              </c:numCache>
            </c:numRef>
          </c:val>
        </c:ser>
        <c:dLbls>
          <c:showLegendKey val="0"/>
          <c:showVal val="0"/>
          <c:showCatName val="0"/>
          <c:showSerName val="0"/>
          <c:showPercent val="0"/>
          <c:showBubbleSize val="0"/>
        </c:dLbls>
        <c:gapWidth val="40"/>
        <c:axId val="201978144"/>
        <c:axId val="201978704"/>
      </c:barChart>
      <c:catAx>
        <c:axId val="201978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78704"/>
        <c:crosses val="autoZero"/>
        <c:auto val="1"/>
        <c:lblAlgn val="ctr"/>
        <c:lblOffset val="100"/>
        <c:noMultiLvlLbl val="0"/>
      </c:catAx>
      <c:valAx>
        <c:axId val="201978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78144"/>
        <c:crosses val="autoZero"/>
        <c:crossBetween val="between"/>
      </c:valAx>
      <c:spPr>
        <a:noFill/>
        <a:ln>
          <a:noFill/>
        </a:ln>
        <a:effectLst/>
      </c:spPr>
    </c:plotArea>
    <c:legend>
      <c:legendPos val="b"/>
      <c:layout>
        <c:manualLayout>
          <c:xMode val="edge"/>
          <c:yMode val="edge"/>
          <c:x val="0.6071458184204247"/>
          <c:y val="0"/>
          <c:w val="0.3928541815795753"/>
          <c:h val="4.973643168745783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0.69233</cdr:x>
      <cdr:y>0</cdr:y>
    </cdr:from>
    <cdr:to>
      <cdr:x>0.98067</cdr:x>
      <cdr:y>0.06028</cdr:y>
    </cdr:to>
    <cdr:sp macro="" textlink="">
      <cdr:nvSpPr>
        <cdr:cNvPr id="2" name="Text Box 1"/>
        <cdr:cNvSpPr txBox="1"/>
      </cdr:nvSpPr>
      <cdr:spPr>
        <a:xfrm xmlns:a="http://schemas.openxmlformats.org/drawingml/2006/main">
          <a:off x="4162424" y="-1752600"/>
          <a:ext cx="1733551" cy="5048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1100"/>
            <a:t>Estimated Population 2016</a:t>
          </a:r>
        </a:p>
        <a:p xmlns:a="http://schemas.openxmlformats.org/drawingml/2006/main">
          <a:r>
            <a:rPr lang="en-AU" sz="1100"/>
            <a:t>Estimated Population 2016</a:t>
          </a:r>
        </a:p>
      </cdr:txBody>
    </cdr:sp>
  </cdr:relSizeAnchor>
</c:userShapes>
</file>

<file path=word/drawings/drawing2.xml><?xml version="1.0" encoding="utf-8"?>
<c:userShapes xmlns:c="http://schemas.openxmlformats.org/drawingml/2006/chart">
  <cdr:relSizeAnchor xmlns:cdr="http://schemas.openxmlformats.org/drawingml/2006/chartDrawing">
    <cdr:from>
      <cdr:x>0.69792</cdr:x>
      <cdr:y>0</cdr:y>
    </cdr:from>
    <cdr:to>
      <cdr:x>0.95409</cdr:x>
      <cdr:y>0.04736</cdr:y>
    </cdr:to>
    <cdr:sp macro="" textlink="">
      <cdr:nvSpPr>
        <cdr:cNvPr id="3" name="Text Box 2"/>
        <cdr:cNvSpPr txBox="1"/>
      </cdr:nvSpPr>
      <cdr:spPr>
        <a:xfrm xmlns:a="http://schemas.openxmlformats.org/drawingml/2006/main">
          <a:off x="4333875" y="0"/>
          <a:ext cx="1590675" cy="4381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AU" sz="1100"/>
            <a:t>Est.</a:t>
          </a:r>
          <a:r>
            <a:rPr lang="en-AU" sz="1100" baseline="0"/>
            <a:t> Population 2016</a:t>
          </a:r>
        </a:p>
        <a:p xmlns:a="http://schemas.openxmlformats.org/drawingml/2006/main">
          <a:r>
            <a:rPr lang="en-AU" sz="1100" baseline="0"/>
            <a:t>Est. Population 2031</a:t>
          </a:r>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52DEE-6C84-42AC-9FBE-13BC34E5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93</Pages>
  <Words>3714</Words>
  <Characters>21174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Metropolitan Planning Authority</Company>
  <LinksUpToDate>false</LinksUpToDate>
  <CharactersWithSpaces>24839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Lees</dc:creator>
  <cp:keywords/>
  <dc:description/>
  <cp:lastModifiedBy>David Lees</cp:lastModifiedBy>
  <cp:revision>8</cp:revision>
  <cp:lastPrinted>2017-05-26T04:57:00Z</cp:lastPrinted>
  <dcterms:created xsi:type="dcterms:W3CDTF">2017-06-15T04:50:00Z</dcterms:created>
  <dcterms:modified xsi:type="dcterms:W3CDTF">2017-06-18T23:24:00Z</dcterms:modified>
</cp:coreProperties>
</file>