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DBA" w:rsidRPr="00507B1A" w:rsidRDefault="00AD4DBA" w:rsidP="00AD4DBA">
      <w:pPr>
        <w:pBdr>
          <w:bottom w:val="single" w:sz="4" w:space="1" w:color="005EA1" w:themeColor="accent1"/>
        </w:pBdr>
        <w:spacing w:before="6000"/>
        <w:jc w:val="right"/>
        <w:rPr>
          <w:rFonts w:ascii="VIC" w:hAnsi="VIC"/>
          <w:color w:val="9CA0A3" w:themeColor="accent4"/>
          <w:sz w:val="52"/>
          <w:szCs w:val="76"/>
        </w:rPr>
      </w:pPr>
      <w:r w:rsidRPr="00507B1A">
        <w:rPr>
          <w:rFonts w:ascii="VIC" w:hAnsi="VIC"/>
          <w:color w:val="9CA0A3" w:themeColor="accent4"/>
          <w:sz w:val="52"/>
          <w:szCs w:val="76"/>
        </w:rPr>
        <w:t xml:space="preserve">PSP </w:t>
      </w:r>
      <w:r>
        <w:rPr>
          <w:rFonts w:ascii="VIC" w:hAnsi="VIC"/>
          <w:color w:val="9CA0A3" w:themeColor="accent4"/>
          <w:sz w:val="52"/>
          <w:szCs w:val="76"/>
        </w:rPr>
        <w:t>1099 Rockbank</w:t>
      </w:r>
    </w:p>
    <w:p w:rsidR="00AD4DBA" w:rsidRDefault="00AD4DBA" w:rsidP="00AD4DBA">
      <w:pPr>
        <w:jc w:val="right"/>
        <w:rPr>
          <w:color w:val="008BD2" w:themeColor="accent2"/>
          <w:sz w:val="40"/>
          <w:szCs w:val="40"/>
        </w:rPr>
      </w:pPr>
      <w:r>
        <w:rPr>
          <w:rFonts w:ascii="Trebuchet MS" w:hAnsi="Trebuchet MS"/>
          <w:noProof/>
          <w:color w:val="9CA0A3" w:themeColor="accent4"/>
          <w:sz w:val="28"/>
          <w:szCs w:val="28"/>
        </w:rPr>
        <w:drawing>
          <wp:inline distT="0" distB="0" distL="0" distR="0" wp14:anchorId="53D144CE" wp14:editId="1E497ECF">
            <wp:extent cx="1629187" cy="66630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PA_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9187" cy="666301"/>
                    </a:xfrm>
                    <a:prstGeom prst="rect">
                      <a:avLst/>
                    </a:prstGeom>
                  </pic:spPr>
                </pic:pic>
              </a:graphicData>
            </a:graphic>
          </wp:inline>
        </w:drawing>
      </w:r>
    </w:p>
    <w:p w:rsidR="00AD4DBA" w:rsidRPr="00507B1A" w:rsidRDefault="00AD4DBA" w:rsidP="00AD4DBA">
      <w:pPr>
        <w:jc w:val="right"/>
        <w:rPr>
          <w:rFonts w:ascii="VIC SemiBold" w:hAnsi="VIC SemiBold"/>
          <w:color w:val="008BD2" w:themeColor="accent2"/>
          <w:sz w:val="32"/>
          <w:szCs w:val="32"/>
        </w:rPr>
      </w:pPr>
      <w:r>
        <w:rPr>
          <w:rFonts w:ascii="VIC SemiBold" w:hAnsi="VIC SemiBold"/>
          <w:color w:val="008BD2" w:themeColor="accent2"/>
          <w:sz w:val="32"/>
          <w:szCs w:val="32"/>
        </w:rPr>
        <w:t>Development Contributions</w:t>
      </w:r>
      <w:r w:rsidRPr="00507B1A">
        <w:rPr>
          <w:rFonts w:ascii="VIC SemiBold" w:hAnsi="VIC SemiBold"/>
          <w:color w:val="008BD2" w:themeColor="accent2"/>
          <w:sz w:val="32"/>
          <w:szCs w:val="32"/>
        </w:rPr>
        <w:t xml:space="preserve"> Plan</w:t>
      </w:r>
    </w:p>
    <w:p w:rsidR="00AD4DBA" w:rsidRPr="009A0103" w:rsidRDefault="00AD4DBA" w:rsidP="00AD4DBA">
      <w:pPr>
        <w:jc w:val="right"/>
        <w:rPr>
          <w:color w:val="9CA0A3" w:themeColor="accent4"/>
        </w:rPr>
      </w:pPr>
      <w:r>
        <w:rPr>
          <w:rFonts w:ascii="VIC" w:hAnsi="VIC"/>
          <w:color w:val="9CA0A3" w:themeColor="accent4"/>
          <w:sz w:val="28"/>
          <w:szCs w:val="28"/>
        </w:rPr>
        <w:t>August 2016</w:t>
      </w:r>
    </w:p>
    <w:p w:rsidR="00AD4DBA" w:rsidRDefault="00AD4DBA" w:rsidP="00AD4DBA"/>
    <w:p w:rsidR="00AD4DBA" w:rsidRDefault="00AD4DBA" w:rsidP="00AD4DBA">
      <w:pPr>
        <w:sectPr w:rsidR="00AD4DBA" w:rsidSect="00AA5F37">
          <w:pgSz w:w="11901" w:h="16846" w:code="9"/>
          <w:pgMar w:top="1701" w:right="1134" w:bottom="851" w:left="1985" w:header="283" w:footer="0" w:gutter="0"/>
          <w:cols w:space="720"/>
          <w:titlePg/>
          <w:docGrid w:linePitch="299"/>
        </w:sectPr>
      </w:pPr>
    </w:p>
    <w:p w:rsidR="00AD4DBA" w:rsidRPr="0072297C" w:rsidRDefault="00AD4DBA" w:rsidP="00AD4DBA">
      <w:pPr>
        <w:rPr>
          <w:vanish/>
          <w:color w:val="9CA0A3" w:themeColor="accent4"/>
        </w:rPr>
      </w:pPr>
      <w:r w:rsidRPr="0072297C">
        <w:rPr>
          <w:vanish/>
          <w:color w:val="9CA0A3" w:themeColor="accent4"/>
        </w:rPr>
        <w:lastRenderedPageBreak/>
        <w:t xml:space="preserve">Keep page blank </w:t>
      </w:r>
    </w:p>
    <w:p w:rsidR="00AD4DBA" w:rsidRDefault="00AD4DBA" w:rsidP="00AD4DBA"/>
    <w:p w:rsidR="00AD4DBA" w:rsidRDefault="00AD4DBA" w:rsidP="00AD4DBA"/>
    <w:p w:rsidR="00AD4DBA" w:rsidRDefault="00AD4DBA" w:rsidP="00AD4DBA">
      <w:pPr>
        <w:sectPr w:rsidR="00AD4DBA" w:rsidSect="00545D48">
          <w:pgSz w:w="11901" w:h="16846" w:code="9"/>
          <w:pgMar w:top="1701" w:right="1134" w:bottom="851" w:left="1985" w:header="283" w:footer="0" w:gutter="0"/>
          <w:cols w:space="720"/>
          <w:titlePg/>
          <w:docGrid w:linePitch="299"/>
        </w:sectPr>
      </w:pPr>
    </w:p>
    <w:p w:rsidR="00AD4DBA" w:rsidRPr="001A465C" w:rsidRDefault="00AD4DBA" w:rsidP="00AD4DBA">
      <w:pPr>
        <w:pStyle w:val="HeadingContents"/>
      </w:pPr>
      <w:r w:rsidRPr="001A465C">
        <w:lastRenderedPageBreak/>
        <w:t>CONTENTS</w:t>
      </w:r>
    </w:p>
    <w:p w:rsidR="00C24320" w:rsidRDefault="00AD4DBA">
      <w:pPr>
        <w:pStyle w:val="TOC1"/>
        <w:tabs>
          <w:tab w:val="left" w:pos="360"/>
          <w:tab w:val="right" w:leader="dot" w:pos="8488"/>
        </w:tabs>
        <w:rPr>
          <w:rFonts w:asciiTheme="minorHAnsi" w:eastAsiaTheme="minorEastAsia" w:hAnsiTheme="minorHAnsi" w:cstheme="minorBidi"/>
          <w:noProof/>
          <w:sz w:val="22"/>
          <w:szCs w:val="22"/>
        </w:rPr>
      </w:pPr>
      <w:r>
        <w:rPr>
          <w:rFonts w:ascii="Calibri" w:hAnsi="Calibri"/>
          <w:caps/>
          <w:sz w:val="22"/>
          <w:lang w:val="en-US"/>
        </w:rPr>
        <w:fldChar w:fldCharType="begin"/>
      </w:r>
      <w:r>
        <w:rPr>
          <w:rFonts w:ascii="Calibri" w:hAnsi="Calibri"/>
          <w:sz w:val="22"/>
          <w:lang w:val="en-US"/>
        </w:rPr>
        <w:instrText xml:space="preserve"> TOC \o "1-2" \h \z </w:instrText>
      </w:r>
      <w:r>
        <w:rPr>
          <w:rFonts w:ascii="Calibri" w:hAnsi="Calibri"/>
          <w:caps/>
          <w:sz w:val="22"/>
          <w:lang w:val="en-US"/>
        </w:rPr>
        <w:fldChar w:fldCharType="separate"/>
      </w:r>
      <w:hyperlink w:anchor="_Toc467676178" w:history="1">
        <w:r w:rsidR="00C24320" w:rsidRPr="00D47906">
          <w:rPr>
            <w:rStyle w:val="Hyperlink"/>
            <w:rFonts w:ascii="VIC SemiBold" w:hAnsi="VIC SemiBold" w:cs="VIC SemiBold"/>
            <w:noProof/>
          </w:rPr>
          <w:t>1</w:t>
        </w:r>
        <w:r w:rsidR="00C24320">
          <w:rPr>
            <w:rFonts w:asciiTheme="minorHAnsi" w:eastAsiaTheme="minorEastAsia" w:hAnsiTheme="minorHAnsi" w:cstheme="minorBidi"/>
            <w:noProof/>
            <w:sz w:val="22"/>
            <w:szCs w:val="22"/>
          </w:rPr>
          <w:tab/>
        </w:r>
        <w:r w:rsidR="00C24320" w:rsidRPr="00D47906">
          <w:rPr>
            <w:rStyle w:val="Hyperlink"/>
            <w:noProof/>
          </w:rPr>
          <w:t>INTRODUCTION</w:t>
        </w:r>
        <w:r w:rsidR="00C24320">
          <w:rPr>
            <w:noProof/>
            <w:webHidden/>
          </w:rPr>
          <w:tab/>
        </w:r>
        <w:r w:rsidR="00C24320">
          <w:rPr>
            <w:noProof/>
            <w:webHidden/>
          </w:rPr>
          <w:fldChar w:fldCharType="begin"/>
        </w:r>
        <w:r w:rsidR="00C24320">
          <w:rPr>
            <w:noProof/>
            <w:webHidden/>
          </w:rPr>
          <w:instrText xml:space="preserve"> PAGEREF _Toc467676178 \h </w:instrText>
        </w:r>
        <w:r w:rsidR="00C24320">
          <w:rPr>
            <w:noProof/>
            <w:webHidden/>
          </w:rPr>
        </w:r>
        <w:r w:rsidR="00C24320">
          <w:rPr>
            <w:noProof/>
            <w:webHidden/>
          </w:rPr>
          <w:fldChar w:fldCharType="separate"/>
        </w:r>
        <w:r w:rsidR="00C24320">
          <w:rPr>
            <w:noProof/>
            <w:webHidden/>
          </w:rPr>
          <w:t>6</w:t>
        </w:r>
        <w:r w:rsidR="00C24320">
          <w:rPr>
            <w:noProof/>
            <w:webHidden/>
          </w:rPr>
          <w:fldChar w:fldCharType="end"/>
        </w:r>
      </w:hyperlink>
    </w:p>
    <w:p w:rsidR="00C24320" w:rsidRDefault="008240EC">
      <w:pPr>
        <w:pStyle w:val="TOC2"/>
        <w:tabs>
          <w:tab w:val="left" w:pos="880"/>
          <w:tab w:val="right" w:leader="dot" w:pos="8488"/>
        </w:tabs>
        <w:rPr>
          <w:rFonts w:asciiTheme="minorHAnsi" w:eastAsiaTheme="minorEastAsia" w:hAnsiTheme="minorHAnsi" w:cstheme="minorBidi"/>
          <w:noProof/>
          <w:sz w:val="22"/>
          <w:szCs w:val="22"/>
        </w:rPr>
      </w:pPr>
      <w:hyperlink w:anchor="_Toc467676179" w:history="1">
        <w:r w:rsidR="00C24320" w:rsidRPr="00D47906">
          <w:rPr>
            <w:rStyle w:val="Hyperlink"/>
            <w:rFonts w:ascii="VIC SemiBold" w:hAnsi="VIC SemiBold"/>
            <w:noProof/>
          </w:rPr>
          <w:t>1.1</w:t>
        </w:r>
        <w:r w:rsidR="00C24320">
          <w:rPr>
            <w:rFonts w:asciiTheme="minorHAnsi" w:eastAsiaTheme="minorEastAsia" w:hAnsiTheme="minorHAnsi" w:cstheme="minorBidi"/>
            <w:noProof/>
            <w:sz w:val="22"/>
            <w:szCs w:val="22"/>
          </w:rPr>
          <w:tab/>
        </w:r>
        <w:r w:rsidR="00C24320" w:rsidRPr="00D47906">
          <w:rPr>
            <w:rStyle w:val="Hyperlink"/>
            <w:noProof/>
          </w:rPr>
          <w:t>Planning and Environment Act 1987</w:t>
        </w:r>
        <w:r w:rsidR="00C24320">
          <w:rPr>
            <w:noProof/>
            <w:webHidden/>
          </w:rPr>
          <w:tab/>
        </w:r>
        <w:r w:rsidR="00C24320">
          <w:rPr>
            <w:noProof/>
            <w:webHidden/>
          </w:rPr>
          <w:fldChar w:fldCharType="begin"/>
        </w:r>
        <w:r w:rsidR="00C24320">
          <w:rPr>
            <w:noProof/>
            <w:webHidden/>
          </w:rPr>
          <w:instrText xml:space="preserve"> PAGEREF _Toc467676179 \h </w:instrText>
        </w:r>
        <w:r w:rsidR="00C24320">
          <w:rPr>
            <w:noProof/>
            <w:webHidden/>
          </w:rPr>
        </w:r>
        <w:r w:rsidR="00C24320">
          <w:rPr>
            <w:noProof/>
            <w:webHidden/>
          </w:rPr>
          <w:fldChar w:fldCharType="separate"/>
        </w:r>
        <w:r w:rsidR="00C24320">
          <w:rPr>
            <w:noProof/>
            <w:webHidden/>
          </w:rPr>
          <w:t>6</w:t>
        </w:r>
        <w:r w:rsidR="00C24320">
          <w:rPr>
            <w:noProof/>
            <w:webHidden/>
          </w:rPr>
          <w:fldChar w:fldCharType="end"/>
        </w:r>
      </w:hyperlink>
    </w:p>
    <w:p w:rsidR="00C24320" w:rsidRDefault="008240EC">
      <w:pPr>
        <w:pStyle w:val="TOC2"/>
        <w:tabs>
          <w:tab w:val="left" w:pos="880"/>
          <w:tab w:val="right" w:leader="dot" w:pos="8488"/>
        </w:tabs>
        <w:rPr>
          <w:rFonts w:asciiTheme="minorHAnsi" w:eastAsiaTheme="minorEastAsia" w:hAnsiTheme="minorHAnsi" w:cstheme="minorBidi"/>
          <w:noProof/>
          <w:sz w:val="22"/>
          <w:szCs w:val="22"/>
        </w:rPr>
      </w:pPr>
      <w:hyperlink w:anchor="_Toc467676180" w:history="1">
        <w:r w:rsidR="00C24320" w:rsidRPr="00D47906">
          <w:rPr>
            <w:rStyle w:val="Hyperlink"/>
            <w:rFonts w:ascii="VIC SemiBold" w:hAnsi="VIC SemiBold"/>
            <w:noProof/>
          </w:rPr>
          <w:t>1.2</w:t>
        </w:r>
        <w:r w:rsidR="00C24320">
          <w:rPr>
            <w:rFonts w:asciiTheme="minorHAnsi" w:eastAsiaTheme="minorEastAsia" w:hAnsiTheme="minorHAnsi" w:cstheme="minorBidi"/>
            <w:noProof/>
            <w:sz w:val="22"/>
            <w:szCs w:val="22"/>
          </w:rPr>
          <w:tab/>
        </w:r>
        <w:r w:rsidR="00C24320" w:rsidRPr="00D47906">
          <w:rPr>
            <w:rStyle w:val="Hyperlink"/>
            <w:noProof/>
          </w:rPr>
          <w:t>Rockbank Precinct Structure Plan</w:t>
        </w:r>
        <w:r w:rsidR="00C24320">
          <w:rPr>
            <w:noProof/>
            <w:webHidden/>
          </w:rPr>
          <w:tab/>
        </w:r>
        <w:r w:rsidR="00C24320">
          <w:rPr>
            <w:noProof/>
            <w:webHidden/>
          </w:rPr>
          <w:fldChar w:fldCharType="begin"/>
        </w:r>
        <w:r w:rsidR="00C24320">
          <w:rPr>
            <w:noProof/>
            <w:webHidden/>
          </w:rPr>
          <w:instrText xml:space="preserve"> PAGEREF _Toc467676180 \h </w:instrText>
        </w:r>
        <w:r w:rsidR="00C24320">
          <w:rPr>
            <w:noProof/>
            <w:webHidden/>
          </w:rPr>
        </w:r>
        <w:r w:rsidR="00C24320">
          <w:rPr>
            <w:noProof/>
            <w:webHidden/>
          </w:rPr>
          <w:fldChar w:fldCharType="separate"/>
        </w:r>
        <w:r w:rsidR="00C24320">
          <w:rPr>
            <w:noProof/>
            <w:webHidden/>
          </w:rPr>
          <w:t>6</w:t>
        </w:r>
        <w:r w:rsidR="00C24320">
          <w:rPr>
            <w:noProof/>
            <w:webHidden/>
          </w:rPr>
          <w:fldChar w:fldCharType="end"/>
        </w:r>
      </w:hyperlink>
    </w:p>
    <w:p w:rsidR="00C24320" w:rsidRDefault="008240EC">
      <w:pPr>
        <w:pStyle w:val="TOC2"/>
        <w:tabs>
          <w:tab w:val="left" w:pos="880"/>
          <w:tab w:val="right" w:leader="dot" w:pos="8488"/>
        </w:tabs>
        <w:rPr>
          <w:rFonts w:asciiTheme="minorHAnsi" w:eastAsiaTheme="minorEastAsia" w:hAnsiTheme="minorHAnsi" w:cstheme="minorBidi"/>
          <w:noProof/>
          <w:sz w:val="22"/>
          <w:szCs w:val="22"/>
        </w:rPr>
      </w:pPr>
      <w:hyperlink w:anchor="_Toc467676181" w:history="1">
        <w:r w:rsidR="00C24320" w:rsidRPr="00D47906">
          <w:rPr>
            <w:rStyle w:val="Hyperlink"/>
            <w:rFonts w:ascii="VIC SemiBold" w:hAnsi="VIC SemiBold"/>
            <w:noProof/>
          </w:rPr>
          <w:t>1.3</w:t>
        </w:r>
        <w:r w:rsidR="00C24320">
          <w:rPr>
            <w:rFonts w:asciiTheme="minorHAnsi" w:eastAsiaTheme="minorEastAsia" w:hAnsiTheme="minorHAnsi" w:cstheme="minorBidi"/>
            <w:noProof/>
            <w:sz w:val="22"/>
            <w:szCs w:val="22"/>
          </w:rPr>
          <w:tab/>
        </w:r>
        <w:r w:rsidR="00C24320" w:rsidRPr="00D47906">
          <w:rPr>
            <w:rStyle w:val="Hyperlink"/>
            <w:noProof/>
          </w:rPr>
          <w:t>The area to which the development contributions plan applies</w:t>
        </w:r>
        <w:r w:rsidR="00C24320">
          <w:rPr>
            <w:noProof/>
            <w:webHidden/>
          </w:rPr>
          <w:tab/>
        </w:r>
        <w:r w:rsidR="00C24320">
          <w:rPr>
            <w:noProof/>
            <w:webHidden/>
          </w:rPr>
          <w:fldChar w:fldCharType="begin"/>
        </w:r>
        <w:r w:rsidR="00C24320">
          <w:rPr>
            <w:noProof/>
            <w:webHidden/>
          </w:rPr>
          <w:instrText xml:space="preserve"> PAGEREF _Toc467676181 \h </w:instrText>
        </w:r>
        <w:r w:rsidR="00C24320">
          <w:rPr>
            <w:noProof/>
            <w:webHidden/>
          </w:rPr>
        </w:r>
        <w:r w:rsidR="00C24320">
          <w:rPr>
            <w:noProof/>
            <w:webHidden/>
          </w:rPr>
          <w:fldChar w:fldCharType="separate"/>
        </w:r>
        <w:r w:rsidR="00C24320">
          <w:rPr>
            <w:noProof/>
            <w:webHidden/>
          </w:rPr>
          <w:t>7</w:t>
        </w:r>
        <w:r w:rsidR="00C24320">
          <w:rPr>
            <w:noProof/>
            <w:webHidden/>
          </w:rPr>
          <w:fldChar w:fldCharType="end"/>
        </w:r>
      </w:hyperlink>
    </w:p>
    <w:p w:rsidR="00C24320" w:rsidRDefault="008240EC">
      <w:pPr>
        <w:pStyle w:val="TOC2"/>
        <w:tabs>
          <w:tab w:val="left" w:pos="880"/>
          <w:tab w:val="right" w:leader="dot" w:pos="8488"/>
        </w:tabs>
        <w:rPr>
          <w:rFonts w:asciiTheme="minorHAnsi" w:eastAsiaTheme="minorEastAsia" w:hAnsiTheme="minorHAnsi" w:cstheme="minorBidi"/>
          <w:noProof/>
          <w:sz w:val="22"/>
          <w:szCs w:val="22"/>
        </w:rPr>
      </w:pPr>
      <w:hyperlink w:anchor="_Toc467676182" w:history="1">
        <w:r w:rsidR="00C24320" w:rsidRPr="00D47906">
          <w:rPr>
            <w:rStyle w:val="Hyperlink"/>
            <w:rFonts w:ascii="VIC SemiBold" w:hAnsi="VIC SemiBold"/>
            <w:noProof/>
          </w:rPr>
          <w:t>1.4</w:t>
        </w:r>
        <w:r w:rsidR="00C24320">
          <w:rPr>
            <w:rFonts w:asciiTheme="minorHAnsi" w:eastAsiaTheme="minorEastAsia" w:hAnsiTheme="minorHAnsi" w:cstheme="minorBidi"/>
            <w:noProof/>
            <w:sz w:val="22"/>
            <w:szCs w:val="22"/>
          </w:rPr>
          <w:tab/>
        </w:r>
        <w:r w:rsidR="00C24320" w:rsidRPr="00D47906">
          <w:rPr>
            <w:rStyle w:val="Hyperlink"/>
            <w:noProof/>
          </w:rPr>
          <w:t>Infrastructure items included in the development contributions plan</w:t>
        </w:r>
        <w:r w:rsidR="00C24320">
          <w:rPr>
            <w:noProof/>
            <w:webHidden/>
          </w:rPr>
          <w:tab/>
        </w:r>
        <w:r w:rsidR="00C24320">
          <w:rPr>
            <w:noProof/>
            <w:webHidden/>
          </w:rPr>
          <w:fldChar w:fldCharType="begin"/>
        </w:r>
        <w:r w:rsidR="00C24320">
          <w:rPr>
            <w:noProof/>
            <w:webHidden/>
          </w:rPr>
          <w:instrText xml:space="preserve"> PAGEREF _Toc467676182 \h </w:instrText>
        </w:r>
        <w:r w:rsidR="00C24320">
          <w:rPr>
            <w:noProof/>
            <w:webHidden/>
          </w:rPr>
        </w:r>
        <w:r w:rsidR="00C24320">
          <w:rPr>
            <w:noProof/>
            <w:webHidden/>
          </w:rPr>
          <w:fldChar w:fldCharType="separate"/>
        </w:r>
        <w:r w:rsidR="00C24320">
          <w:rPr>
            <w:noProof/>
            <w:webHidden/>
          </w:rPr>
          <w:t>7</w:t>
        </w:r>
        <w:r w:rsidR="00C24320">
          <w:rPr>
            <w:noProof/>
            <w:webHidden/>
          </w:rPr>
          <w:fldChar w:fldCharType="end"/>
        </w:r>
      </w:hyperlink>
    </w:p>
    <w:p w:rsidR="00C24320" w:rsidRDefault="008240EC">
      <w:pPr>
        <w:pStyle w:val="TOC2"/>
        <w:tabs>
          <w:tab w:val="left" w:pos="880"/>
          <w:tab w:val="right" w:leader="dot" w:pos="8488"/>
        </w:tabs>
        <w:rPr>
          <w:rFonts w:asciiTheme="minorHAnsi" w:eastAsiaTheme="minorEastAsia" w:hAnsiTheme="minorHAnsi" w:cstheme="minorBidi"/>
          <w:noProof/>
          <w:sz w:val="22"/>
          <w:szCs w:val="22"/>
        </w:rPr>
      </w:pPr>
      <w:hyperlink w:anchor="_Toc467676183" w:history="1">
        <w:r w:rsidR="00C24320" w:rsidRPr="00D47906">
          <w:rPr>
            <w:rStyle w:val="Hyperlink"/>
            <w:rFonts w:ascii="VIC SemiBold" w:hAnsi="VIC SemiBold"/>
            <w:noProof/>
          </w:rPr>
          <w:t>1.5</w:t>
        </w:r>
        <w:r w:rsidR="00C24320">
          <w:rPr>
            <w:rFonts w:asciiTheme="minorHAnsi" w:eastAsiaTheme="minorEastAsia" w:hAnsiTheme="minorHAnsi" w:cstheme="minorBidi"/>
            <w:noProof/>
            <w:sz w:val="22"/>
            <w:szCs w:val="22"/>
          </w:rPr>
          <w:tab/>
        </w:r>
        <w:r w:rsidR="00C24320" w:rsidRPr="00D47906">
          <w:rPr>
            <w:rStyle w:val="Hyperlink"/>
            <w:noProof/>
          </w:rPr>
          <w:t>Items not included in the development contributions plan</w:t>
        </w:r>
        <w:r w:rsidR="00C24320">
          <w:rPr>
            <w:noProof/>
            <w:webHidden/>
          </w:rPr>
          <w:tab/>
        </w:r>
        <w:r w:rsidR="00C24320">
          <w:rPr>
            <w:noProof/>
            <w:webHidden/>
          </w:rPr>
          <w:fldChar w:fldCharType="begin"/>
        </w:r>
        <w:r w:rsidR="00C24320">
          <w:rPr>
            <w:noProof/>
            <w:webHidden/>
          </w:rPr>
          <w:instrText xml:space="preserve"> PAGEREF _Toc467676183 \h </w:instrText>
        </w:r>
        <w:r w:rsidR="00C24320">
          <w:rPr>
            <w:noProof/>
            <w:webHidden/>
          </w:rPr>
        </w:r>
        <w:r w:rsidR="00C24320">
          <w:rPr>
            <w:noProof/>
            <w:webHidden/>
          </w:rPr>
          <w:fldChar w:fldCharType="separate"/>
        </w:r>
        <w:r w:rsidR="00C24320">
          <w:rPr>
            <w:noProof/>
            <w:webHidden/>
          </w:rPr>
          <w:t>8</w:t>
        </w:r>
        <w:r w:rsidR="00C24320">
          <w:rPr>
            <w:noProof/>
            <w:webHidden/>
          </w:rPr>
          <w:fldChar w:fldCharType="end"/>
        </w:r>
      </w:hyperlink>
    </w:p>
    <w:p w:rsidR="00C24320" w:rsidRDefault="008240EC">
      <w:pPr>
        <w:pStyle w:val="TOC1"/>
        <w:tabs>
          <w:tab w:val="left" w:pos="360"/>
          <w:tab w:val="right" w:leader="dot" w:pos="8488"/>
        </w:tabs>
        <w:rPr>
          <w:rFonts w:asciiTheme="minorHAnsi" w:eastAsiaTheme="minorEastAsia" w:hAnsiTheme="minorHAnsi" w:cstheme="minorBidi"/>
          <w:noProof/>
          <w:sz w:val="22"/>
          <w:szCs w:val="22"/>
        </w:rPr>
      </w:pPr>
      <w:hyperlink w:anchor="_Toc467676184" w:history="1">
        <w:r w:rsidR="00C24320" w:rsidRPr="00D47906">
          <w:rPr>
            <w:rStyle w:val="Hyperlink"/>
            <w:rFonts w:ascii="VIC SemiBold" w:hAnsi="VIC SemiBold"/>
            <w:noProof/>
          </w:rPr>
          <w:t>2</w:t>
        </w:r>
        <w:r w:rsidR="00C24320">
          <w:rPr>
            <w:rFonts w:asciiTheme="minorHAnsi" w:eastAsiaTheme="minorEastAsia" w:hAnsiTheme="minorHAnsi" w:cstheme="minorBidi"/>
            <w:noProof/>
            <w:sz w:val="22"/>
            <w:szCs w:val="22"/>
          </w:rPr>
          <w:tab/>
        </w:r>
        <w:r w:rsidR="00C24320" w:rsidRPr="00D47906">
          <w:rPr>
            <w:rStyle w:val="Hyperlink"/>
            <w:noProof/>
          </w:rPr>
          <w:t>INFRASTRUCTURE PROJECT JUSTIFICATION</w:t>
        </w:r>
        <w:r w:rsidR="00C24320">
          <w:rPr>
            <w:noProof/>
            <w:webHidden/>
          </w:rPr>
          <w:tab/>
        </w:r>
        <w:r w:rsidR="00C24320">
          <w:rPr>
            <w:noProof/>
            <w:webHidden/>
          </w:rPr>
          <w:fldChar w:fldCharType="begin"/>
        </w:r>
        <w:r w:rsidR="00C24320">
          <w:rPr>
            <w:noProof/>
            <w:webHidden/>
          </w:rPr>
          <w:instrText xml:space="preserve"> PAGEREF _Toc467676184 \h </w:instrText>
        </w:r>
        <w:r w:rsidR="00C24320">
          <w:rPr>
            <w:noProof/>
            <w:webHidden/>
          </w:rPr>
        </w:r>
        <w:r w:rsidR="00C24320">
          <w:rPr>
            <w:noProof/>
            <w:webHidden/>
          </w:rPr>
          <w:fldChar w:fldCharType="separate"/>
        </w:r>
        <w:r w:rsidR="00C24320">
          <w:rPr>
            <w:noProof/>
            <w:webHidden/>
          </w:rPr>
          <w:t>9</w:t>
        </w:r>
        <w:r w:rsidR="00C24320">
          <w:rPr>
            <w:noProof/>
            <w:webHidden/>
          </w:rPr>
          <w:fldChar w:fldCharType="end"/>
        </w:r>
      </w:hyperlink>
    </w:p>
    <w:p w:rsidR="00C24320" w:rsidRDefault="008240EC">
      <w:pPr>
        <w:pStyle w:val="TOC2"/>
        <w:tabs>
          <w:tab w:val="left" w:pos="880"/>
          <w:tab w:val="right" w:leader="dot" w:pos="8488"/>
        </w:tabs>
        <w:rPr>
          <w:rFonts w:asciiTheme="minorHAnsi" w:eastAsiaTheme="minorEastAsia" w:hAnsiTheme="minorHAnsi" w:cstheme="minorBidi"/>
          <w:noProof/>
          <w:sz w:val="22"/>
          <w:szCs w:val="22"/>
        </w:rPr>
      </w:pPr>
      <w:hyperlink w:anchor="_Toc467676185" w:history="1">
        <w:r w:rsidR="00C24320" w:rsidRPr="00D47906">
          <w:rPr>
            <w:rStyle w:val="Hyperlink"/>
            <w:rFonts w:ascii="VIC SemiBold" w:hAnsi="VIC SemiBold"/>
            <w:noProof/>
          </w:rPr>
          <w:t>2.1</w:t>
        </w:r>
        <w:r w:rsidR="00C24320">
          <w:rPr>
            <w:rFonts w:asciiTheme="minorHAnsi" w:eastAsiaTheme="minorEastAsia" w:hAnsiTheme="minorHAnsi" w:cstheme="minorBidi"/>
            <w:noProof/>
            <w:sz w:val="22"/>
            <w:szCs w:val="22"/>
          </w:rPr>
          <w:tab/>
        </w:r>
        <w:r w:rsidR="00C24320" w:rsidRPr="00D47906">
          <w:rPr>
            <w:rStyle w:val="Hyperlink"/>
            <w:noProof/>
          </w:rPr>
          <w:t>Project identification</w:t>
        </w:r>
        <w:r w:rsidR="00C24320">
          <w:rPr>
            <w:noProof/>
            <w:webHidden/>
          </w:rPr>
          <w:tab/>
        </w:r>
        <w:r w:rsidR="00C24320">
          <w:rPr>
            <w:noProof/>
            <w:webHidden/>
          </w:rPr>
          <w:fldChar w:fldCharType="begin"/>
        </w:r>
        <w:r w:rsidR="00C24320">
          <w:rPr>
            <w:noProof/>
            <w:webHidden/>
          </w:rPr>
          <w:instrText xml:space="preserve"> PAGEREF _Toc467676185 \h </w:instrText>
        </w:r>
        <w:r w:rsidR="00C24320">
          <w:rPr>
            <w:noProof/>
            <w:webHidden/>
          </w:rPr>
        </w:r>
        <w:r w:rsidR="00C24320">
          <w:rPr>
            <w:noProof/>
            <w:webHidden/>
          </w:rPr>
          <w:fldChar w:fldCharType="separate"/>
        </w:r>
        <w:r w:rsidR="00C24320">
          <w:rPr>
            <w:noProof/>
            <w:webHidden/>
          </w:rPr>
          <w:t>9</w:t>
        </w:r>
        <w:r w:rsidR="00C24320">
          <w:rPr>
            <w:noProof/>
            <w:webHidden/>
          </w:rPr>
          <w:fldChar w:fldCharType="end"/>
        </w:r>
      </w:hyperlink>
    </w:p>
    <w:p w:rsidR="00C24320" w:rsidRDefault="008240EC">
      <w:pPr>
        <w:pStyle w:val="TOC2"/>
        <w:tabs>
          <w:tab w:val="left" w:pos="880"/>
          <w:tab w:val="right" w:leader="dot" w:pos="8488"/>
        </w:tabs>
        <w:rPr>
          <w:rFonts w:asciiTheme="minorHAnsi" w:eastAsiaTheme="minorEastAsia" w:hAnsiTheme="minorHAnsi" w:cstheme="minorBidi"/>
          <w:noProof/>
          <w:sz w:val="22"/>
          <w:szCs w:val="22"/>
        </w:rPr>
      </w:pPr>
      <w:hyperlink w:anchor="_Toc467676186" w:history="1">
        <w:r w:rsidR="00C24320" w:rsidRPr="00D47906">
          <w:rPr>
            <w:rStyle w:val="Hyperlink"/>
            <w:rFonts w:ascii="VIC SemiBold" w:hAnsi="VIC SemiBold"/>
            <w:noProof/>
          </w:rPr>
          <w:t>2.2</w:t>
        </w:r>
        <w:r w:rsidR="00C24320">
          <w:rPr>
            <w:rFonts w:asciiTheme="minorHAnsi" w:eastAsiaTheme="minorEastAsia" w:hAnsiTheme="minorHAnsi" w:cstheme="minorBidi"/>
            <w:noProof/>
            <w:sz w:val="22"/>
            <w:szCs w:val="22"/>
          </w:rPr>
          <w:tab/>
        </w:r>
        <w:r w:rsidR="00C24320" w:rsidRPr="00D47906">
          <w:rPr>
            <w:rStyle w:val="Hyperlink"/>
            <w:noProof/>
          </w:rPr>
          <w:t>Project timing</w:t>
        </w:r>
        <w:r w:rsidR="00C24320">
          <w:rPr>
            <w:noProof/>
            <w:webHidden/>
          </w:rPr>
          <w:tab/>
        </w:r>
        <w:r w:rsidR="00C24320">
          <w:rPr>
            <w:noProof/>
            <w:webHidden/>
          </w:rPr>
          <w:fldChar w:fldCharType="begin"/>
        </w:r>
        <w:r w:rsidR="00C24320">
          <w:rPr>
            <w:noProof/>
            <w:webHidden/>
          </w:rPr>
          <w:instrText xml:space="preserve"> PAGEREF _Toc467676186 \h </w:instrText>
        </w:r>
        <w:r w:rsidR="00C24320">
          <w:rPr>
            <w:noProof/>
            <w:webHidden/>
          </w:rPr>
        </w:r>
        <w:r w:rsidR="00C24320">
          <w:rPr>
            <w:noProof/>
            <w:webHidden/>
          </w:rPr>
          <w:fldChar w:fldCharType="separate"/>
        </w:r>
        <w:r w:rsidR="00C24320">
          <w:rPr>
            <w:noProof/>
            <w:webHidden/>
          </w:rPr>
          <w:t>20</w:t>
        </w:r>
        <w:r w:rsidR="00C24320">
          <w:rPr>
            <w:noProof/>
            <w:webHidden/>
          </w:rPr>
          <w:fldChar w:fldCharType="end"/>
        </w:r>
      </w:hyperlink>
    </w:p>
    <w:p w:rsidR="00C24320" w:rsidRDefault="008240EC">
      <w:pPr>
        <w:pStyle w:val="TOC2"/>
        <w:tabs>
          <w:tab w:val="left" w:pos="880"/>
          <w:tab w:val="right" w:leader="dot" w:pos="8488"/>
        </w:tabs>
        <w:rPr>
          <w:rFonts w:asciiTheme="minorHAnsi" w:eastAsiaTheme="minorEastAsia" w:hAnsiTheme="minorHAnsi" w:cstheme="minorBidi"/>
          <w:noProof/>
          <w:sz w:val="22"/>
          <w:szCs w:val="22"/>
        </w:rPr>
      </w:pPr>
      <w:hyperlink w:anchor="_Toc467676187" w:history="1">
        <w:r w:rsidR="00C24320" w:rsidRPr="00D47906">
          <w:rPr>
            <w:rStyle w:val="Hyperlink"/>
            <w:rFonts w:ascii="VIC SemiBold" w:hAnsi="VIC SemiBold"/>
            <w:noProof/>
          </w:rPr>
          <w:t>2.3</w:t>
        </w:r>
        <w:r w:rsidR="00C24320">
          <w:rPr>
            <w:rFonts w:asciiTheme="minorHAnsi" w:eastAsiaTheme="minorEastAsia" w:hAnsiTheme="minorHAnsi" w:cstheme="minorBidi"/>
            <w:noProof/>
            <w:sz w:val="22"/>
            <w:szCs w:val="22"/>
          </w:rPr>
          <w:tab/>
        </w:r>
        <w:r w:rsidR="00C24320" w:rsidRPr="00D47906">
          <w:rPr>
            <w:rStyle w:val="Hyperlink"/>
            <w:noProof/>
          </w:rPr>
          <w:t>Distinction between development infrastructure and community infrastructure</w:t>
        </w:r>
        <w:r w:rsidR="00C24320">
          <w:rPr>
            <w:noProof/>
            <w:webHidden/>
          </w:rPr>
          <w:tab/>
        </w:r>
        <w:r w:rsidR="00C24320">
          <w:rPr>
            <w:noProof/>
            <w:webHidden/>
          </w:rPr>
          <w:fldChar w:fldCharType="begin"/>
        </w:r>
        <w:r w:rsidR="00C24320">
          <w:rPr>
            <w:noProof/>
            <w:webHidden/>
          </w:rPr>
          <w:instrText xml:space="preserve"> PAGEREF _Toc467676187 \h </w:instrText>
        </w:r>
        <w:r w:rsidR="00C24320">
          <w:rPr>
            <w:noProof/>
            <w:webHidden/>
          </w:rPr>
        </w:r>
        <w:r w:rsidR="00C24320">
          <w:rPr>
            <w:noProof/>
            <w:webHidden/>
          </w:rPr>
          <w:fldChar w:fldCharType="separate"/>
        </w:r>
        <w:r w:rsidR="00C24320">
          <w:rPr>
            <w:noProof/>
            <w:webHidden/>
          </w:rPr>
          <w:t>20</w:t>
        </w:r>
        <w:r w:rsidR="00C24320">
          <w:rPr>
            <w:noProof/>
            <w:webHidden/>
          </w:rPr>
          <w:fldChar w:fldCharType="end"/>
        </w:r>
      </w:hyperlink>
    </w:p>
    <w:p w:rsidR="00C24320" w:rsidRDefault="008240EC">
      <w:pPr>
        <w:pStyle w:val="TOC1"/>
        <w:tabs>
          <w:tab w:val="left" w:pos="360"/>
          <w:tab w:val="right" w:leader="dot" w:pos="8488"/>
        </w:tabs>
        <w:rPr>
          <w:rFonts w:asciiTheme="minorHAnsi" w:eastAsiaTheme="minorEastAsia" w:hAnsiTheme="minorHAnsi" w:cstheme="minorBidi"/>
          <w:noProof/>
          <w:sz w:val="22"/>
          <w:szCs w:val="22"/>
        </w:rPr>
      </w:pPr>
      <w:hyperlink w:anchor="_Toc467676188" w:history="1">
        <w:r w:rsidR="00C24320" w:rsidRPr="00D47906">
          <w:rPr>
            <w:rStyle w:val="Hyperlink"/>
            <w:rFonts w:ascii="VIC SemiBold" w:hAnsi="VIC SemiBold"/>
            <w:noProof/>
          </w:rPr>
          <w:t>3</w:t>
        </w:r>
        <w:r w:rsidR="00C24320">
          <w:rPr>
            <w:rFonts w:asciiTheme="minorHAnsi" w:eastAsiaTheme="minorEastAsia" w:hAnsiTheme="minorHAnsi" w:cstheme="minorBidi"/>
            <w:noProof/>
            <w:sz w:val="22"/>
            <w:szCs w:val="22"/>
          </w:rPr>
          <w:tab/>
        </w:r>
        <w:r w:rsidR="00C24320" w:rsidRPr="00D47906">
          <w:rPr>
            <w:rStyle w:val="Hyperlink"/>
            <w:noProof/>
          </w:rPr>
          <w:t>CALCULATION OF CONTRIBUTIONS</w:t>
        </w:r>
        <w:r w:rsidR="00C24320">
          <w:rPr>
            <w:noProof/>
            <w:webHidden/>
          </w:rPr>
          <w:tab/>
        </w:r>
        <w:r w:rsidR="00C24320">
          <w:rPr>
            <w:noProof/>
            <w:webHidden/>
          </w:rPr>
          <w:fldChar w:fldCharType="begin"/>
        </w:r>
        <w:r w:rsidR="00C24320">
          <w:rPr>
            <w:noProof/>
            <w:webHidden/>
          </w:rPr>
          <w:instrText xml:space="preserve"> PAGEREF _Toc467676188 \h </w:instrText>
        </w:r>
        <w:r w:rsidR="00C24320">
          <w:rPr>
            <w:noProof/>
            <w:webHidden/>
          </w:rPr>
        </w:r>
        <w:r w:rsidR="00C24320">
          <w:rPr>
            <w:noProof/>
            <w:webHidden/>
          </w:rPr>
          <w:fldChar w:fldCharType="separate"/>
        </w:r>
        <w:r w:rsidR="00C24320">
          <w:rPr>
            <w:noProof/>
            <w:webHidden/>
          </w:rPr>
          <w:t>22</w:t>
        </w:r>
        <w:r w:rsidR="00C24320">
          <w:rPr>
            <w:noProof/>
            <w:webHidden/>
          </w:rPr>
          <w:fldChar w:fldCharType="end"/>
        </w:r>
      </w:hyperlink>
    </w:p>
    <w:p w:rsidR="00C24320" w:rsidRDefault="008240EC">
      <w:pPr>
        <w:pStyle w:val="TOC2"/>
        <w:tabs>
          <w:tab w:val="left" w:pos="880"/>
          <w:tab w:val="right" w:leader="dot" w:pos="8488"/>
        </w:tabs>
        <w:rPr>
          <w:rFonts w:asciiTheme="minorHAnsi" w:eastAsiaTheme="minorEastAsia" w:hAnsiTheme="minorHAnsi" w:cstheme="minorBidi"/>
          <w:noProof/>
          <w:sz w:val="22"/>
          <w:szCs w:val="22"/>
        </w:rPr>
      </w:pPr>
      <w:hyperlink w:anchor="_Toc467676189" w:history="1">
        <w:r w:rsidR="00C24320" w:rsidRPr="00D47906">
          <w:rPr>
            <w:rStyle w:val="Hyperlink"/>
            <w:rFonts w:ascii="VIC SemiBold" w:hAnsi="VIC SemiBold"/>
            <w:noProof/>
          </w:rPr>
          <w:t>3.1</w:t>
        </w:r>
        <w:r w:rsidR="00C24320">
          <w:rPr>
            <w:rFonts w:asciiTheme="minorHAnsi" w:eastAsiaTheme="minorEastAsia" w:hAnsiTheme="minorHAnsi" w:cstheme="minorBidi"/>
            <w:noProof/>
            <w:sz w:val="22"/>
            <w:szCs w:val="22"/>
          </w:rPr>
          <w:tab/>
        </w:r>
        <w:r w:rsidR="00C24320" w:rsidRPr="00D47906">
          <w:rPr>
            <w:rStyle w:val="Hyperlink"/>
            <w:noProof/>
          </w:rPr>
          <w:t>Calculation of net developable area and demand units</w:t>
        </w:r>
        <w:r w:rsidR="00C24320">
          <w:rPr>
            <w:noProof/>
            <w:webHidden/>
          </w:rPr>
          <w:tab/>
        </w:r>
        <w:r w:rsidR="00C24320">
          <w:rPr>
            <w:noProof/>
            <w:webHidden/>
          </w:rPr>
          <w:fldChar w:fldCharType="begin"/>
        </w:r>
        <w:r w:rsidR="00C24320">
          <w:rPr>
            <w:noProof/>
            <w:webHidden/>
          </w:rPr>
          <w:instrText xml:space="preserve"> PAGEREF _Toc467676189 \h </w:instrText>
        </w:r>
        <w:r w:rsidR="00C24320">
          <w:rPr>
            <w:noProof/>
            <w:webHidden/>
          </w:rPr>
        </w:r>
        <w:r w:rsidR="00C24320">
          <w:rPr>
            <w:noProof/>
            <w:webHidden/>
          </w:rPr>
          <w:fldChar w:fldCharType="separate"/>
        </w:r>
        <w:r w:rsidR="00C24320">
          <w:rPr>
            <w:noProof/>
            <w:webHidden/>
          </w:rPr>
          <w:t>22</w:t>
        </w:r>
        <w:r w:rsidR="00C24320">
          <w:rPr>
            <w:noProof/>
            <w:webHidden/>
          </w:rPr>
          <w:fldChar w:fldCharType="end"/>
        </w:r>
      </w:hyperlink>
    </w:p>
    <w:p w:rsidR="00C24320" w:rsidRDefault="008240EC">
      <w:pPr>
        <w:pStyle w:val="TOC2"/>
        <w:tabs>
          <w:tab w:val="left" w:pos="880"/>
          <w:tab w:val="right" w:leader="dot" w:pos="8488"/>
        </w:tabs>
        <w:rPr>
          <w:rFonts w:asciiTheme="minorHAnsi" w:eastAsiaTheme="minorEastAsia" w:hAnsiTheme="minorHAnsi" w:cstheme="minorBidi"/>
          <w:noProof/>
          <w:sz w:val="22"/>
          <w:szCs w:val="22"/>
        </w:rPr>
      </w:pPr>
      <w:hyperlink w:anchor="_Toc467676190" w:history="1">
        <w:r w:rsidR="00C24320" w:rsidRPr="00D47906">
          <w:rPr>
            <w:rStyle w:val="Hyperlink"/>
            <w:rFonts w:ascii="VIC SemiBold" w:hAnsi="VIC SemiBold"/>
            <w:noProof/>
          </w:rPr>
          <w:t>3.2</w:t>
        </w:r>
        <w:r w:rsidR="00C24320">
          <w:rPr>
            <w:rFonts w:asciiTheme="minorHAnsi" w:eastAsiaTheme="minorEastAsia" w:hAnsiTheme="minorHAnsi" w:cstheme="minorBidi"/>
            <w:noProof/>
            <w:sz w:val="22"/>
            <w:szCs w:val="22"/>
          </w:rPr>
          <w:tab/>
        </w:r>
        <w:r w:rsidR="00C24320" w:rsidRPr="00D47906">
          <w:rPr>
            <w:rStyle w:val="Hyperlink"/>
            <w:noProof/>
          </w:rPr>
          <w:t>Net developable area</w:t>
        </w:r>
        <w:r w:rsidR="00C24320">
          <w:rPr>
            <w:noProof/>
            <w:webHidden/>
          </w:rPr>
          <w:tab/>
        </w:r>
        <w:r w:rsidR="00C24320">
          <w:rPr>
            <w:noProof/>
            <w:webHidden/>
          </w:rPr>
          <w:fldChar w:fldCharType="begin"/>
        </w:r>
        <w:r w:rsidR="00C24320">
          <w:rPr>
            <w:noProof/>
            <w:webHidden/>
          </w:rPr>
          <w:instrText xml:space="preserve"> PAGEREF _Toc467676190 \h </w:instrText>
        </w:r>
        <w:r w:rsidR="00C24320">
          <w:rPr>
            <w:noProof/>
            <w:webHidden/>
          </w:rPr>
        </w:r>
        <w:r w:rsidR="00C24320">
          <w:rPr>
            <w:noProof/>
            <w:webHidden/>
          </w:rPr>
          <w:fldChar w:fldCharType="separate"/>
        </w:r>
        <w:r w:rsidR="00C24320">
          <w:rPr>
            <w:noProof/>
            <w:webHidden/>
          </w:rPr>
          <w:t>22</w:t>
        </w:r>
        <w:r w:rsidR="00C24320">
          <w:rPr>
            <w:noProof/>
            <w:webHidden/>
          </w:rPr>
          <w:fldChar w:fldCharType="end"/>
        </w:r>
      </w:hyperlink>
    </w:p>
    <w:p w:rsidR="00C24320" w:rsidRDefault="008240EC">
      <w:pPr>
        <w:pStyle w:val="TOC2"/>
        <w:tabs>
          <w:tab w:val="left" w:pos="880"/>
          <w:tab w:val="right" w:leader="dot" w:pos="8488"/>
        </w:tabs>
        <w:rPr>
          <w:rFonts w:asciiTheme="minorHAnsi" w:eastAsiaTheme="minorEastAsia" w:hAnsiTheme="minorHAnsi" w:cstheme="minorBidi"/>
          <w:noProof/>
          <w:sz w:val="22"/>
          <w:szCs w:val="22"/>
        </w:rPr>
      </w:pPr>
      <w:hyperlink w:anchor="_Toc467676191" w:history="1">
        <w:r w:rsidR="00C24320" w:rsidRPr="00D47906">
          <w:rPr>
            <w:rStyle w:val="Hyperlink"/>
            <w:rFonts w:ascii="VIC SemiBold" w:hAnsi="VIC SemiBold"/>
            <w:noProof/>
          </w:rPr>
          <w:t>3.3</w:t>
        </w:r>
        <w:r w:rsidR="00C24320">
          <w:rPr>
            <w:rFonts w:asciiTheme="minorHAnsi" w:eastAsiaTheme="minorEastAsia" w:hAnsiTheme="minorHAnsi" w:cstheme="minorBidi"/>
            <w:noProof/>
            <w:sz w:val="22"/>
            <w:szCs w:val="22"/>
          </w:rPr>
          <w:tab/>
        </w:r>
        <w:r w:rsidR="00C24320" w:rsidRPr="00D47906">
          <w:rPr>
            <w:rStyle w:val="Hyperlink"/>
            <w:noProof/>
          </w:rPr>
          <w:t>Land budget and demand units</w:t>
        </w:r>
        <w:r w:rsidR="00C24320">
          <w:rPr>
            <w:noProof/>
            <w:webHidden/>
          </w:rPr>
          <w:tab/>
        </w:r>
        <w:r w:rsidR="00C24320">
          <w:rPr>
            <w:noProof/>
            <w:webHidden/>
          </w:rPr>
          <w:fldChar w:fldCharType="begin"/>
        </w:r>
        <w:r w:rsidR="00C24320">
          <w:rPr>
            <w:noProof/>
            <w:webHidden/>
          </w:rPr>
          <w:instrText xml:space="preserve"> PAGEREF _Toc467676191 \h </w:instrText>
        </w:r>
        <w:r w:rsidR="00C24320">
          <w:rPr>
            <w:noProof/>
            <w:webHidden/>
          </w:rPr>
        </w:r>
        <w:r w:rsidR="00C24320">
          <w:rPr>
            <w:noProof/>
            <w:webHidden/>
          </w:rPr>
          <w:fldChar w:fldCharType="separate"/>
        </w:r>
        <w:r w:rsidR="00C24320">
          <w:rPr>
            <w:noProof/>
            <w:webHidden/>
          </w:rPr>
          <w:t>24</w:t>
        </w:r>
        <w:r w:rsidR="00C24320">
          <w:rPr>
            <w:noProof/>
            <w:webHidden/>
          </w:rPr>
          <w:fldChar w:fldCharType="end"/>
        </w:r>
      </w:hyperlink>
    </w:p>
    <w:p w:rsidR="00C24320" w:rsidRDefault="008240EC">
      <w:pPr>
        <w:pStyle w:val="TOC2"/>
        <w:tabs>
          <w:tab w:val="left" w:pos="880"/>
          <w:tab w:val="right" w:leader="dot" w:pos="8488"/>
        </w:tabs>
        <w:rPr>
          <w:rFonts w:asciiTheme="minorHAnsi" w:eastAsiaTheme="minorEastAsia" w:hAnsiTheme="minorHAnsi" w:cstheme="minorBidi"/>
          <w:noProof/>
          <w:sz w:val="22"/>
          <w:szCs w:val="22"/>
        </w:rPr>
      </w:pPr>
      <w:hyperlink w:anchor="_Toc467676192" w:history="1">
        <w:r w:rsidR="00C24320" w:rsidRPr="00D47906">
          <w:rPr>
            <w:rStyle w:val="Hyperlink"/>
            <w:rFonts w:ascii="VIC SemiBold" w:hAnsi="VIC SemiBold"/>
            <w:noProof/>
          </w:rPr>
          <w:t>3.4</w:t>
        </w:r>
        <w:r w:rsidR="00C24320">
          <w:rPr>
            <w:rFonts w:asciiTheme="minorHAnsi" w:eastAsiaTheme="minorEastAsia" w:hAnsiTheme="minorHAnsi" w:cstheme="minorBidi"/>
            <w:noProof/>
            <w:sz w:val="22"/>
            <w:szCs w:val="22"/>
          </w:rPr>
          <w:tab/>
        </w:r>
        <w:r w:rsidR="00C24320" w:rsidRPr="00D47906">
          <w:rPr>
            <w:rStyle w:val="Hyperlink"/>
            <w:noProof/>
          </w:rPr>
          <w:t>Property-specific calculations</w:t>
        </w:r>
        <w:r w:rsidR="00C24320">
          <w:rPr>
            <w:noProof/>
            <w:webHidden/>
          </w:rPr>
          <w:tab/>
        </w:r>
        <w:r w:rsidR="00C24320">
          <w:rPr>
            <w:noProof/>
            <w:webHidden/>
          </w:rPr>
          <w:fldChar w:fldCharType="begin"/>
        </w:r>
        <w:r w:rsidR="00C24320">
          <w:rPr>
            <w:noProof/>
            <w:webHidden/>
          </w:rPr>
          <w:instrText xml:space="preserve"> PAGEREF _Toc467676192 \h </w:instrText>
        </w:r>
        <w:r w:rsidR="00C24320">
          <w:rPr>
            <w:noProof/>
            <w:webHidden/>
          </w:rPr>
        </w:r>
        <w:r w:rsidR="00C24320">
          <w:rPr>
            <w:noProof/>
            <w:webHidden/>
          </w:rPr>
          <w:fldChar w:fldCharType="separate"/>
        </w:r>
        <w:r w:rsidR="00C24320">
          <w:rPr>
            <w:noProof/>
            <w:webHidden/>
          </w:rPr>
          <w:t>24</w:t>
        </w:r>
        <w:r w:rsidR="00C24320">
          <w:rPr>
            <w:noProof/>
            <w:webHidden/>
          </w:rPr>
          <w:fldChar w:fldCharType="end"/>
        </w:r>
      </w:hyperlink>
    </w:p>
    <w:p w:rsidR="00C24320" w:rsidRDefault="008240EC">
      <w:pPr>
        <w:pStyle w:val="TOC2"/>
        <w:tabs>
          <w:tab w:val="left" w:pos="880"/>
          <w:tab w:val="right" w:leader="dot" w:pos="8488"/>
        </w:tabs>
        <w:rPr>
          <w:rFonts w:asciiTheme="minorHAnsi" w:eastAsiaTheme="minorEastAsia" w:hAnsiTheme="minorHAnsi" w:cstheme="minorBidi"/>
          <w:noProof/>
          <w:sz w:val="22"/>
          <w:szCs w:val="22"/>
        </w:rPr>
      </w:pPr>
      <w:hyperlink w:anchor="_Toc467676193" w:history="1">
        <w:r w:rsidR="00C24320" w:rsidRPr="00D47906">
          <w:rPr>
            <w:rStyle w:val="Hyperlink"/>
            <w:rFonts w:ascii="VIC SemiBold" w:hAnsi="VIC SemiBold"/>
            <w:noProof/>
          </w:rPr>
          <w:t>3.5</w:t>
        </w:r>
        <w:r w:rsidR="00C24320">
          <w:rPr>
            <w:rFonts w:asciiTheme="minorHAnsi" w:eastAsiaTheme="minorEastAsia" w:hAnsiTheme="minorHAnsi" w:cstheme="minorBidi"/>
            <w:noProof/>
            <w:sz w:val="22"/>
            <w:szCs w:val="22"/>
          </w:rPr>
          <w:tab/>
        </w:r>
        <w:r w:rsidR="00C24320" w:rsidRPr="00D47906">
          <w:rPr>
            <w:rStyle w:val="Hyperlink"/>
            <w:noProof/>
          </w:rPr>
          <w:t>Calculation of contributions charges</w:t>
        </w:r>
        <w:r w:rsidR="00C24320">
          <w:rPr>
            <w:noProof/>
            <w:webHidden/>
          </w:rPr>
          <w:tab/>
        </w:r>
        <w:r w:rsidR="00C24320">
          <w:rPr>
            <w:noProof/>
            <w:webHidden/>
          </w:rPr>
          <w:fldChar w:fldCharType="begin"/>
        </w:r>
        <w:r w:rsidR="00C24320">
          <w:rPr>
            <w:noProof/>
            <w:webHidden/>
          </w:rPr>
          <w:instrText xml:space="preserve"> PAGEREF _Toc467676193 \h </w:instrText>
        </w:r>
        <w:r w:rsidR="00C24320">
          <w:rPr>
            <w:noProof/>
            <w:webHidden/>
          </w:rPr>
        </w:r>
        <w:r w:rsidR="00C24320">
          <w:rPr>
            <w:noProof/>
            <w:webHidden/>
          </w:rPr>
          <w:fldChar w:fldCharType="separate"/>
        </w:r>
        <w:r w:rsidR="00C24320">
          <w:rPr>
            <w:noProof/>
            <w:webHidden/>
          </w:rPr>
          <w:t>24</w:t>
        </w:r>
        <w:r w:rsidR="00C24320">
          <w:rPr>
            <w:noProof/>
            <w:webHidden/>
          </w:rPr>
          <w:fldChar w:fldCharType="end"/>
        </w:r>
      </w:hyperlink>
    </w:p>
    <w:p w:rsidR="00C24320" w:rsidRDefault="008240EC">
      <w:pPr>
        <w:pStyle w:val="TOC1"/>
        <w:tabs>
          <w:tab w:val="left" w:pos="360"/>
          <w:tab w:val="right" w:leader="dot" w:pos="8488"/>
        </w:tabs>
        <w:rPr>
          <w:rFonts w:asciiTheme="minorHAnsi" w:eastAsiaTheme="minorEastAsia" w:hAnsiTheme="minorHAnsi" w:cstheme="minorBidi"/>
          <w:noProof/>
          <w:sz w:val="22"/>
          <w:szCs w:val="22"/>
        </w:rPr>
      </w:pPr>
      <w:hyperlink w:anchor="_Toc467676194" w:history="1">
        <w:r w:rsidR="00C24320" w:rsidRPr="00D47906">
          <w:rPr>
            <w:rStyle w:val="Hyperlink"/>
            <w:rFonts w:ascii="VIC SemiBold" w:hAnsi="VIC SemiBold"/>
            <w:noProof/>
          </w:rPr>
          <w:t>4</w:t>
        </w:r>
        <w:r w:rsidR="00C24320">
          <w:rPr>
            <w:rFonts w:asciiTheme="minorHAnsi" w:eastAsiaTheme="minorEastAsia" w:hAnsiTheme="minorHAnsi" w:cstheme="minorBidi"/>
            <w:noProof/>
            <w:sz w:val="22"/>
            <w:szCs w:val="22"/>
          </w:rPr>
          <w:tab/>
        </w:r>
        <w:r w:rsidR="00C24320" w:rsidRPr="00D47906">
          <w:rPr>
            <w:rStyle w:val="Hyperlink"/>
            <w:noProof/>
          </w:rPr>
          <w:t>ADMINISTRATION</w:t>
        </w:r>
        <w:r w:rsidR="00C24320">
          <w:rPr>
            <w:noProof/>
            <w:webHidden/>
          </w:rPr>
          <w:tab/>
        </w:r>
        <w:r w:rsidR="00C24320">
          <w:rPr>
            <w:noProof/>
            <w:webHidden/>
          </w:rPr>
          <w:fldChar w:fldCharType="begin"/>
        </w:r>
        <w:r w:rsidR="00C24320">
          <w:rPr>
            <w:noProof/>
            <w:webHidden/>
          </w:rPr>
          <w:instrText xml:space="preserve"> PAGEREF _Toc467676194 \h </w:instrText>
        </w:r>
        <w:r w:rsidR="00C24320">
          <w:rPr>
            <w:noProof/>
            <w:webHidden/>
          </w:rPr>
        </w:r>
        <w:r w:rsidR="00C24320">
          <w:rPr>
            <w:noProof/>
            <w:webHidden/>
          </w:rPr>
          <w:fldChar w:fldCharType="separate"/>
        </w:r>
        <w:r w:rsidR="00C24320">
          <w:rPr>
            <w:noProof/>
            <w:webHidden/>
          </w:rPr>
          <w:t>36</w:t>
        </w:r>
        <w:r w:rsidR="00C24320">
          <w:rPr>
            <w:noProof/>
            <w:webHidden/>
          </w:rPr>
          <w:fldChar w:fldCharType="end"/>
        </w:r>
      </w:hyperlink>
    </w:p>
    <w:p w:rsidR="00C24320" w:rsidRDefault="008240EC">
      <w:pPr>
        <w:pStyle w:val="TOC2"/>
        <w:tabs>
          <w:tab w:val="left" w:pos="880"/>
          <w:tab w:val="right" w:leader="dot" w:pos="8488"/>
        </w:tabs>
        <w:rPr>
          <w:rFonts w:asciiTheme="minorHAnsi" w:eastAsiaTheme="minorEastAsia" w:hAnsiTheme="minorHAnsi" w:cstheme="minorBidi"/>
          <w:noProof/>
          <w:sz w:val="22"/>
          <w:szCs w:val="22"/>
        </w:rPr>
      </w:pPr>
      <w:hyperlink w:anchor="_Toc467676195" w:history="1">
        <w:r w:rsidR="00C24320" w:rsidRPr="00D47906">
          <w:rPr>
            <w:rStyle w:val="Hyperlink"/>
            <w:rFonts w:ascii="VIC SemiBold" w:hAnsi="VIC SemiBold"/>
            <w:noProof/>
          </w:rPr>
          <w:t>4.1</w:t>
        </w:r>
        <w:r w:rsidR="00C24320">
          <w:rPr>
            <w:rFonts w:asciiTheme="minorHAnsi" w:eastAsiaTheme="minorEastAsia" w:hAnsiTheme="minorHAnsi" w:cstheme="minorBidi"/>
            <w:noProof/>
            <w:sz w:val="22"/>
            <w:szCs w:val="22"/>
          </w:rPr>
          <w:tab/>
        </w:r>
        <w:r w:rsidR="00C24320" w:rsidRPr="00D47906">
          <w:rPr>
            <w:rStyle w:val="Hyperlink"/>
            <w:noProof/>
          </w:rPr>
          <w:t>Payment of contributions and payment timing</w:t>
        </w:r>
        <w:r w:rsidR="00C24320">
          <w:rPr>
            <w:noProof/>
            <w:webHidden/>
          </w:rPr>
          <w:tab/>
        </w:r>
        <w:r w:rsidR="00C24320">
          <w:rPr>
            <w:noProof/>
            <w:webHidden/>
          </w:rPr>
          <w:fldChar w:fldCharType="begin"/>
        </w:r>
        <w:r w:rsidR="00C24320">
          <w:rPr>
            <w:noProof/>
            <w:webHidden/>
          </w:rPr>
          <w:instrText xml:space="preserve"> PAGEREF _Toc467676195 \h </w:instrText>
        </w:r>
        <w:r w:rsidR="00C24320">
          <w:rPr>
            <w:noProof/>
            <w:webHidden/>
          </w:rPr>
        </w:r>
        <w:r w:rsidR="00C24320">
          <w:rPr>
            <w:noProof/>
            <w:webHidden/>
          </w:rPr>
          <w:fldChar w:fldCharType="separate"/>
        </w:r>
        <w:r w:rsidR="00C24320">
          <w:rPr>
            <w:noProof/>
            <w:webHidden/>
          </w:rPr>
          <w:t>36</w:t>
        </w:r>
        <w:r w:rsidR="00C24320">
          <w:rPr>
            <w:noProof/>
            <w:webHidden/>
          </w:rPr>
          <w:fldChar w:fldCharType="end"/>
        </w:r>
      </w:hyperlink>
    </w:p>
    <w:p w:rsidR="00C24320" w:rsidRDefault="008240EC">
      <w:pPr>
        <w:pStyle w:val="TOC2"/>
        <w:tabs>
          <w:tab w:val="left" w:pos="880"/>
          <w:tab w:val="right" w:leader="dot" w:pos="8488"/>
        </w:tabs>
        <w:rPr>
          <w:rFonts w:asciiTheme="minorHAnsi" w:eastAsiaTheme="minorEastAsia" w:hAnsiTheme="minorHAnsi" w:cstheme="minorBidi"/>
          <w:noProof/>
          <w:sz w:val="22"/>
          <w:szCs w:val="22"/>
        </w:rPr>
      </w:pPr>
      <w:hyperlink w:anchor="_Toc467676196" w:history="1">
        <w:r w:rsidR="00C24320" w:rsidRPr="00D47906">
          <w:rPr>
            <w:rStyle w:val="Hyperlink"/>
            <w:rFonts w:ascii="VIC SemiBold" w:hAnsi="VIC SemiBold"/>
            <w:noProof/>
          </w:rPr>
          <w:t>4.2</w:t>
        </w:r>
        <w:r w:rsidR="00C24320">
          <w:rPr>
            <w:rFonts w:asciiTheme="minorHAnsi" w:eastAsiaTheme="minorEastAsia" w:hAnsiTheme="minorHAnsi" w:cstheme="minorBidi"/>
            <w:noProof/>
            <w:sz w:val="22"/>
            <w:szCs w:val="22"/>
          </w:rPr>
          <w:tab/>
        </w:r>
        <w:r w:rsidR="00C24320" w:rsidRPr="00D47906">
          <w:rPr>
            <w:rStyle w:val="Hyperlink"/>
            <w:noProof/>
          </w:rPr>
          <w:t>Funds administration</w:t>
        </w:r>
        <w:r w:rsidR="00C24320">
          <w:rPr>
            <w:noProof/>
            <w:webHidden/>
          </w:rPr>
          <w:tab/>
        </w:r>
        <w:r w:rsidR="00C24320">
          <w:rPr>
            <w:noProof/>
            <w:webHidden/>
          </w:rPr>
          <w:fldChar w:fldCharType="begin"/>
        </w:r>
        <w:r w:rsidR="00C24320">
          <w:rPr>
            <w:noProof/>
            <w:webHidden/>
          </w:rPr>
          <w:instrText xml:space="preserve"> PAGEREF _Toc467676196 \h </w:instrText>
        </w:r>
        <w:r w:rsidR="00C24320">
          <w:rPr>
            <w:noProof/>
            <w:webHidden/>
          </w:rPr>
        </w:r>
        <w:r w:rsidR="00C24320">
          <w:rPr>
            <w:noProof/>
            <w:webHidden/>
          </w:rPr>
          <w:fldChar w:fldCharType="separate"/>
        </w:r>
        <w:r w:rsidR="00C24320">
          <w:rPr>
            <w:noProof/>
            <w:webHidden/>
          </w:rPr>
          <w:t>38</w:t>
        </w:r>
        <w:r w:rsidR="00C24320">
          <w:rPr>
            <w:noProof/>
            <w:webHidden/>
          </w:rPr>
          <w:fldChar w:fldCharType="end"/>
        </w:r>
      </w:hyperlink>
    </w:p>
    <w:p w:rsidR="00C24320" w:rsidRDefault="008240EC">
      <w:pPr>
        <w:pStyle w:val="TOC2"/>
        <w:tabs>
          <w:tab w:val="left" w:pos="880"/>
          <w:tab w:val="right" w:leader="dot" w:pos="8488"/>
        </w:tabs>
        <w:rPr>
          <w:rFonts w:asciiTheme="minorHAnsi" w:eastAsiaTheme="minorEastAsia" w:hAnsiTheme="minorHAnsi" w:cstheme="minorBidi"/>
          <w:noProof/>
          <w:sz w:val="22"/>
          <w:szCs w:val="22"/>
        </w:rPr>
      </w:pPr>
      <w:hyperlink w:anchor="_Toc467676197" w:history="1">
        <w:r w:rsidR="00C24320" w:rsidRPr="00D47906">
          <w:rPr>
            <w:rStyle w:val="Hyperlink"/>
            <w:rFonts w:ascii="VIC SemiBold" w:hAnsi="VIC SemiBold"/>
            <w:noProof/>
          </w:rPr>
          <w:t>4.3</w:t>
        </w:r>
        <w:r w:rsidR="00C24320">
          <w:rPr>
            <w:rFonts w:asciiTheme="minorHAnsi" w:eastAsiaTheme="minorEastAsia" w:hAnsiTheme="minorHAnsi" w:cstheme="minorBidi"/>
            <w:noProof/>
            <w:sz w:val="22"/>
            <w:szCs w:val="22"/>
          </w:rPr>
          <w:tab/>
        </w:r>
        <w:r w:rsidR="00C24320" w:rsidRPr="00D47906">
          <w:rPr>
            <w:rStyle w:val="Hyperlink"/>
            <w:noProof/>
          </w:rPr>
          <w:t>Construction and land value costs indexation</w:t>
        </w:r>
        <w:r w:rsidR="00C24320">
          <w:rPr>
            <w:noProof/>
            <w:webHidden/>
          </w:rPr>
          <w:tab/>
        </w:r>
        <w:r w:rsidR="00C24320">
          <w:rPr>
            <w:noProof/>
            <w:webHidden/>
          </w:rPr>
          <w:fldChar w:fldCharType="begin"/>
        </w:r>
        <w:r w:rsidR="00C24320">
          <w:rPr>
            <w:noProof/>
            <w:webHidden/>
          </w:rPr>
          <w:instrText xml:space="preserve"> PAGEREF _Toc467676197 \h </w:instrText>
        </w:r>
        <w:r w:rsidR="00C24320">
          <w:rPr>
            <w:noProof/>
            <w:webHidden/>
          </w:rPr>
        </w:r>
        <w:r w:rsidR="00C24320">
          <w:rPr>
            <w:noProof/>
            <w:webHidden/>
          </w:rPr>
          <w:fldChar w:fldCharType="separate"/>
        </w:r>
        <w:r w:rsidR="00C24320">
          <w:rPr>
            <w:noProof/>
            <w:webHidden/>
          </w:rPr>
          <w:t>38</w:t>
        </w:r>
        <w:r w:rsidR="00C24320">
          <w:rPr>
            <w:noProof/>
            <w:webHidden/>
          </w:rPr>
          <w:fldChar w:fldCharType="end"/>
        </w:r>
      </w:hyperlink>
    </w:p>
    <w:p w:rsidR="00C24320" w:rsidRDefault="008240EC">
      <w:pPr>
        <w:pStyle w:val="TOC2"/>
        <w:tabs>
          <w:tab w:val="left" w:pos="880"/>
          <w:tab w:val="right" w:leader="dot" w:pos="8488"/>
        </w:tabs>
        <w:rPr>
          <w:rFonts w:asciiTheme="minorHAnsi" w:eastAsiaTheme="minorEastAsia" w:hAnsiTheme="minorHAnsi" w:cstheme="minorBidi"/>
          <w:noProof/>
          <w:sz w:val="22"/>
          <w:szCs w:val="22"/>
        </w:rPr>
      </w:pPr>
      <w:hyperlink w:anchor="_Toc467676198" w:history="1">
        <w:r w:rsidR="00C24320" w:rsidRPr="00D47906">
          <w:rPr>
            <w:rStyle w:val="Hyperlink"/>
            <w:rFonts w:ascii="VIC SemiBold" w:hAnsi="VIC SemiBold"/>
            <w:noProof/>
          </w:rPr>
          <w:t>4.4</w:t>
        </w:r>
        <w:r w:rsidR="00C24320">
          <w:rPr>
            <w:rFonts w:asciiTheme="minorHAnsi" w:eastAsiaTheme="minorEastAsia" w:hAnsiTheme="minorHAnsi" w:cstheme="minorBidi"/>
            <w:noProof/>
            <w:sz w:val="22"/>
            <w:szCs w:val="22"/>
          </w:rPr>
          <w:tab/>
        </w:r>
        <w:r w:rsidR="00C24320" w:rsidRPr="00D47906">
          <w:rPr>
            <w:rStyle w:val="Hyperlink"/>
            <w:noProof/>
          </w:rPr>
          <w:t>Review period</w:t>
        </w:r>
        <w:r w:rsidR="00C24320">
          <w:rPr>
            <w:noProof/>
            <w:webHidden/>
          </w:rPr>
          <w:tab/>
        </w:r>
        <w:r w:rsidR="00C24320">
          <w:rPr>
            <w:noProof/>
            <w:webHidden/>
          </w:rPr>
          <w:fldChar w:fldCharType="begin"/>
        </w:r>
        <w:r w:rsidR="00C24320">
          <w:rPr>
            <w:noProof/>
            <w:webHidden/>
          </w:rPr>
          <w:instrText xml:space="preserve"> PAGEREF _Toc467676198 \h </w:instrText>
        </w:r>
        <w:r w:rsidR="00C24320">
          <w:rPr>
            <w:noProof/>
            <w:webHidden/>
          </w:rPr>
        </w:r>
        <w:r w:rsidR="00C24320">
          <w:rPr>
            <w:noProof/>
            <w:webHidden/>
          </w:rPr>
          <w:fldChar w:fldCharType="separate"/>
        </w:r>
        <w:r w:rsidR="00C24320">
          <w:rPr>
            <w:noProof/>
            <w:webHidden/>
          </w:rPr>
          <w:t>39</w:t>
        </w:r>
        <w:r w:rsidR="00C24320">
          <w:rPr>
            <w:noProof/>
            <w:webHidden/>
          </w:rPr>
          <w:fldChar w:fldCharType="end"/>
        </w:r>
      </w:hyperlink>
    </w:p>
    <w:p w:rsidR="00C24320" w:rsidRDefault="008240EC">
      <w:pPr>
        <w:pStyle w:val="TOC2"/>
        <w:tabs>
          <w:tab w:val="left" w:pos="880"/>
          <w:tab w:val="right" w:leader="dot" w:pos="8488"/>
        </w:tabs>
        <w:rPr>
          <w:rFonts w:asciiTheme="minorHAnsi" w:eastAsiaTheme="minorEastAsia" w:hAnsiTheme="minorHAnsi" w:cstheme="minorBidi"/>
          <w:noProof/>
          <w:sz w:val="22"/>
          <w:szCs w:val="22"/>
        </w:rPr>
      </w:pPr>
      <w:hyperlink w:anchor="_Toc467676199" w:history="1">
        <w:r w:rsidR="00C24320" w:rsidRPr="00D47906">
          <w:rPr>
            <w:rStyle w:val="Hyperlink"/>
            <w:rFonts w:ascii="VIC SemiBold" w:hAnsi="VIC SemiBold"/>
            <w:noProof/>
          </w:rPr>
          <w:t>4.5</w:t>
        </w:r>
        <w:r w:rsidR="00C24320">
          <w:rPr>
            <w:rFonts w:asciiTheme="minorHAnsi" w:eastAsiaTheme="minorEastAsia" w:hAnsiTheme="minorHAnsi" w:cstheme="minorBidi"/>
            <w:noProof/>
            <w:sz w:val="22"/>
            <w:szCs w:val="22"/>
          </w:rPr>
          <w:tab/>
        </w:r>
        <w:r w:rsidR="00C24320" w:rsidRPr="00D47906">
          <w:rPr>
            <w:rStyle w:val="Hyperlink"/>
            <w:noProof/>
          </w:rPr>
          <w:t>Adjustment to the scope of projects</w:t>
        </w:r>
        <w:r w:rsidR="00C24320">
          <w:rPr>
            <w:noProof/>
            <w:webHidden/>
          </w:rPr>
          <w:tab/>
        </w:r>
        <w:r w:rsidR="00C24320">
          <w:rPr>
            <w:noProof/>
            <w:webHidden/>
          </w:rPr>
          <w:fldChar w:fldCharType="begin"/>
        </w:r>
        <w:r w:rsidR="00C24320">
          <w:rPr>
            <w:noProof/>
            <w:webHidden/>
          </w:rPr>
          <w:instrText xml:space="preserve"> PAGEREF _Toc467676199 \h </w:instrText>
        </w:r>
        <w:r w:rsidR="00C24320">
          <w:rPr>
            <w:noProof/>
            <w:webHidden/>
          </w:rPr>
        </w:r>
        <w:r w:rsidR="00C24320">
          <w:rPr>
            <w:noProof/>
            <w:webHidden/>
          </w:rPr>
          <w:fldChar w:fldCharType="separate"/>
        </w:r>
        <w:r w:rsidR="00C24320">
          <w:rPr>
            <w:noProof/>
            <w:webHidden/>
          </w:rPr>
          <w:t>39</w:t>
        </w:r>
        <w:r w:rsidR="00C24320">
          <w:rPr>
            <w:noProof/>
            <w:webHidden/>
          </w:rPr>
          <w:fldChar w:fldCharType="end"/>
        </w:r>
      </w:hyperlink>
    </w:p>
    <w:p w:rsidR="00C24320" w:rsidRDefault="008240EC">
      <w:pPr>
        <w:pStyle w:val="TOC2"/>
        <w:tabs>
          <w:tab w:val="left" w:pos="880"/>
          <w:tab w:val="right" w:leader="dot" w:pos="8488"/>
        </w:tabs>
        <w:rPr>
          <w:rFonts w:asciiTheme="minorHAnsi" w:eastAsiaTheme="minorEastAsia" w:hAnsiTheme="minorHAnsi" w:cstheme="minorBidi"/>
          <w:noProof/>
          <w:sz w:val="22"/>
          <w:szCs w:val="22"/>
        </w:rPr>
      </w:pPr>
      <w:hyperlink w:anchor="_Toc467676200" w:history="1">
        <w:r w:rsidR="00C24320" w:rsidRPr="00D47906">
          <w:rPr>
            <w:rStyle w:val="Hyperlink"/>
            <w:rFonts w:ascii="VIC SemiBold" w:hAnsi="VIC SemiBold"/>
            <w:noProof/>
          </w:rPr>
          <w:t>4.6</w:t>
        </w:r>
        <w:r w:rsidR="00C24320">
          <w:rPr>
            <w:rFonts w:asciiTheme="minorHAnsi" w:eastAsiaTheme="minorEastAsia" w:hAnsiTheme="minorHAnsi" w:cstheme="minorBidi"/>
            <w:noProof/>
            <w:sz w:val="22"/>
            <w:szCs w:val="22"/>
          </w:rPr>
          <w:tab/>
        </w:r>
        <w:r w:rsidR="00C24320" w:rsidRPr="00D47906">
          <w:rPr>
            <w:rStyle w:val="Hyperlink"/>
            <w:noProof/>
          </w:rPr>
          <w:t>Collecting agency (Agency responsible for collecting infrastructure levy)</w:t>
        </w:r>
        <w:r w:rsidR="00C24320">
          <w:rPr>
            <w:noProof/>
            <w:webHidden/>
          </w:rPr>
          <w:tab/>
        </w:r>
        <w:r w:rsidR="00C24320">
          <w:rPr>
            <w:noProof/>
            <w:webHidden/>
          </w:rPr>
          <w:fldChar w:fldCharType="begin"/>
        </w:r>
        <w:r w:rsidR="00C24320">
          <w:rPr>
            <w:noProof/>
            <w:webHidden/>
          </w:rPr>
          <w:instrText xml:space="preserve"> PAGEREF _Toc467676200 \h </w:instrText>
        </w:r>
        <w:r w:rsidR="00C24320">
          <w:rPr>
            <w:noProof/>
            <w:webHidden/>
          </w:rPr>
        </w:r>
        <w:r w:rsidR="00C24320">
          <w:rPr>
            <w:noProof/>
            <w:webHidden/>
          </w:rPr>
          <w:fldChar w:fldCharType="separate"/>
        </w:r>
        <w:r w:rsidR="00C24320">
          <w:rPr>
            <w:noProof/>
            <w:webHidden/>
          </w:rPr>
          <w:t>39</w:t>
        </w:r>
        <w:r w:rsidR="00C24320">
          <w:rPr>
            <w:noProof/>
            <w:webHidden/>
          </w:rPr>
          <w:fldChar w:fldCharType="end"/>
        </w:r>
      </w:hyperlink>
    </w:p>
    <w:p w:rsidR="00C24320" w:rsidRDefault="008240EC">
      <w:pPr>
        <w:pStyle w:val="TOC2"/>
        <w:tabs>
          <w:tab w:val="left" w:pos="880"/>
          <w:tab w:val="right" w:leader="dot" w:pos="8488"/>
        </w:tabs>
        <w:rPr>
          <w:rFonts w:asciiTheme="minorHAnsi" w:eastAsiaTheme="minorEastAsia" w:hAnsiTheme="minorHAnsi" w:cstheme="minorBidi"/>
          <w:noProof/>
          <w:sz w:val="22"/>
          <w:szCs w:val="22"/>
        </w:rPr>
      </w:pPr>
      <w:hyperlink w:anchor="_Toc467676201" w:history="1">
        <w:r w:rsidR="00C24320" w:rsidRPr="00D47906">
          <w:rPr>
            <w:rStyle w:val="Hyperlink"/>
            <w:rFonts w:ascii="VIC SemiBold" w:hAnsi="VIC SemiBold"/>
            <w:noProof/>
          </w:rPr>
          <w:t>4.7</w:t>
        </w:r>
        <w:r w:rsidR="00C24320">
          <w:rPr>
            <w:rFonts w:asciiTheme="minorHAnsi" w:eastAsiaTheme="minorEastAsia" w:hAnsiTheme="minorHAnsi" w:cstheme="minorBidi"/>
            <w:noProof/>
            <w:sz w:val="22"/>
            <w:szCs w:val="22"/>
          </w:rPr>
          <w:tab/>
        </w:r>
        <w:r w:rsidR="00C24320" w:rsidRPr="00D47906">
          <w:rPr>
            <w:rStyle w:val="Hyperlink"/>
            <w:noProof/>
          </w:rPr>
          <w:t>Development agency (Agency responsible for works)</w:t>
        </w:r>
        <w:r w:rsidR="00C24320">
          <w:rPr>
            <w:noProof/>
            <w:webHidden/>
          </w:rPr>
          <w:tab/>
        </w:r>
        <w:r w:rsidR="00C24320">
          <w:rPr>
            <w:noProof/>
            <w:webHidden/>
          </w:rPr>
          <w:fldChar w:fldCharType="begin"/>
        </w:r>
        <w:r w:rsidR="00C24320">
          <w:rPr>
            <w:noProof/>
            <w:webHidden/>
          </w:rPr>
          <w:instrText xml:space="preserve"> PAGEREF _Toc467676201 \h </w:instrText>
        </w:r>
        <w:r w:rsidR="00C24320">
          <w:rPr>
            <w:noProof/>
            <w:webHidden/>
          </w:rPr>
        </w:r>
        <w:r w:rsidR="00C24320">
          <w:rPr>
            <w:noProof/>
            <w:webHidden/>
          </w:rPr>
          <w:fldChar w:fldCharType="separate"/>
        </w:r>
        <w:r w:rsidR="00C24320">
          <w:rPr>
            <w:noProof/>
            <w:webHidden/>
          </w:rPr>
          <w:t>39</w:t>
        </w:r>
        <w:r w:rsidR="00C24320">
          <w:rPr>
            <w:noProof/>
            <w:webHidden/>
          </w:rPr>
          <w:fldChar w:fldCharType="end"/>
        </w:r>
      </w:hyperlink>
    </w:p>
    <w:p w:rsidR="00C24320" w:rsidRDefault="008240EC">
      <w:pPr>
        <w:pStyle w:val="TOC1"/>
        <w:tabs>
          <w:tab w:val="left" w:pos="360"/>
          <w:tab w:val="right" w:leader="dot" w:pos="8488"/>
        </w:tabs>
        <w:rPr>
          <w:rFonts w:asciiTheme="minorHAnsi" w:eastAsiaTheme="minorEastAsia" w:hAnsiTheme="minorHAnsi" w:cstheme="minorBidi"/>
          <w:noProof/>
          <w:sz w:val="22"/>
          <w:szCs w:val="22"/>
        </w:rPr>
      </w:pPr>
      <w:hyperlink w:anchor="_Toc467676202" w:history="1">
        <w:r w:rsidR="00C24320" w:rsidRPr="00D47906">
          <w:rPr>
            <w:rStyle w:val="Hyperlink"/>
            <w:rFonts w:ascii="VIC SemiBold" w:hAnsi="VIC SemiBold"/>
            <w:noProof/>
          </w:rPr>
          <w:t>5</w:t>
        </w:r>
        <w:r w:rsidR="00C24320">
          <w:rPr>
            <w:rFonts w:asciiTheme="minorHAnsi" w:eastAsiaTheme="minorEastAsia" w:hAnsiTheme="minorHAnsi" w:cstheme="minorBidi"/>
            <w:noProof/>
            <w:sz w:val="22"/>
            <w:szCs w:val="22"/>
          </w:rPr>
          <w:tab/>
        </w:r>
        <w:r w:rsidR="00C24320" w:rsidRPr="00D47906">
          <w:rPr>
            <w:rStyle w:val="Hyperlink"/>
            <w:noProof/>
          </w:rPr>
          <w:t>IMPLEMENTATION STRATEGY</w:t>
        </w:r>
        <w:r w:rsidR="00C24320">
          <w:rPr>
            <w:noProof/>
            <w:webHidden/>
          </w:rPr>
          <w:tab/>
        </w:r>
        <w:r w:rsidR="00C24320">
          <w:rPr>
            <w:noProof/>
            <w:webHidden/>
          </w:rPr>
          <w:fldChar w:fldCharType="begin"/>
        </w:r>
        <w:r w:rsidR="00C24320">
          <w:rPr>
            <w:noProof/>
            <w:webHidden/>
          </w:rPr>
          <w:instrText xml:space="preserve"> PAGEREF _Toc467676202 \h </w:instrText>
        </w:r>
        <w:r w:rsidR="00C24320">
          <w:rPr>
            <w:noProof/>
            <w:webHidden/>
          </w:rPr>
        </w:r>
        <w:r w:rsidR="00C24320">
          <w:rPr>
            <w:noProof/>
            <w:webHidden/>
          </w:rPr>
          <w:fldChar w:fldCharType="separate"/>
        </w:r>
        <w:r w:rsidR="00C24320">
          <w:rPr>
            <w:noProof/>
            <w:webHidden/>
          </w:rPr>
          <w:t>40</w:t>
        </w:r>
        <w:r w:rsidR="00C24320">
          <w:rPr>
            <w:noProof/>
            <w:webHidden/>
          </w:rPr>
          <w:fldChar w:fldCharType="end"/>
        </w:r>
      </w:hyperlink>
    </w:p>
    <w:p w:rsidR="00C24320" w:rsidRDefault="008240EC">
      <w:pPr>
        <w:pStyle w:val="TOC2"/>
        <w:tabs>
          <w:tab w:val="left" w:pos="880"/>
          <w:tab w:val="right" w:leader="dot" w:pos="8488"/>
        </w:tabs>
        <w:rPr>
          <w:rFonts w:asciiTheme="minorHAnsi" w:eastAsiaTheme="minorEastAsia" w:hAnsiTheme="minorHAnsi" w:cstheme="minorBidi"/>
          <w:noProof/>
          <w:sz w:val="22"/>
          <w:szCs w:val="22"/>
        </w:rPr>
      </w:pPr>
      <w:hyperlink w:anchor="_Toc467676203" w:history="1">
        <w:r w:rsidR="00C24320" w:rsidRPr="00D47906">
          <w:rPr>
            <w:rStyle w:val="Hyperlink"/>
            <w:rFonts w:ascii="VIC SemiBold" w:hAnsi="VIC SemiBold"/>
            <w:noProof/>
          </w:rPr>
          <w:t>5.1</w:t>
        </w:r>
        <w:r w:rsidR="00C24320">
          <w:rPr>
            <w:rFonts w:asciiTheme="minorHAnsi" w:eastAsiaTheme="minorEastAsia" w:hAnsiTheme="minorHAnsi" w:cstheme="minorBidi"/>
            <w:noProof/>
            <w:sz w:val="22"/>
            <w:szCs w:val="22"/>
          </w:rPr>
          <w:tab/>
        </w:r>
        <w:r w:rsidR="00C24320" w:rsidRPr="00D47906">
          <w:rPr>
            <w:rStyle w:val="Hyperlink"/>
            <w:noProof/>
          </w:rPr>
          <w:t>Rationale for the implementation strategy</w:t>
        </w:r>
        <w:r w:rsidR="00C24320">
          <w:rPr>
            <w:noProof/>
            <w:webHidden/>
          </w:rPr>
          <w:tab/>
        </w:r>
        <w:r w:rsidR="00C24320">
          <w:rPr>
            <w:noProof/>
            <w:webHidden/>
          </w:rPr>
          <w:fldChar w:fldCharType="begin"/>
        </w:r>
        <w:r w:rsidR="00C24320">
          <w:rPr>
            <w:noProof/>
            <w:webHidden/>
          </w:rPr>
          <w:instrText xml:space="preserve"> PAGEREF _Toc467676203 \h </w:instrText>
        </w:r>
        <w:r w:rsidR="00C24320">
          <w:rPr>
            <w:noProof/>
            <w:webHidden/>
          </w:rPr>
        </w:r>
        <w:r w:rsidR="00C24320">
          <w:rPr>
            <w:noProof/>
            <w:webHidden/>
          </w:rPr>
          <w:fldChar w:fldCharType="separate"/>
        </w:r>
        <w:r w:rsidR="00C24320">
          <w:rPr>
            <w:noProof/>
            <w:webHidden/>
          </w:rPr>
          <w:t>40</w:t>
        </w:r>
        <w:r w:rsidR="00C24320">
          <w:rPr>
            <w:noProof/>
            <w:webHidden/>
          </w:rPr>
          <w:fldChar w:fldCharType="end"/>
        </w:r>
      </w:hyperlink>
    </w:p>
    <w:p w:rsidR="00C24320" w:rsidRDefault="008240EC">
      <w:pPr>
        <w:pStyle w:val="TOC2"/>
        <w:tabs>
          <w:tab w:val="left" w:pos="880"/>
          <w:tab w:val="right" w:leader="dot" w:pos="8488"/>
        </w:tabs>
        <w:rPr>
          <w:rFonts w:asciiTheme="minorHAnsi" w:eastAsiaTheme="minorEastAsia" w:hAnsiTheme="minorHAnsi" w:cstheme="minorBidi"/>
          <w:noProof/>
          <w:sz w:val="22"/>
          <w:szCs w:val="22"/>
        </w:rPr>
      </w:pPr>
      <w:hyperlink w:anchor="_Toc467676204" w:history="1">
        <w:r w:rsidR="00C24320" w:rsidRPr="00D47906">
          <w:rPr>
            <w:rStyle w:val="Hyperlink"/>
            <w:rFonts w:ascii="VIC SemiBold" w:hAnsi="VIC SemiBold"/>
            <w:noProof/>
          </w:rPr>
          <w:t>5.2</w:t>
        </w:r>
        <w:r w:rsidR="00C24320">
          <w:rPr>
            <w:rFonts w:asciiTheme="minorHAnsi" w:eastAsiaTheme="minorEastAsia" w:hAnsiTheme="minorHAnsi" w:cstheme="minorBidi"/>
            <w:noProof/>
            <w:sz w:val="22"/>
            <w:szCs w:val="22"/>
          </w:rPr>
          <w:tab/>
        </w:r>
        <w:r w:rsidR="00C24320" w:rsidRPr="00D47906">
          <w:rPr>
            <w:rStyle w:val="Hyperlink"/>
            <w:noProof/>
          </w:rPr>
          <w:t>Implementation mechanism</w:t>
        </w:r>
        <w:r w:rsidR="00C24320">
          <w:rPr>
            <w:noProof/>
            <w:webHidden/>
          </w:rPr>
          <w:tab/>
        </w:r>
        <w:r w:rsidR="00C24320">
          <w:rPr>
            <w:noProof/>
            <w:webHidden/>
          </w:rPr>
          <w:fldChar w:fldCharType="begin"/>
        </w:r>
        <w:r w:rsidR="00C24320">
          <w:rPr>
            <w:noProof/>
            <w:webHidden/>
          </w:rPr>
          <w:instrText xml:space="preserve"> PAGEREF _Toc467676204 \h </w:instrText>
        </w:r>
        <w:r w:rsidR="00C24320">
          <w:rPr>
            <w:noProof/>
            <w:webHidden/>
          </w:rPr>
        </w:r>
        <w:r w:rsidR="00C24320">
          <w:rPr>
            <w:noProof/>
            <w:webHidden/>
          </w:rPr>
          <w:fldChar w:fldCharType="separate"/>
        </w:r>
        <w:r w:rsidR="00C24320">
          <w:rPr>
            <w:noProof/>
            <w:webHidden/>
          </w:rPr>
          <w:t>40</w:t>
        </w:r>
        <w:r w:rsidR="00C24320">
          <w:rPr>
            <w:noProof/>
            <w:webHidden/>
          </w:rPr>
          <w:fldChar w:fldCharType="end"/>
        </w:r>
      </w:hyperlink>
    </w:p>
    <w:p w:rsidR="00C24320" w:rsidRDefault="008240EC">
      <w:pPr>
        <w:pStyle w:val="TOC1"/>
        <w:tabs>
          <w:tab w:val="left" w:pos="360"/>
          <w:tab w:val="right" w:leader="dot" w:pos="8488"/>
        </w:tabs>
        <w:rPr>
          <w:rFonts w:asciiTheme="minorHAnsi" w:eastAsiaTheme="minorEastAsia" w:hAnsiTheme="minorHAnsi" w:cstheme="minorBidi"/>
          <w:noProof/>
          <w:sz w:val="22"/>
          <w:szCs w:val="22"/>
        </w:rPr>
      </w:pPr>
      <w:hyperlink w:anchor="_Toc467676205" w:history="1">
        <w:r w:rsidR="00C24320" w:rsidRPr="00D47906">
          <w:rPr>
            <w:rStyle w:val="Hyperlink"/>
            <w:rFonts w:ascii="VIC SemiBold" w:hAnsi="VIC SemiBold"/>
            <w:noProof/>
          </w:rPr>
          <w:t>6</w:t>
        </w:r>
        <w:r w:rsidR="00C24320">
          <w:rPr>
            <w:rFonts w:asciiTheme="minorHAnsi" w:eastAsiaTheme="minorEastAsia" w:hAnsiTheme="minorHAnsi" w:cstheme="minorBidi"/>
            <w:noProof/>
            <w:sz w:val="22"/>
            <w:szCs w:val="22"/>
          </w:rPr>
          <w:tab/>
        </w:r>
        <w:r w:rsidR="00C24320" w:rsidRPr="00D47906">
          <w:rPr>
            <w:rStyle w:val="Hyperlink"/>
            <w:noProof/>
          </w:rPr>
          <w:t>APPENDICES</w:t>
        </w:r>
        <w:r w:rsidR="00C24320">
          <w:rPr>
            <w:noProof/>
            <w:webHidden/>
          </w:rPr>
          <w:tab/>
        </w:r>
        <w:r w:rsidR="00C24320">
          <w:rPr>
            <w:noProof/>
            <w:webHidden/>
          </w:rPr>
          <w:fldChar w:fldCharType="begin"/>
        </w:r>
        <w:r w:rsidR="00C24320">
          <w:rPr>
            <w:noProof/>
            <w:webHidden/>
          </w:rPr>
          <w:instrText xml:space="preserve"> PAGEREF _Toc467676205 \h </w:instrText>
        </w:r>
        <w:r w:rsidR="00C24320">
          <w:rPr>
            <w:noProof/>
            <w:webHidden/>
          </w:rPr>
        </w:r>
        <w:r w:rsidR="00C24320">
          <w:rPr>
            <w:noProof/>
            <w:webHidden/>
          </w:rPr>
          <w:fldChar w:fldCharType="separate"/>
        </w:r>
        <w:r w:rsidR="00C24320">
          <w:rPr>
            <w:noProof/>
            <w:webHidden/>
          </w:rPr>
          <w:t>41</w:t>
        </w:r>
        <w:r w:rsidR="00C24320">
          <w:rPr>
            <w:noProof/>
            <w:webHidden/>
          </w:rPr>
          <w:fldChar w:fldCharType="end"/>
        </w:r>
      </w:hyperlink>
    </w:p>
    <w:p w:rsidR="00C24320" w:rsidRDefault="008240EC">
      <w:pPr>
        <w:pStyle w:val="TOC2"/>
        <w:tabs>
          <w:tab w:val="right" w:leader="dot" w:pos="8488"/>
        </w:tabs>
        <w:rPr>
          <w:rFonts w:asciiTheme="minorHAnsi" w:eastAsiaTheme="minorEastAsia" w:hAnsiTheme="minorHAnsi" w:cstheme="minorBidi"/>
          <w:noProof/>
          <w:sz w:val="22"/>
          <w:szCs w:val="22"/>
        </w:rPr>
      </w:pPr>
      <w:hyperlink w:anchor="_Toc467676206" w:history="1">
        <w:r w:rsidR="00C24320" w:rsidRPr="00D47906">
          <w:rPr>
            <w:rStyle w:val="Hyperlink"/>
            <w:noProof/>
          </w:rPr>
          <w:t>Appendix A – Detailed land budget (property-specific)</w:t>
        </w:r>
        <w:r w:rsidR="00C24320">
          <w:rPr>
            <w:noProof/>
            <w:webHidden/>
          </w:rPr>
          <w:tab/>
        </w:r>
        <w:r w:rsidR="00C24320">
          <w:rPr>
            <w:noProof/>
            <w:webHidden/>
          </w:rPr>
          <w:fldChar w:fldCharType="begin"/>
        </w:r>
        <w:r w:rsidR="00C24320">
          <w:rPr>
            <w:noProof/>
            <w:webHidden/>
          </w:rPr>
          <w:instrText xml:space="preserve"> PAGEREF _Toc467676206 \h </w:instrText>
        </w:r>
        <w:r w:rsidR="00C24320">
          <w:rPr>
            <w:noProof/>
            <w:webHidden/>
          </w:rPr>
        </w:r>
        <w:r w:rsidR="00C24320">
          <w:rPr>
            <w:noProof/>
            <w:webHidden/>
          </w:rPr>
          <w:fldChar w:fldCharType="separate"/>
        </w:r>
        <w:r w:rsidR="00C24320">
          <w:rPr>
            <w:noProof/>
            <w:webHidden/>
          </w:rPr>
          <w:t>41</w:t>
        </w:r>
        <w:r w:rsidR="00C24320">
          <w:rPr>
            <w:noProof/>
            <w:webHidden/>
          </w:rPr>
          <w:fldChar w:fldCharType="end"/>
        </w:r>
      </w:hyperlink>
    </w:p>
    <w:p w:rsidR="00C24320" w:rsidRDefault="008240EC">
      <w:pPr>
        <w:pStyle w:val="TOC2"/>
        <w:tabs>
          <w:tab w:val="right" w:leader="dot" w:pos="8488"/>
        </w:tabs>
        <w:rPr>
          <w:rFonts w:asciiTheme="minorHAnsi" w:eastAsiaTheme="minorEastAsia" w:hAnsiTheme="minorHAnsi" w:cstheme="minorBidi"/>
          <w:noProof/>
          <w:sz w:val="22"/>
          <w:szCs w:val="22"/>
        </w:rPr>
      </w:pPr>
      <w:hyperlink w:anchor="_Toc467676207" w:history="1">
        <w:r w:rsidR="00C24320" w:rsidRPr="00D47906">
          <w:rPr>
            <w:rStyle w:val="Hyperlink"/>
            <w:noProof/>
          </w:rPr>
          <w:t>Appendix B – Transport project cost sheets</w:t>
        </w:r>
        <w:r w:rsidR="00C24320">
          <w:rPr>
            <w:noProof/>
            <w:webHidden/>
          </w:rPr>
          <w:tab/>
        </w:r>
        <w:r w:rsidR="00C24320">
          <w:rPr>
            <w:noProof/>
            <w:webHidden/>
          </w:rPr>
          <w:fldChar w:fldCharType="begin"/>
        </w:r>
        <w:r w:rsidR="00C24320">
          <w:rPr>
            <w:noProof/>
            <w:webHidden/>
          </w:rPr>
          <w:instrText xml:space="preserve"> PAGEREF _Toc467676207 \h </w:instrText>
        </w:r>
        <w:r w:rsidR="00C24320">
          <w:rPr>
            <w:noProof/>
            <w:webHidden/>
          </w:rPr>
        </w:r>
        <w:r w:rsidR="00C24320">
          <w:rPr>
            <w:noProof/>
            <w:webHidden/>
          </w:rPr>
          <w:fldChar w:fldCharType="separate"/>
        </w:r>
        <w:r w:rsidR="00C24320">
          <w:rPr>
            <w:noProof/>
            <w:webHidden/>
          </w:rPr>
          <w:t>41</w:t>
        </w:r>
        <w:r w:rsidR="00C24320">
          <w:rPr>
            <w:noProof/>
            <w:webHidden/>
          </w:rPr>
          <w:fldChar w:fldCharType="end"/>
        </w:r>
      </w:hyperlink>
    </w:p>
    <w:p w:rsidR="00C24320" w:rsidRDefault="008240EC">
      <w:pPr>
        <w:pStyle w:val="TOC2"/>
        <w:tabs>
          <w:tab w:val="right" w:leader="dot" w:pos="8488"/>
        </w:tabs>
        <w:rPr>
          <w:rFonts w:asciiTheme="minorHAnsi" w:eastAsiaTheme="minorEastAsia" w:hAnsiTheme="minorHAnsi" w:cstheme="minorBidi"/>
          <w:noProof/>
          <w:sz w:val="22"/>
          <w:szCs w:val="22"/>
        </w:rPr>
      </w:pPr>
      <w:hyperlink w:anchor="_Toc467676208" w:history="1">
        <w:r w:rsidR="00C24320" w:rsidRPr="00D47906">
          <w:rPr>
            <w:rStyle w:val="Hyperlink"/>
            <w:noProof/>
          </w:rPr>
          <w:t>Appendix C – Community facilities and active recreation project cost sheets</w:t>
        </w:r>
        <w:r w:rsidR="00C24320">
          <w:rPr>
            <w:noProof/>
            <w:webHidden/>
          </w:rPr>
          <w:tab/>
        </w:r>
        <w:r w:rsidR="00C24320">
          <w:rPr>
            <w:noProof/>
            <w:webHidden/>
          </w:rPr>
          <w:fldChar w:fldCharType="begin"/>
        </w:r>
        <w:r w:rsidR="00C24320">
          <w:rPr>
            <w:noProof/>
            <w:webHidden/>
          </w:rPr>
          <w:instrText xml:space="preserve"> PAGEREF _Toc467676208 \h </w:instrText>
        </w:r>
        <w:r w:rsidR="00C24320">
          <w:rPr>
            <w:noProof/>
            <w:webHidden/>
          </w:rPr>
        </w:r>
        <w:r w:rsidR="00C24320">
          <w:rPr>
            <w:noProof/>
            <w:webHidden/>
          </w:rPr>
          <w:fldChar w:fldCharType="separate"/>
        </w:r>
        <w:r w:rsidR="00C24320">
          <w:rPr>
            <w:noProof/>
            <w:webHidden/>
          </w:rPr>
          <w:t>41</w:t>
        </w:r>
        <w:r w:rsidR="00C24320">
          <w:rPr>
            <w:noProof/>
            <w:webHidden/>
          </w:rPr>
          <w:fldChar w:fldCharType="end"/>
        </w:r>
      </w:hyperlink>
    </w:p>
    <w:p w:rsidR="00C24320" w:rsidRDefault="008240EC">
      <w:pPr>
        <w:pStyle w:val="TOC2"/>
        <w:tabs>
          <w:tab w:val="right" w:leader="dot" w:pos="8488"/>
        </w:tabs>
        <w:rPr>
          <w:rFonts w:asciiTheme="minorHAnsi" w:eastAsiaTheme="minorEastAsia" w:hAnsiTheme="minorHAnsi" w:cstheme="minorBidi"/>
          <w:noProof/>
          <w:sz w:val="22"/>
          <w:szCs w:val="22"/>
        </w:rPr>
      </w:pPr>
      <w:hyperlink w:anchor="_Toc467676209" w:history="1">
        <w:r w:rsidR="00C24320" w:rsidRPr="00D47906">
          <w:rPr>
            <w:rStyle w:val="Hyperlink"/>
            <w:noProof/>
          </w:rPr>
          <w:t>Appendix D – Land valuation ‘over’ and ‘under’ provision of public land table</w:t>
        </w:r>
        <w:r w:rsidR="00C24320">
          <w:rPr>
            <w:noProof/>
            <w:webHidden/>
          </w:rPr>
          <w:tab/>
        </w:r>
        <w:r w:rsidR="00C24320">
          <w:rPr>
            <w:noProof/>
            <w:webHidden/>
          </w:rPr>
          <w:fldChar w:fldCharType="begin"/>
        </w:r>
        <w:r w:rsidR="00C24320">
          <w:rPr>
            <w:noProof/>
            <w:webHidden/>
          </w:rPr>
          <w:instrText xml:space="preserve"> PAGEREF _Toc467676209 \h </w:instrText>
        </w:r>
        <w:r w:rsidR="00C24320">
          <w:rPr>
            <w:noProof/>
            <w:webHidden/>
          </w:rPr>
        </w:r>
        <w:r w:rsidR="00C24320">
          <w:rPr>
            <w:noProof/>
            <w:webHidden/>
          </w:rPr>
          <w:fldChar w:fldCharType="separate"/>
        </w:r>
        <w:r w:rsidR="00C24320">
          <w:rPr>
            <w:noProof/>
            <w:webHidden/>
          </w:rPr>
          <w:t>41</w:t>
        </w:r>
        <w:r w:rsidR="00C24320">
          <w:rPr>
            <w:noProof/>
            <w:webHidden/>
          </w:rPr>
          <w:fldChar w:fldCharType="end"/>
        </w:r>
      </w:hyperlink>
    </w:p>
    <w:p w:rsidR="00AD4DBA" w:rsidRDefault="00AD4DBA" w:rsidP="00AD4DBA">
      <w:pPr>
        <w:pStyle w:val="HeadingContents"/>
        <w:rPr>
          <w:rFonts w:ascii="Calibri" w:hAnsi="Calibri"/>
          <w:sz w:val="22"/>
          <w:lang w:val="en-US" w:eastAsia="en-AU"/>
        </w:rPr>
      </w:pPr>
      <w:r>
        <w:rPr>
          <w:rFonts w:ascii="Calibri" w:hAnsi="Calibri"/>
          <w:sz w:val="22"/>
          <w:lang w:val="en-US" w:eastAsia="en-AU"/>
        </w:rPr>
        <w:fldChar w:fldCharType="end"/>
      </w:r>
    </w:p>
    <w:p w:rsidR="00AD4DBA" w:rsidRDefault="00AD4DBA" w:rsidP="00AD4DBA">
      <w:pPr>
        <w:pStyle w:val="HeadingContents"/>
      </w:pPr>
      <w:r w:rsidRPr="00136EE1">
        <w:t xml:space="preserve">PLANS </w:t>
      </w:r>
    </w:p>
    <w:p w:rsidR="00C24320" w:rsidRDefault="00AD4DBA">
      <w:pPr>
        <w:pStyle w:val="TableofFigures"/>
        <w:tabs>
          <w:tab w:val="right" w:pos="8488"/>
        </w:tabs>
        <w:rPr>
          <w:rFonts w:asciiTheme="minorHAnsi" w:eastAsiaTheme="minorEastAsia" w:hAnsiTheme="minorHAnsi" w:cstheme="minorBidi"/>
          <w:noProof/>
          <w:sz w:val="22"/>
        </w:rPr>
      </w:pPr>
      <w:r>
        <w:rPr>
          <w:caps/>
        </w:rPr>
        <w:fldChar w:fldCharType="begin"/>
      </w:r>
      <w:r>
        <w:rPr>
          <w:caps/>
        </w:rPr>
        <w:instrText xml:space="preserve"> TOC \h \z \c "Plan" </w:instrText>
      </w:r>
      <w:r>
        <w:rPr>
          <w:caps/>
        </w:rPr>
        <w:fldChar w:fldCharType="separate"/>
      </w:r>
      <w:hyperlink w:anchor="_Toc467676210" w:history="1">
        <w:r w:rsidR="00C24320" w:rsidRPr="00B75156">
          <w:rPr>
            <w:rStyle w:val="Hyperlink"/>
            <w:noProof/>
          </w:rPr>
          <w:t>Plan 1 – Regional Context</w:t>
        </w:r>
        <w:r w:rsidR="00C24320">
          <w:rPr>
            <w:noProof/>
            <w:webHidden/>
          </w:rPr>
          <w:tab/>
        </w:r>
        <w:r w:rsidR="00C24320">
          <w:rPr>
            <w:noProof/>
            <w:webHidden/>
          </w:rPr>
          <w:fldChar w:fldCharType="begin"/>
        </w:r>
        <w:r w:rsidR="00C24320">
          <w:rPr>
            <w:noProof/>
            <w:webHidden/>
          </w:rPr>
          <w:instrText xml:space="preserve"> PAGEREF _Toc467676210 \h </w:instrText>
        </w:r>
        <w:r w:rsidR="00C24320">
          <w:rPr>
            <w:noProof/>
            <w:webHidden/>
          </w:rPr>
        </w:r>
        <w:r w:rsidR="00C24320">
          <w:rPr>
            <w:noProof/>
            <w:webHidden/>
          </w:rPr>
          <w:fldChar w:fldCharType="separate"/>
        </w:r>
        <w:r w:rsidR="00C24320">
          <w:rPr>
            <w:noProof/>
            <w:webHidden/>
          </w:rPr>
          <w:t>6</w:t>
        </w:r>
        <w:r w:rsidR="00C24320">
          <w:rPr>
            <w:noProof/>
            <w:webHidden/>
          </w:rPr>
          <w:fldChar w:fldCharType="end"/>
        </w:r>
      </w:hyperlink>
    </w:p>
    <w:p w:rsidR="00C24320" w:rsidRDefault="008240EC">
      <w:pPr>
        <w:pStyle w:val="TableofFigures"/>
        <w:tabs>
          <w:tab w:val="right" w:pos="8488"/>
        </w:tabs>
        <w:rPr>
          <w:rFonts w:asciiTheme="minorHAnsi" w:eastAsiaTheme="minorEastAsia" w:hAnsiTheme="minorHAnsi" w:cstheme="minorBidi"/>
          <w:noProof/>
          <w:sz w:val="22"/>
        </w:rPr>
      </w:pPr>
      <w:hyperlink w:anchor="_Toc467676211" w:history="1">
        <w:r w:rsidR="00C24320" w:rsidRPr="00B75156">
          <w:rPr>
            <w:rStyle w:val="Hyperlink"/>
            <w:noProof/>
          </w:rPr>
          <w:t>Plan 2 – Future Urban Structure</w:t>
        </w:r>
        <w:r w:rsidR="00C24320">
          <w:rPr>
            <w:noProof/>
            <w:webHidden/>
          </w:rPr>
          <w:tab/>
        </w:r>
        <w:r w:rsidR="00C24320">
          <w:rPr>
            <w:noProof/>
            <w:webHidden/>
          </w:rPr>
          <w:fldChar w:fldCharType="begin"/>
        </w:r>
        <w:r w:rsidR="00C24320">
          <w:rPr>
            <w:noProof/>
            <w:webHidden/>
          </w:rPr>
          <w:instrText xml:space="preserve"> PAGEREF _Toc467676211 \h </w:instrText>
        </w:r>
        <w:r w:rsidR="00C24320">
          <w:rPr>
            <w:noProof/>
            <w:webHidden/>
          </w:rPr>
        </w:r>
        <w:r w:rsidR="00C24320">
          <w:rPr>
            <w:noProof/>
            <w:webHidden/>
          </w:rPr>
          <w:fldChar w:fldCharType="separate"/>
        </w:r>
        <w:r w:rsidR="00C24320">
          <w:rPr>
            <w:noProof/>
            <w:webHidden/>
          </w:rPr>
          <w:t>7</w:t>
        </w:r>
        <w:r w:rsidR="00C24320">
          <w:rPr>
            <w:noProof/>
            <w:webHidden/>
          </w:rPr>
          <w:fldChar w:fldCharType="end"/>
        </w:r>
      </w:hyperlink>
    </w:p>
    <w:p w:rsidR="00C24320" w:rsidRDefault="008240EC">
      <w:pPr>
        <w:pStyle w:val="TableofFigures"/>
        <w:tabs>
          <w:tab w:val="right" w:pos="8488"/>
        </w:tabs>
        <w:rPr>
          <w:rFonts w:asciiTheme="minorHAnsi" w:eastAsiaTheme="minorEastAsia" w:hAnsiTheme="minorHAnsi" w:cstheme="minorBidi"/>
          <w:noProof/>
          <w:sz w:val="22"/>
        </w:rPr>
      </w:pPr>
      <w:hyperlink w:anchor="_Toc467676212" w:history="1">
        <w:r w:rsidR="00C24320" w:rsidRPr="00B75156">
          <w:rPr>
            <w:rStyle w:val="Hyperlink"/>
            <w:noProof/>
          </w:rPr>
          <w:t>Plan 3 – DCP &amp; Main Catchment Areas</w:t>
        </w:r>
        <w:r w:rsidR="00C24320">
          <w:rPr>
            <w:noProof/>
            <w:webHidden/>
          </w:rPr>
          <w:tab/>
        </w:r>
        <w:r w:rsidR="00C24320">
          <w:rPr>
            <w:noProof/>
            <w:webHidden/>
          </w:rPr>
          <w:fldChar w:fldCharType="begin"/>
        </w:r>
        <w:r w:rsidR="00C24320">
          <w:rPr>
            <w:noProof/>
            <w:webHidden/>
          </w:rPr>
          <w:instrText xml:space="preserve"> PAGEREF _Toc467676212 \h </w:instrText>
        </w:r>
        <w:r w:rsidR="00C24320">
          <w:rPr>
            <w:noProof/>
            <w:webHidden/>
          </w:rPr>
        </w:r>
        <w:r w:rsidR="00C24320">
          <w:rPr>
            <w:noProof/>
            <w:webHidden/>
          </w:rPr>
          <w:fldChar w:fldCharType="separate"/>
        </w:r>
        <w:r w:rsidR="00C24320">
          <w:rPr>
            <w:noProof/>
            <w:webHidden/>
          </w:rPr>
          <w:t>8</w:t>
        </w:r>
        <w:r w:rsidR="00C24320">
          <w:rPr>
            <w:noProof/>
            <w:webHidden/>
          </w:rPr>
          <w:fldChar w:fldCharType="end"/>
        </w:r>
      </w:hyperlink>
    </w:p>
    <w:p w:rsidR="00C24320" w:rsidRDefault="008240EC">
      <w:pPr>
        <w:pStyle w:val="TableofFigures"/>
        <w:tabs>
          <w:tab w:val="right" w:pos="8488"/>
        </w:tabs>
        <w:rPr>
          <w:rFonts w:asciiTheme="minorHAnsi" w:eastAsiaTheme="minorEastAsia" w:hAnsiTheme="minorHAnsi" w:cstheme="minorBidi"/>
          <w:noProof/>
          <w:sz w:val="22"/>
        </w:rPr>
      </w:pPr>
      <w:hyperlink w:anchor="_Toc467676213" w:history="1">
        <w:r w:rsidR="00C24320" w:rsidRPr="00B75156">
          <w:rPr>
            <w:rStyle w:val="Hyperlink"/>
            <w:noProof/>
          </w:rPr>
          <w:t>Plan 4 – Transport Projects</w:t>
        </w:r>
        <w:r w:rsidR="00C24320">
          <w:rPr>
            <w:noProof/>
            <w:webHidden/>
          </w:rPr>
          <w:tab/>
        </w:r>
        <w:r w:rsidR="00C24320">
          <w:rPr>
            <w:noProof/>
            <w:webHidden/>
          </w:rPr>
          <w:fldChar w:fldCharType="begin"/>
        </w:r>
        <w:r w:rsidR="00C24320">
          <w:rPr>
            <w:noProof/>
            <w:webHidden/>
          </w:rPr>
          <w:instrText xml:space="preserve"> PAGEREF _Toc467676213 \h </w:instrText>
        </w:r>
        <w:r w:rsidR="00C24320">
          <w:rPr>
            <w:noProof/>
            <w:webHidden/>
          </w:rPr>
        </w:r>
        <w:r w:rsidR="00C24320">
          <w:rPr>
            <w:noProof/>
            <w:webHidden/>
          </w:rPr>
          <w:fldChar w:fldCharType="separate"/>
        </w:r>
        <w:r w:rsidR="00C24320">
          <w:rPr>
            <w:noProof/>
            <w:webHidden/>
          </w:rPr>
          <w:t>9</w:t>
        </w:r>
        <w:r w:rsidR="00C24320">
          <w:rPr>
            <w:noProof/>
            <w:webHidden/>
          </w:rPr>
          <w:fldChar w:fldCharType="end"/>
        </w:r>
      </w:hyperlink>
    </w:p>
    <w:p w:rsidR="00C24320" w:rsidRDefault="008240EC">
      <w:pPr>
        <w:pStyle w:val="TableofFigures"/>
        <w:tabs>
          <w:tab w:val="right" w:pos="8488"/>
        </w:tabs>
        <w:rPr>
          <w:rFonts w:asciiTheme="minorHAnsi" w:eastAsiaTheme="minorEastAsia" w:hAnsiTheme="minorHAnsi" w:cstheme="minorBidi"/>
          <w:noProof/>
          <w:sz w:val="22"/>
        </w:rPr>
      </w:pPr>
      <w:hyperlink w:anchor="_Toc467676214" w:history="1">
        <w:r w:rsidR="00C24320" w:rsidRPr="00B75156">
          <w:rPr>
            <w:rStyle w:val="Hyperlink"/>
            <w:noProof/>
          </w:rPr>
          <w:t>Plan 5 – Community &amp; Recreation Projects</w:t>
        </w:r>
        <w:r w:rsidR="00C24320">
          <w:rPr>
            <w:noProof/>
            <w:webHidden/>
          </w:rPr>
          <w:tab/>
        </w:r>
        <w:r w:rsidR="00C24320">
          <w:rPr>
            <w:noProof/>
            <w:webHidden/>
          </w:rPr>
          <w:fldChar w:fldCharType="begin"/>
        </w:r>
        <w:r w:rsidR="00C24320">
          <w:rPr>
            <w:noProof/>
            <w:webHidden/>
          </w:rPr>
          <w:instrText xml:space="preserve"> PAGEREF _Toc467676214 \h </w:instrText>
        </w:r>
        <w:r w:rsidR="00C24320">
          <w:rPr>
            <w:noProof/>
            <w:webHidden/>
          </w:rPr>
        </w:r>
        <w:r w:rsidR="00C24320">
          <w:rPr>
            <w:noProof/>
            <w:webHidden/>
          </w:rPr>
          <w:fldChar w:fldCharType="separate"/>
        </w:r>
        <w:r w:rsidR="00C24320">
          <w:rPr>
            <w:noProof/>
            <w:webHidden/>
          </w:rPr>
          <w:t>18</w:t>
        </w:r>
        <w:r w:rsidR="00C24320">
          <w:rPr>
            <w:noProof/>
            <w:webHidden/>
          </w:rPr>
          <w:fldChar w:fldCharType="end"/>
        </w:r>
      </w:hyperlink>
    </w:p>
    <w:p w:rsidR="00C24320" w:rsidRDefault="008240EC">
      <w:pPr>
        <w:pStyle w:val="TableofFigures"/>
        <w:tabs>
          <w:tab w:val="right" w:pos="8488"/>
        </w:tabs>
        <w:rPr>
          <w:rFonts w:asciiTheme="minorHAnsi" w:eastAsiaTheme="minorEastAsia" w:hAnsiTheme="minorHAnsi" w:cstheme="minorBidi"/>
          <w:noProof/>
          <w:sz w:val="22"/>
        </w:rPr>
      </w:pPr>
      <w:hyperlink w:anchor="_Toc467676215" w:history="1">
        <w:r w:rsidR="00C24320" w:rsidRPr="00B75156">
          <w:rPr>
            <w:rStyle w:val="Hyperlink"/>
            <w:noProof/>
          </w:rPr>
          <w:t>Plan 6 – Land Use Budget</w:t>
        </w:r>
        <w:r w:rsidR="00C24320">
          <w:rPr>
            <w:noProof/>
            <w:webHidden/>
          </w:rPr>
          <w:tab/>
        </w:r>
        <w:r w:rsidR="00C24320">
          <w:rPr>
            <w:noProof/>
            <w:webHidden/>
          </w:rPr>
          <w:fldChar w:fldCharType="begin"/>
        </w:r>
        <w:r w:rsidR="00C24320">
          <w:rPr>
            <w:noProof/>
            <w:webHidden/>
          </w:rPr>
          <w:instrText xml:space="preserve"> PAGEREF _Toc467676215 \h </w:instrText>
        </w:r>
        <w:r w:rsidR="00C24320">
          <w:rPr>
            <w:noProof/>
            <w:webHidden/>
          </w:rPr>
        </w:r>
        <w:r w:rsidR="00C24320">
          <w:rPr>
            <w:noProof/>
            <w:webHidden/>
          </w:rPr>
          <w:fldChar w:fldCharType="separate"/>
        </w:r>
        <w:r w:rsidR="00C24320">
          <w:rPr>
            <w:noProof/>
            <w:webHidden/>
          </w:rPr>
          <w:t>22</w:t>
        </w:r>
        <w:r w:rsidR="00C24320">
          <w:rPr>
            <w:noProof/>
            <w:webHidden/>
          </w:rPr>
          <w:fldChar w:fldCharType="end"/>
        </w:r>
      </w:hyperlink>
    </w:p>
    <w:p w:rsidR="00AD4DBA" w:rsidRDefault="00AD4DBA" w:rsidP="00AD4DBA">
      <w:pPr>
        <w:pStyle w:val="HeadingContents"/>
      </w:pPr>
      <w:r>
        <w:rPr>
          <w:rFonts w:ascii="Arial" w:hAnsi="Arial"/>
          <w:sz w:val="18"/>
          <w:szCs w:val="22"/>
        </w:rPr>
        <w:fldChar w:fldCharType="end"/>
      </w:r>
      <w:r>
        <w:t>Tables</w:t>
      </w:r>
    </w:p>
    <w:p w:rsidR="00C24320" w:rsidRDefault="00AD4DBA">
      <w:pPr>
        <w:pStyle w:val="TableofFigures"/>
        <w:tabs>
          <w:tab w:val="right" w:pos="8488"/>
        </w:tabs>
        <w:rPr>
          <w:rFonts w:asciiTheme="minorHAnsi" w:eastAsiaTheme="minorEastAsia" w:hAnsiTheme="minorHAnsi" w:cstheme="minorBidi"/>
          <w:noProof/>
          <w:sz w:val="22"/>
        </w:rPr>
      </w:pPr>
      <w:r>
        <w:rPr>
          <w:rFonts w:ascii="Calibri" w:hAnsi="Calibri"/>
          <w:caps/>
          <w:sz w:val="22"/>
          <w:lang w:val="en-US"/>
        </w:rPr>
        <w:fldChar w:fldCharType="begin"/>
      </w:r>
      <w:r>
        <w:rPr>
          <w:rFonts w:ascii="Calibri" w:hAnsi="Calibri"/>
          <w:caps/>
          <w:sz w:val="22"/>
          <w:lang w:val="en-US"/>
        </w:rPr>
        <w:instrText xml:space="preserve"> TOC \h \z \c "Table" </w:instrText>
      </w:r>
      <w:r>
        <w:rPr>
          <w:rFonts w:ascii="Calibri" w:hAnsi="Calibri"/>
          <w:caps/>
          <w:sz w:val="22"/>
          <w:lang w:val="en-US"/>
        </w:rPr>
        <w:fldChar w:fldCharType="separate"/>
      </w:r>
      <w:hyperlink w:anchor="_Toc467676216" w:history="1">
        <w:r w:rsidR="00C24320" w:rsidRPr="009E7054">
          <w:rPr>
            <w:rStyle w:val="Hyperlink"/>
            <w:noProof/>
          </w:rPr>
          <w:t>Table 1 – Summary of charges</w:t>
        </w:r>
        <w:r w:rsidR="00C24320">
          <w:rPr>
            <w:noProof/>
            <w:webHidden/>
          </w:rPr>
          <w:tab/>
        </w:r>
        <w:r w:rsidR="00C24320">
          <w:rPr>
            <w:noProof/>
            <w:webHidden/>
          </w:rPr>
          <w:fldChar w:fldCharType="begin"/>
        </w:r>
        <w:r w:rsidR="00C24320">
          <w:rPr>
            <w:noProof/>
            <w:webHidden/>
          </w:rPr>
          <w:instrText xml:space="preserve"> PAGEREF _Toc467676216 \h </w:instrText>
        </w:r>
        <w:r w:rsidR="00C24320">
          <w:rPr>
            <w:noProof/>
            <w:webHidden/>
          </w:rPr>
        </w:r>
        <w:r w:rsidR="00C24320">
          <w:rPr>
            <w:noProof/>
            <w:webHidden/>
          </w:rPr>
          <w:fldChar w:fldCharType="separate"/>
        </w:r>
        <w:r w:rsidR="00C24320">
          <w:rPr>
            <w:noProof/>
            <w:webHidden/>
          </w:rPr>
          <w:t>5</w:t>
        </w:r>
        <w:r w:rsidR="00C24320">
          <w:rPr>
            <w:noProof/>
            <w:webHidden/>
          </w:rPr>
          <w:fldChar w:fldCharType="end"/>
        </w:r>
      </w:hyperlink>
    </w:p>
    <w:p w:rsidR="00C24320" w:rsidRDefault="008240EC">
      <w:pPr>
        <w:pStyle w:val="TableofFigures"/>
        <w:tabs>
          <w:tab w:val="right" w:pos="8488"/>
        </w:tabs>
        <w:rPr>
          <w:rFonts w:asciiTheme="minorHAnsi" w:eastAsiaTheme="minorEastAsia" w:hAnsiTheme="minorHAnsi" w:cstheme="minorBidi"/>
          <w:noProof/>
          <w:sz w:val="22"/>
        </w:rPr>
      </w:pPr>
      <w:hyperlink w:anchor="_Toc467676217" w:history="1">
        <w:r w:rsidR="00C24320" w:rsidRPr="009E7054">
          <w:rPr>
            <w:rStyle w:val="Hyperlink"/>
            <w:noProof/>
          </w:rPr>
          <w:t>Table 2 – Road projects</w:t>
        </w:r>
        <w:r w:rsidR="00C24320">
          <w:rPr>
            <w:noProof/>
            <w:webHidden/>
          </w:rPr>
          <w:tab/>
        </w:r>
        <w:r w:rsidR="00C24320">
          <w:rPr>
            <w:noProof/>
            <w:webHidden/>
          </w:rPr>
          <w:fldChar w:fldCharType="begin"/>
        </w:r>
        <w:r w:rsidR="00C24320">
          <w:rPr>
            <w:noProof/>
            <w:webHidden/>
          </w:rPr>
          <w:instrText xml:space="preserve"> PAGEREF _Toc467676217 \h </w:instrText>
        </w:r>
        <w:r w:rsidR="00C24320">
          <w:rPr>
            <w:noProof/>
            <w:webHidden/>
          </w:rPr>
        </w:r>
        <w:r w:rsidR="00C24320">
          <w:rPr>
            <w:noProof/>
            <w:webHidden/>
          </w:rPr>
          <w:fldChar w:fldCharType="separate"/>
        </w:r>
        <w:r w:rsidR="00C24320">
          <w:rPr>
            <w:noProof/>
            <w:webHidden/>
          </w:rPr>
          <w:t>9</w:t>
        </w:r>
        <w:r w:rsidR="00C24320">
          <w:rPr>
            <w:noProof/>
            <w:webHidden/>
          </w:rPr>
          <w:fldChar w:fldCharType="end"/>
        </w:r>
      </w:hyperlink>
    </w:p>
    <w:p w:rsidR="00C24320" w:rsidRDefault="008240EC">
      <w:pPr>
        <w:pStyle w:val="TableofFigures"/>
        <w:tabs>
          <w:tab w:val="right" w:pos="8488"/>
        </w:tabs>
        <w:rPr>
          <w:rFonts w:asciiTheme="minorHAnsi" w:eastAsiaTheme="minorEastAsia" w:hAnsiTheme="minorHAnsi" w:cstheme="minorBidi"/>
          <w:noProof/>
          <w:sz w:val="22"/>
        </w:rPr>
      </w:pPr>
      <w:hyperlink w:anchor="_Toc467676218" w:history="1">
        <w:r w:rsidR="00C24320" w:rsidRPr="009E7054">
          <w:rPr>
            <w:rStyle w:val="Hyperlink"/>
            <w:noProof/>
          </w:rPr>
          <w:t>Table 3 – Intersection projects</w:t>
        </w:r>
        <w:r w:rsidR="00C24320">
          <w:rPr>
            <w:noProof/>
            <w:webHidden/>
          </w:rPr>
          <w:tab/>
        </w:r>
        <w:r w:rsidR="00C24320">
          <w:rPr>
            <w:noProof/>
            <w:webHidden/>
          </w:rPr>
          <w:fldChar w:fldCharType="begin"/>
        </w:r>
        <w:r w:rsidR="00C24320">
          <w:rPr>
            <w:noProof/>
            <w:webHidden/>
          </w:rPr>
          <w:instrText xml:space="preserve"> PAGEREF _Toc467676218 \h </w:instrText>
        </w:r>
        <w:r w:rsidR="00C24320">
          <w:rPr>
            <w:noProof/>
            <w:webHidden/>
          </w:rPr>
        </w:r>
        <w:r w:rsidR="00C24320">
          <w:rPr>
            <w:noProof/>
            <w:webHidden/>
          </w:rPr>
          <w:fldChar w:fldCharType="separate"/>
        </w:r>
        <w:r w:rsidR="00C24320">
          <w:rPr>
            <w:noProof/>
            <w:webHidden/>
          </w:rPr>
          <w:t>12</w:t>
        </w:r>
        <w:r w:rsidR="00C24320">
          <w:rPr>
            <w:noProof/>
            <w:webHidden/>
          </w:rPr>
          <w:fldChar w:fldCharType="end"/>
        </w:r>
      </w:hyperlink>
    </w:p>
    <w:p w:rsidR="00C24320" w:rsidRDefault="008240EC">
      <w:pPr>
        <w:pStyle w:val="TableofFigures"/>
        <w:tabs>
          <w:tab w:val="right" w:pos="8488"/>
        </w:tabs>
        <w:rPr>
          <w:rFonts w:asciiTheme="minorHAnsi" w:eastAsiaTheme="minorEastAsia" w:hAnsiTheme="minorHAnsi" w:cstheme="minorBidi"/>
          <w:noProof/>
          <w:sz w:val="22"/>
        </w:rPr>
      </w:pPr>
      <w:hyperlink w:anchor="_Toc467676219" w:history="1">
        <w:r w:rsidR="00C24320" w:rsidRPr="009E7054">
          <w:rPr>
            <w:rStyle w:val="Hyperlink"/>
            <w:noProof/>
          </w:rPr>
          <w:t>Table 4 – Bridge projects</w:t>
        </w:r>
        <w:r w:rsidR="00C24320">
          <w:rPr>
            <w:noProof/>
            <w:webHidden/>
          </w:rPr>
          <w:tab/>
        </w:r>
        <w:r w:rsidR="00C24320">
          <w:rPr>
            <w:noProof/>
            <w:webHidden/>
          </w:rPr>
          <w:fldChar w:fldCharType="begin"/>
        </w:r>
        <w:r w:rsidR="00C24320">
          <w:rPr>
            <w:noProof/>
            <w:webHidden/>
          </w:rPr>
          <w:instrText xml:space="preserve"> PAGEREF _Toc467676219 \h </w:instrText>
        </w:r>
        <w:r w:rsidR="00C24320">
          <w:rPr>
            <w:noProof/>
            <w:webHidden/>
          </w:rPr>
        </w:r>
        <w:r w:rsidR="00C24320">
          <w:rPr>
            <w:noProof/>
            <w:webHidden/>
          </w:rPr>
          <w:fldChar w:fldCharType="separate"/>
        </w:r>
        <w:r w:rsidR="00C24320">
          <w:rPr>
            <w:noProof/>
            <w:webHidden/>
          </w:rPr>
          <w:t>16</w:t>
        </w:r>
        <w:r w:rsidR="00C24320">
          <w:rPr>
            <w:noProof/>
            <w:webHidden/>
          </w:rPr>
          <w:fldChar w:fldCharType="end"/>
        </w:r>
      </w:hyperlink>
    </w:p>
    <w:p w:rsidR="00C24320" w:rsidRDefault="008240EC">
      <w:pPr>
        <w:pStyle w:val="TableofFigures"/>
        <w:tabs>
          <w:tab w:val="right" w:pos="8488"/>
        </w:tabs>
        <w:rPr>
          <w:rFonts w:asciiTheme="minorHAnsi" w:eastAsiaTheme="minorEastAsia" w:hAnsiTheme="minorHAnsi" w:cstheme="minorBidi"/>
          <w:noProof/>
          <w:sz w:val="22"/>
        </w:rPr>
      </w:pPr>
      <w:hyperlink w:anchor="_Toc467676220" w:history="1">
        <w:r w:rsidR="00C24320" w:rsidRPr="009E7054">
          <w:rPr>
            <w:rStyle w:val="Hyperlink"/>
            <w:noProof/>
          </w:rPr>
          <w:t>Table 5 – Community facilities projects</w:t>
        </w:r>
        <w:r w:rsidR="00C24320">
          <w:rPr>
            <w:noProof/>
            <w:webHidden/>
          </w:rPr>
          <w:tab/>
        </w:r>
        <w:r w:rsidR="00C24320">
          <w:rPr>
            <w:noProof/>
            <w:webHidden/>
          </w:rPr>
          <w:fldChar w:fldCharType="begin"/>
        </w:r>
        <w:r w:rsidR="00C24320">
          <w:rPr>
            <w:noProof/>
            <w:webHidden/>
          </w:rPr>
          <w:instrText xml:space="preserve"> PAGEREF _Toc467676220 \h </w:instrText>
        </w:r>
        <w:r w:rsidR="00C24320">
          <w:rPr>
            <w:noProof/>
            <w:webHidden/>
          </w:rPr>
        </w:r>
        <w:r w:rsidR="00C24320">
          <w:rPr>
            <w:noProof/>
            <w:webHidden/>
          </w:rPr>
          <w:fldChar w:fldCharType="separate"/>
        </w:r>
        <w:r w:rsidR="00C24320">
          <w:rPr>
            <w:noProof/>
            <w:webHidden/>
          </w:rPr>
          <w:t>18</w:t>
        </w:r>
        <w:r w:rsidR="00C24320">
          <w:rPr>
            <w:noProof/>
            <w:webHidden/>
          </w:rPr>
          <w:fldChar w:fldCharType="end"/>
        </w:r>
      </w:hyperlink>
    </w:p>
    <w:p w:rsidR="00C24320" w:rsidRDefault="008240EC">
      <w:pPr>
        <w:pStyle w:val="TableofFigures"/>
        <w:tabs>
          <w:tab w:val="right" w:pos="8488"/>
        </w:tabs>
        <w:rPr>
          <w:rFonts w:asciiTheme="minorHAnsi" w:eastAsiaTheme="minorEastAsia" w:hAnsiTheme="minorHAnsi" w:cstheme="minorBidi"/>
          <w:noProof/>
          <w:sz w:val="22"/>
        </w:rPr>
      </w:pPr>
      <w:hyperlink w:anchor="_Toc467676221" w:history="1">
        <w:r w:rsidR="00C24320" w:rsidRPr="009E7054">
          <w:rPr>
            <w:rStyle w:val="Hyperlink"/>
            <w:noProof/>
          </w:rPr>
          <w:t>Table 6 – Active recreation projects</w:t>
        </w:r>
        <w:r w:rsidR="00C24320">
          <w:rPr>
            <w:noProof/>
            <w:webHidden/>
          </w:rPr>
          <w:tab/>
        </w:r>
        <w:r w:rsidR="00C24320">
          <w:rPr>
            <w:noProof/>
            <w:webHidden/>
          </w:rPr>
          <w:fldChar w:fldCharType="begin"/>
        </w:r>
        <w:r w:rsidR="00C24320">
          <w:rPr>
            <w:noProof/>
            <w:webHidden/>
          </w:rPr>
          <w:instrText xml:space="preserve"> PAGEREF _Toc467676221 \h </w:instrText>
        </w:r>
        <w:r w:rsidR="00C24320">
          <w:rPr>
            <w:noProof/>
            <w:webHidden/>
          </w:rPr>
        </w:r>
        <w:r w:rsidR="00C24320">
          <w:rPr>
            <w:noProof/>
            <w:webHidden/>
          </w:rPr>
          <w:fldChar w:fldCharType="separate"/>
        </w:r>
        <w:r w:rsidR="00C24320">
          <w:rPr>
            <w:noProof/>
            <w:webHidden/>
          </w:rPr>
          <w:t>19</w:t>
        </w:r>
        <w:r w:rsidR="00C24320">
          <w:rPr>
            <w:noProof/>
            <w:webHidden/>
          </w:rPr>
          <w:fldChar w:fldCharType="end"/>
        </w:r>
      </w:hyperlink>
    </w:p>
    <w:p w:rsidR="00C24320" w:rsidRDefault="008240EC">
      <w:pPr>
        <w:pStyle w:val="TableofFigures"/>
        <w:tabs>
          <w:tab w:val="right" w:pos="8488"/>
        </w:tabs>
        <w:rPr>
          <w:rFonts w:asciiTheme="minorHAnsi" w:eastAsiaTheme="minorEastAsia" w:hAnsiTheme="minorHAnsi" w:cstheme="minorBidi"/>
          <w:noProof/>
          <w:sz w:val="22"/>
        </w:rPr>
      </w:pPr>
      <w:hyperlink w:anchor="_Toc467676222" w:history="1">
        <w:r w:rsidR="00C24320" w:rsidRPr="009E7054">
          <w:rPr>
            <w:rStyle w:val="Hyperlink"/>
            <w:noProof/>
          </w:rPr>
          <w:t>Table 7 – Community infrastructure levy (CIL) projects</w:t>
        </w:r>
        <w:r w:rsidR="00C24320">
          <w:rPr>
            <w:noProof/>
            <w:webHidden/>
          </w:rPr>
          <w:tab/>
        </w:r>
        <w:r w:rsidR="00C24320">
          <w:rPr>
            <w:noProof/>
            <w:webHidden/>
          </w:rPr>
          <w:fldChar w:fldCharType="begin"/>
        </w:r>
        <w:r w:rsidR="00C24320">
          <w:rPr>
            <w:noProof/>
            <w:webHidden/>
          </w:rPr>
          <w:instrText xml:space="preserve"> PAGEREF _Toc467676222 \h </w:instrText>
        </w:r>
        <w:r w:rsidR="00C24320">
          <w:rPr>
            <w:noProof/>
            <w:webHidden/>
          </w:rPr>
        </w:r>
        <w:r w:rsidR="00C24320">
          <w:rPr>
            <w:noProof/>
            <w:webHidden/>
          </w:rPr>
          <w:fldChar w:fldCharType="separate"/>
        </w:r>
        <w:r w:rsidR="00C24320">
          <w:rPr>
            <w:noProof/>
            <w:webHidden/>
          </w:rPr>
          <w:t>21</w:t>
        </w:r>
        <w:r w:rsidR="00C24320">
          <w:rPr>
            <w:noProof/>
            <w:webHidden/>
          </w:rPr>
          <w:fldChar w:fldCharType="end"/>
        </w:r>
      </w:hyperlink>
    </w:p>
    <w:p w:rsidR="00C24320" w:rsidRDefault="008240EC">
      <w:pPr>
        <w:pStyle w:val="TableofFigures"/>
        <w:tabs>
          <w:tab w:val="right" w:pos="8488"/>
        </w:tabs>
        <w:rPr>
          <w:rFonts w:asciiTheme="minorHAnsi" w:eastAsiaTheme="minorEastAsia" w:hAnsiTheme="minorHAnsi" w:cstheme="minorBidi"/>
          <w:noProof/>
          <w:sz w:val="22"/>
        </w:rPr>
      </w:pPr>
      <w:hyperlink w:anchor="_Toc467676223" w:history="1">
        <w:r w:rsidR="00C24320" w:rsidRPr="009E7054">
          <w:rPr>
            <w:rStyle w:val="Hyperlink"/>
            <w:noProof/>
          </w:rPr>
          <w:t>Table 8 – Summary land use budget</w:t>
        </w:r>
        <w:r w:rsidR="00C24320">
          <w:rPr>
            <w:noProof/>
            <w:webHidden/>
          </w:rPr>
          <w:tab/>
        </w:r>
        <w:r w:rsidR="00C24320">
          <w:rPr>
            <w:noProof/>
            <w:webHidden/>
          </w:rPr>
          <w:fldChar w:fldCharType="begin"/>
        </w:r>
        <w:r w:rsidR="00C24320">
          <w:rPr>
            <w:noProof/>
            <w:webHidden/>
          </w:rPr>
          <w:instrText xml:space="preserve"> PAGEREF _Toc467676223 \h </w:instrText>
        </w:r>
        <w:r w:rsidR="00C24320">
          <w:rPr>
            <w:noProof/>
            <w:webHidden/>
          </w:rPr>
        </w:r>
        <w:r w:rsidR="00C24320">
          <w:rPr>
            <w:noProof/>
            <w:webHidden/>
          </w:rPr>
          <w:fldChar w:fldCharType="separate"/>
        </w:r>
        <w:r w:rsidR="00C24320">
          <w:rPr>
            <w:noProof/>
            <w:webHidden/>
          </w:rPr>
          <w:t>22</w:t>
        </w:r>
        <w:r w:rsidR="00C24320">
          <w:rPr>
            <w:noProof/>
            <w:webHidden/>
          </w:rPr>
          <w:fldChar w:fldCharType="end"/>
        </w:r>
      </w:hyperlink>
    </w:p>
    <w:p w:rsidR="00C24320" w:rsidRDefault="008240EC">
      <w:pPr>
        <w:pStyle w:val="TableofFigures"/>
        <w:tabs>
          <w:tab w:val="right" w:pos="8488"/>
        </w:tabs>
        <w:rPr>
          <w:rFonts w:asciiTheme="minorHAnsi" w:eastAsiaTheme="minorEastAsia" w:hAnsiTheme="minorHAnsi" w:cstheme="minorBidi"/>
          <w:noProof/>
          <w:sz w:val="22"/>
        </w:rPr>
      </w:pPr>
      <w:hyperlink w:anchor="_Toc467676224" w:history="1">
        <w:r w:rsidR="00C24320" w:rsidRPr="009E7054">
          <w:rPr>
            <w:rStyle w:val="Hyperlink"/>
            <w:noProof/>
          </w:rPr>
          <w:t>Table 9 – Main catchment area</w:t>
        </w:r>
        <w:r w:rsidR="00C24320">
          <w:rPr>
            <w:noProof/>
            <w:webHidden/>
          </w:rPr>
          <w:tab/>
        </w:r>
        <w:r w:rsidR="00C24320">
          <w:rPr>
            <w:noProof/>
            <w:webHidden/>
          </w:rPr>
          <w:fldChar w:fldCharType="begin"/>
        </w:r>
        <w:r w:rsidR="00C24320">
          <w:rPr>
            <w:noProof/>
            <w:webHidden/>
          </w:rPr>
          <w:instrText xml:space="preserve"> PAGEREF _Toc467676224 \h </w:instrText>
        </w:r>
        <w:r w:rsidR="00C24320">
          <w:rPr>
            <w:noProof/>
            <w:webHidden/>
          </w:rPr>
        </w:r>
        <w:r w:rsidR="00C24320">
          <w:rPr>
            <w:noProof/>
            <w:webHidden/>
          </w:rPr>
          <w:fldChar w:fldCharType="separate"/>
        </w:r>
        <w:r w:rsidR="00C24320">
          <w:rPr>
            <w:noProof/>
            <w:webHidden/>
          </w:rPr>
          <w:t>26</w:t>
        </w:r>
        <w:r w:rsidR="00C24320">
          <w:rPr>
            <w:noProof/>
            <w:webHidden/>
          </w:rPr>
          <w:fldChar w:fldCharType="end"/>
        </w:r>
      </w:hyperlink>
    </w:p>
    <w:p w:rsidR="00C24320" w:rsidRDefault="008240EC">
      <w:pPr>
        <w:pStyle w:val="TableofFigures"/>
        <w:tabs>
          <w:tab w:val="right" w:pos="8488"/>
        </w:tabs>
        <w:rPr>
          <w:rFonts w:asciiTheme="minorHAnsi" w:eastAsiaTheme="minorEastAsia" w:hAnsiTheme="minorHAnsi" w:cstheme="minorBidi"/>
          <w:noProof/>
          <w:sz w:val="22"/>
        </w:rPr>
      </w:pPr>
      <w:hyperlink w:anchor="_Toc467676225" w:history="1">
        <w:r w:rsidR="00C24320" w:rsidRPr="009E7054">
          <w:rPr>
            <w:rStyle w:val="Hyperlink"/>
            <w:noProof/>
          </w:rPr>
          <w:t>Table 10 – Infrastructure project timing &amp; calculation of costs – Development infrastructure levy (DIL)</w:t>
        </w:r>
        <w:r w:rsidR="00C24320">
          <w:rPr>
            <w:noProof/>
            <w:webHidden/>
          </w:rPr>
          <w:tab/>
        </w:r>
        <w:r w:rsidR="00C24320">
          <w:rPr>
            <w:noProof/>
            <w:webHidden/>
          </w:rPr>
          <w:fldChar w:fldCharType="begin"/>
        </w:r>
        <w:r w:rsidR="00C24320">
          <w:rPr>
            <w:noProof/>
            <w:webHidden/>
          </w:rPr>
          <w:instrText xml:space="preserve"> PAGEREF _Toc467676225 \h </w:instrText>
        </w:r>
        <w:r w:rsidR="00C24320">
          <w:rPr>
            <w:noProof/>
            <w:webHidden/>
          </w:rPr>
        </w:r>
        <w:r w:rsidR="00C24320">
          <w:rPr>
            <w:noProof/>
            <w:webHidden/>
          </w:rPr>
          <w:fldChar w:fldCharType="separate"/>
        </w:r>
        <w:r w:rsidR="00C24320">
          <w:rPr>
            <w:noProof/>
            <w:webHidden/>
          </w:rPr>
          <w:t>26</w:t>
        </w:r>
        <w:r w:rsidR="00C24320">
          <w:rPr>
            <w:noProof/>
            <w:webHidden/>
          </w:rPr>
          <w:fldChar w:fldCharType="end"/>
        </w:r>
      </w:hyperlink>
    </w:p>
    <w:p w:rsidR="00C24320" w:rsidRDefault="008240EC">
      <w:pPr>
        <w:pStyle w:val="TableofFigures"/>
        <w:tabs>
          <w:tab w:val="right" w:pos="8488"/>
        </w:tabs>
        <w:rPr>
          <w:rFonts w:asciiTheme="minorHAnsi" w:eastAsiaTheme="minorEastAsia" w:hAnsiTheme="minorHAnsi" w:cstheme="minorBidi"/>
          <w:noProof/>
          <w:sz w:val="22"/>
        </w:rPr>
      </w:pPr>
      <w:hyperlink w:anchor="_Toc467676226" w:history="1">
        <w:r w:rsidR="00C24320" w:rsidRPr="009E7054">
          <w:rPr>
            <w:rStyle w:val="Hyperlink"/>
            <w:noProof/>
          </w:rPr>
          <w:t>Table 11 – Infrastructure project timing &amp; calculation of costs – Community infrastructure levy (CIL)</w:t>
        </w:r>
        <w:r w:rsidR="00C24320">
          <w:rPr>
            <w:noProof/>
            <w:webHidden/>
          </w:rPr>
          <w:tab/>
        </w:r>
        <w:r w:rsidR="00C24320">
          <w:rPr>
            <w:noProof/>
            <w:webHidden/>
          </w:rPr>
          <w:fldChar w:fldCharType="begin"/>
        </w:r>
        <w:r w:rsidR="00C24320">
          <w:rPr>
            <w:noProof/>
            <w:webHidden/>
          </w:rPr>
          <w:instrText xml:space="preserve"> PAGEREF _Toc467676226 \h </w:instrText>
        </w:r>
        <w:r w:rsidR="00C24320">
          <w:rPr>
            <w:noProof/>
            <w:webHidden/>
          </w:rPr>
        </w:r>
        <w:r w:rsidR="00C24320">
          <w:rPr>
            <w:noProof/>
            <w:webHidden/>
          </w:rPr>
          <w:fldChar w:fldCharType="separate"/>
        </w:r>
        <w:r w:rsidR="00C24320">
          <w:rPr>
            <w:noProof/>
            <w:webHidden/>
          </w:rPr>
          <w:t>32</w:t>
        </w:r>
        <w:r w:rsidR="00C24320">
          <w:rPr>
            <w:noProof/>
            <w:webHidden/>
          </w:rPr>
          <w:fldChar w:fldCharType="end"/>
        </w:r>
      </w:hyperlink>
    </w:p>
    <w:p w:rsidR="00C24320" w:rsidRDefault="008240EC">
      <w:pPr>
        <w:pStyle w:val="TableofFigures"/>
        <w:tabs>
          <w:tab w:val="right" w:pos="8488"/>
        </w:tabs>
        <w:rPr>
          <w:rFonts w:asciiTheme="minorHAnsi" w:eastAsiaTheme="minorEastAsia" w:hAnsiTheme="minorHAnsi" w:cstheme="minorBidi"/>
          <w:noProof/>
          <w:sz w:val="22"/>
        </w:rPr>
      </w:pPr>
      <w:hyperlink w:anchor="_Toc467676227" w:history="1">
        <w:r w:rsidR="00C24320" w:rsidRPr="009E7054">
          <w:rPr>
            <w:rStyle w:val="Hyperlink"/>
            <w:noProof/>
          </w:rPr>
          <w:t>Table 12 – External apportionment</w:t>
        </w:r>
        <w:r w:rsidR="00C24320">
          <w:rPr>
            <w:noProof/>
            <w:webHidden/>
          </w:rPr>
          <w:tab/>
        </w:r>
        <w:r w:rsidR="00C24320">
          <w:rPr>
            <w:noProof/>
            <w:webHidden/>
          </w:rPr>
          <w:fldChar w:fldCharType="begin"/>
        </w:r>
        <w:r w:rsidR="00C24320">
          <w:rPr>
            <w:noProof/>
            <w:webHidden/>
          </w:rPr>
          <w:instrText xml:space="preserve"> PAGEREF _Toc467676227 \h </w:instrText>
        </w:r>
        <w:r w:rsidR="00C24320">
          <w:rPr>
            <w:noProof/>
            <w:webHidden/>
          </w:rPr>
        </w:r>
        <w:r w:rsidR="00C24320">
          <w:rPr>
            <w:noProof/>
            <w:webHidden/>
          </w:rPr>
          <w:fldChar w:fldCharType="separate"/>
        </w:r>
        <w:r w:rsidR="00C24320">
          <w:rPr>
            <w:noProof/>
            <w:webHidden/>
          </w:rPr>
          <w:t>33</w:t>
        </w:r>
        <w:r w:rsidR="00C24320">
          <w:rPr>
            <w:noProof/>
            <w:webHidden/>
          </w:rPr>
          <w:fldChar w:fldCharType="end"/>
        </w:r>
      </w:hyperlink>
    </w:p>
    <w:p w:rsidR="00AD4DBA" w:rsidRDefault="00AD4DBA" w:rsidP="008B2B4C">
      <w:pPr>
        <w:pStyle w:val="HeadingContents"/>
        <w:sectPr w:rsidR="00AD4DBA" w:rsidSect="00337B9D">
          <w:headerReference w:type="even" r:id="rId9"/>
          <w:headerReference w:type="default" r:id="rId10"/>
          <w:footerReference w:type="even" r:id="rId11"/>
          <w:footerReference w:type="default" r:id="rId12"/>
          <w:pgSz w:w="11901" w:h="16846" w:code="9"/>
          <w:pgMar w:top="1701" w:right="1418" w:bottom="851" w:left="1985" w:header="284" w:footer="0" w:gutter="0"/>
          <w:cols w:space="720"/>
          <w:docGrid w:linePitch="299"/>
        </w:sectPr>
      </w:pPr>
      <w:r>
        <w:rPr>
          <w:rFonts w:ascii="Calibri" w:hAnsi="Calibri"/>
          <w:sz w:val="22"/>
          <w:szCs w:val="22"/>
          <w:lang w:val="en-US"/>
        </w:rPr>
        <w:fldChar w:fldCharType="end"/>
      </w:r>
      <w:r w:rsidRPr="00D035FF">
        <w:rPr>
          <w:vanish/>
          <w:color w:val="9CA0A3" w:themeColor="accent4"/>
          <w:lang w:val="en-US"/>
        </w:rPr>
        <w:t xml:space="preserve"> </w:t>
      </w:r>
    </w:p>
    <w:p w:rsidR="00AD4DBA" w:rsidRDefault="00AD4DBA" w:rsidP="008B2B4C">
      <w:pPr>
        <w:pStyle w:val="TableNumberingTitles"/>
        <w:ind w:left="0"/>
      </w:pPr>
    </w:p>
    <w:p w:rsidR="00AD4DBA" w:rsidRDefault="008B2B4C" w:rsidP="008B2B4C">
      <w:pPr>
        <w:pStyle w:val="TableNumberingTitles"/>
        <w:ind w:left="0"/>
      </w:pPr>
      <w:r w:rsidRPr="008B2B4C">
        <w:tab/>
      </w:r>
    </w:p>
    <w:p w:rsidR="003404B2" w:rsidRDefault="00AD4DBA" w:rsidP="00AD4DBA">
      <w:pPr>
        <w:pStyle w:val="Caption"/>
        <w:jc w:val="left"/>
      </w:pPr>
      <w:bookmarkStart w:id="0" w:name="_Toc467676216"/>
      <w:r>
        <w:t xml:space="preserve">Table </w:t>
      </w:r>
      <w:fldSimple w:instr=" SEQ Table \* ARABIC ">
        <w:r w:rsidR="007900B2">
          <w:rPr>
            <w:noProof/>
          </w:rPr>
          <w:t>1</w:t>
        </w:r>
      </w:fldSimple>
      <w:r>
        <w:t xml:space="preserve"> – </w:t>
      </w:r>
      <w:r w:rsidR="003404B2">
        <w:t>Summary of charges</w:t>
      </w:r>
      <w:bookmarkEnd w:id="0"/>
    </w:p>
    <w:p w:rsidR="003404B2" w:rsidRDefault="003404B2" w:rsidP="00AD4DBA">
      <w:pPr>
        <w:pStyle w:val="BodyContent"/>
        <w:ind w:left="0"/>
      </w:pPr>
      <w:r>
        <w:t>The following table provides an overview of the project categories and charges included within this development contributions plan. A more detailed explanation of apportionment, methods of calculation and the description and costs of individual projects is included within the document.</w:t>
      </w:r>
    </w:p>
    <w:p w:rsidR="00AD4DBA" w:rsidRDefault="00AD4DBA" w:rsidP="00AD4DBA">
      <w:pPr>
        <w:pStyle w:val="BodyContent"/>
        <w:ind w:left="0"/>
      </w:pPr>
      <w:r w:rsidRPr="00AD4DBA">
        <w:rPr>
          <w:highlight w:val="yellow"/>
        </w:rPr>
        <w:t>(Insert Table)</w:t>
      </w:r>
    </w:p>
    <w:p w:rsidR="00AD4DBA" w:rsidRDefault="00AD4DBA" w:rsidP="00AD4DBA">
      <w:pPr>
        <w:pStyle w:val="BodyContent"/>
        <w:ind w:left="0"/>
      </w:pPr>
    </w:p>
    <w:p w:rsidR="003404B2" w:rsidRDefault="003404B2" w:rsidP="00AD4DBA">
      <w:pPr>
        <w:pStyle w:val="Heading1"/>
        <w:rPr>
          <w:rFonts w:ascii="VIC SemiBold" w:hAnsi="VIC SemiBold" w:cs="VIC SemiBold"/>
          <w:sz w:val="26"/>
          <w:szCs w:val="26"/>
        </w:rPr>
      </w:pPr>
      <w:bookmarkStart w:id="1" w:name="_Toc467676178"/>
      <w:r>
        <w:lastRenderedPageBreak/>
        <w:t>INTRODUCTION</w:t>
      </w:r>
      <w:bookmarkEnd w:id="1"/>
    </w:p>
    <w:p w:rsidR="003404B2" w:rsidRDefault="003404B2" w:rsidP="00AD4DBA">
      <w:pPr>
        <w:pStyle w:val="BodyContent"/>
        <w:ind w:left="0"/>
      </w:pPr>
      <w:r>
        <w:t>Rockbank Development Contributions Plan (the DCP) has been prepared by the Victorian Planning Authority in consultation with Melton City Council, Government agencies, service authorities and major stakeholders.</w:t>
      </w:r>
    </w:p>
    <w:p w:rsidR="003404B2" w:rsidRDefault="003404B2" w:rsidP="00AD4DBA">
      <w:pPr>
        <w:pStyle w:val="BodyContent"/>
        <w:ind w:left="0"/>
      </w:pPr>
      <w:r>
        <w:t>The DCP:</w:t>
      </w:r>
    </w:p>
    <w:p w:rsidR="003404B2" w:rsidRPr="00AD4DBA" w:rsidRDefault="003404B2" w:rsidP="00AD4DBA">
      <w:pPr>
        <w:pStyle w:val="List1bullet"/>
        <w:rPr>
          <w:sz w:val="16"/>
          <w:szCs w:val="16"/>
        </w:rPr>
      </w:pPr>
      <w:r w:rsidRPr="00AD4DBA">
        <w:rPr>
          <w:sz w:val="16"/>
          <w:szCs w:val="16"/>
        </w:rPr>
        <w:t>Outlines projects required to ensure that future residents, visitors and workers within the Rockbank precinct can be provided with timely access to the services and transport necessary to support a quality, affordable business and residential area</w:t>
      </w:r>
    </w:p>
    <w:p w:rsidR="003404B2" w:rsidRPr="00AD4DBA" w:rsidRDefault="003404B2" w:rsidP="00AD4DBA">
      <w:pPr>
        <w:pStyle w:val="List1bullet"/>
        <w:rPr>
          <w:sz w:val="16"/>
          <w:szCs w:val="16"/>
        </w:rPr>
      </w:pPr>
      <w:r w:rsidRPr="00AD4DBA">
        <w:rPr>
          <w:sz w:val="16"/>
          <w:szCs w:val="16"/>
        </w:rPr>
        <w:t>Establishes a framework for development proponents to make a financial contribution towards the cost of identified infrastructure projects</w:t>
      </w:r>
    </w:p>
    <w:p w:rsidR="003404B2" w:rsidRPr="00AD4DBA" w:rsidRDefault="003404B2" w:rsidP="00AD4DBA">
      <w:pPr>
        <w:pStyle w:val="List1bullet"/>
        <w:rPr>
          <w:sz w:val="16"/>
          <w:szCs w:val="16"/>
        </w:rPr>
      </w:pPr>
      <w:r w:rsidRPr="00AD4DBA">
        <w:rPr>
          <w:sz w:val="16"/>
          <w:szCs w:val="16"/>
        </w:rPr>
        <w:t>Ensures that the cost of providing new infrastructure and services is shared equitably between various development proponents and the wider community</w:t>
      </w:r>
    </w:p>
    <w:p w:rsidR="003404B2" w:rsidRPr="00AD4DBA" w:rsidRDefault="003404B2" w:rsidP="00AD4DBA">
      <w:pPr>
        <w:pStyle w:val="List1bullet"/>
        <w:rPr>
          <w:sz w:val="16"/>
          <w:szCs w:val="16"/>
        </w:rPr>
      </w:pPr>
      <w:r w:rsidRPr="00AD4DBA">
        <w:rPr>
          <w:sz w:val="16"/>
          <w:szCs w:val="16"/>
        </w:rPr>
        <w:t>Provides the details of the calculation of financial contributions that must be made by future developments towards the nominated projects</w:t>
      </w:r>
    </w:p>
    <w:p w:rsidR="003404B2" w:rsidRPr="00AD4DBA" w:rsidRDefault="003404B2" w:rsidP="00AD4DBA">
      <w:pPr>
        <w:pStyle w:val="List1bullet"/>
        <w:rPr>
          <w:sz w:val="16"/>
          <w:szCs w:val="16"/>
        </w:rPr>
      </w:pPr>
      <w:r w:rsidRPr="00AD4DBA">
        <w:rPr>
          <w:sz w:val="16"/>
          <w:szCs w:val="16"/>
        </w:rPr>
        <w:t>Provides developers, investors and local communities with certainty about development contribution requirements and how they will be administered.</w:t>
      </w:r>
    </w:p>
    <w:p w:rsidR="003404B2" w:rsidRDefault="003404B2" w:rsidP="003404B2">
      <w:pPr>
        <w:pStyle w:val="BodyContent"/>
      </w:pPr>
    </w:p>
    <w:p w:rsidR="003404B2" w:rsidRDefault="003404B2" w:rsidP="00AD4DBA">
      <w:pPr>
        <w:pStyle w:val="BodyContent"/>
        <w:ind w:left="0"/>
      </w:pPr>
      <w:r>
        <w:t>The DCP comprises four parts:</w:t>
      </w:r>
    </w:p>
    <w:p w:rsidR="003404B2" w:rsidRDefault="00AD4DBA" w:rsidP="00AD4DBA">
      <w:pPr>
        <w:pStyle w:val="BodyContent"/>
        <w:ind w:left="0"/>
      </w:pPr>
      <w:r w:rsidRPr="00AD4DBA">
        <w:rPr>
          <w:highlight w:val="yellow"/>
        </w:rPr>
        <w:t>(Insert Diagram)</w:t>
      </w:r>
    </w:p>
    <w:p w:rsidR="003404B2" w:rsidRDefault="003404B2" w:rsidP="00AD4DBA">
      <w:pPr>
        <w:pStyle w:val="BodyContent"/>
        <w:ind w:left="0"/>
      </w:pPr>
      <w:r>
        <w:t xml:space="preserve">The strategic basis for the DCP is informed by: </w:t>
      </w:r>
    </w:p>
    <w:p w:rsidR="003404B2" w:rsidRPr="00AD4DBA" w:rsidRDefault="003404B2" w:rsidP="00AD4DBA">
      <w:pPr>
        <w:pStyle w:val="List1bullet"/>
        <w:rPr>
          <w:sz w:val="16"/>
          <w:szCs w:val="16"/>
        </w:rPr>
      </w:pPr>
      <w:r w:rsidRPr="00AD4DBA">
        <w:rPr>
          <w:sz w:val="16"/>
          <w:szCs w:val="16"/>
        </w:rPr>
        <w:t>State and Local Planning Policy Framework set out in the Melton Planning Scheme</w:t>
      </w:r>
    </w:p>
    <w:p w:rsidR="003404B2" w:rsidRPr="00AD4DBA" w:rsidRDefault="003404B2" w:rsidP="00AD4DBA">
      <w:pPr>
        <w:pStyle w:val="List1bullet"/>
        <w:rPr>
          <w:sz w:val="16"/>
          <w:szCs w:val="16"/>
        </w:rPr>
      </w:pPr>
      <w:r w:rsidRPr="00AD4DBA">
        <w:rPr>
          <w:rStyle w:val="BodybulletITALICS"/>
          <w:sz w:val="16"/>
          <w:szCs w:val="16"/>
        </w:rPr>
        <w:t>Precinct Structure Planning Guidelines</w:t>
      </w:r>
      <w:r w:rsidRPr="00AD4DBA">
        <w:rPr>
          <w:sz w:val="16"/>
          <w:szCs w:val="16"/>
        </w:rPr>
        <w:t xml:space="preserve"> (Growth Areas Authority, 2008)</w:t>
      </w:r>
    </w:p>
    <w:p w:rsidR="003404B2" w:rsidRPr="00AD4DBA" w:rsidRDefault="003404B2" w:rsidP="00AD4DBA">
      <w:pPr>
        <w:pStyle w:val="List1bullet"/>
        <w:rPr>
          <w:sz w:val="16"/>
          <w:szCs w:val="16"/>
        </w:rPr>
      </w:pPr>
      <w:r w:rsidRPr="00AD4DBA">
        <w:rPr>
          <w:rStyle w:val="BodybulletITALICS"/>
          <w:sz w:val="16"/>
          <w:szCs w:val="16"/>
        </w:rPr>
        <w:t>Growth Corridor Plans: Managing Melbourne’s Growth</w:t>
      </w:r>
      <w:r w:rsidRPr="00AD4DBA">
        <w:rPr>
          <w:sz w:val="16"/>
          <w:szCs w:val="16"/>
        </w:rPr>
        <w:t xml:space="preserve"> (GAA, 2012)</w:t>
      </w:r>
    </w:p>
    <w:p w:rsidR="003404B2" w:rsidRPr="00AD4DBA" w:rsidRDefault="003404B2" w:rsidP="00AD4DBA">
      <w:pPr>
        <w:pStyle w:val="List1bullet"/>
        <w:rPr>
          <w:sz w:val="16"/>
          <w:szCs w:val="16"/>
        </w:rPr>
      </w:pPr>
      <w:r w:rsidRPr="00AD4DBA">
        <w:rPr>
          <w:rStyle w:val="BodybulletITALICS"/>
          <w:sz w:val="16"/>
          <w:szCs w:val="16"/>
        </w:rPr>
        <w:t>Development Contributions Plan Guidelines</w:t>
      </w:r>
      <w:r w:rsidRPr="00AD4DBA">
        <w:rPr>
          <w:sz w:val="16"/>
          <w:szCs w:val="16"/>
        </w:rPr>
        <w:t xml:space="preserve"> (Department of Transport, Planning and Local Infrastructure, 2013)</w:t>
      </w:r>
    </w:p>
    <w:p w:rsidR="003404B2" w:rsidRPr="00AD4DBA" w:rsidRDefault="003404B2" w:rsidP="00AD4DBA">
      <w:pPr>
        <w:pStyle w:val="List1bullet"/>
        <w:rPr>
          <w:sz w:val="16"/>
          <w:szCs w:val="16"/>
        </w:rPr>
      </w:pPr>
      <w:r w:rsidRPr="00AD4DBA">
        <w:rPr>
          <w:rStyle w:val="BodybulletITALICS"/>
          <w:sz w:val="16"/>
          <w:szCs w:val="16"/>
        </w:rPr>
        <w:t>Rockbank Precinct Structure Plan</w:t>
      </w:r>
      <w:r w:rsidRPr="00AD4DBA">
        <w:rPr>
          <w:sz w:val="16"/>
          <w:szCs w:val="16"/>
        </w:rPr>
        <w:t xml:space="preserve"> and supporting documents.</w:t>
      </w:r>
    </w:p>
    <w:p w:rsidR="003404B2" w:rsidRDefault="003404B2" w:rsidP="00AD4DBA">
      <w:pPr>
        <w:pStyle w:val="BodyContent"/>
        <w:ind w:left="0"/>
      </w:pPr>
      <w:r>
        <w:t>These documents set out a broad, long term vision for the sustainable development of the Rockbank precinct and its surroundings.</w:t>
      </w:r>
    </w:p>
    <w:p w:rsidR="00AD4DBA" w:rsidRDefault="00AD4DBA" w:rsidP="00AD4DBA">
      <w:pPr>
        <w:pStyle w:val="Caption"/>
      </w:pPr>
      <w:bookmarkStart w:id="2" w:name="_Toc467676210"/>
      <w:r>
        <w:t xml:space="preserve">Plan </w:t>
      </w:r>
      <w:fldSimple w:instr=" SEQ Plan \* ARABIC ">
        <w:r>
          <w:rPr>
            <w:noProof/>
          </w:rPr>
          <w:t>1</w:t>
        </w:r>
      </w:fldSimple>
      <w:r>
        <w:t xml:space="preserve"> – Regional Context</w:t>
      </w:r>
      <w:bookmarkEnd w:id="2"/>
    </w:p>
    <w:p w:rsidR="003404B2" w:rsidRDefault="003404B2" w:rsidP="0049555B">
      <w:pPr>
        <w:pStyle w:val="Heading2"/>
      </w:pPr>
      <w:bookmarkStart w:id="3" w:name="_Toc467676179"/>
      <w:bookmarkStart w:id="4" w:name="_GoBack"/>
      <w:bookmarkEnd w:id="4"/>
      <w:r>
        <w:t>Planning and Environment Act 1987</w:t>
      </w:r>
      <w:bookmarkEnd w:id="3"/>
    </w:p>
    <w:p w:rsidR="003404B2" w:rsidRDefault="003404B2" w:rsidP="0049555B">
      <w:pPr>
        <w:pStyle w:val="BodyContent"/>
        <w:ind w:left="0"/>
      </w:pPr>
      <w:r>
        <w:t xml:space="preserve">The DCP has been prepared in accordance with Part 3B of the </w:t>
      </w:r>
      <w:r>
        <w:rPr>
          <w:rStyle w:val="BodybulletITALICS"/>
        </w:rPr>
        <w:t>Planning and Environment Act 1987</w:t>
      </w:r>
      <w:r>
        <w:t xml:space="preserve"> (the Act) and has been developed in line with the State and Local Planning Policy Framework of the Melton Planning Scheme as well as Victorian Government Guidelines. It is consistent with the Ministerial Direction on development contributions plans made under section </w:t>
      </w:r>
      <w:proofErr w:type="gramStart"/>
      <w:r>
        <w:t>46M(</w:t>
      </w:r>
      <w:proofErr w:type="gramEnd"/>
      <w:r>
        <w:t xml:space="preserve">1) of the Act and has had regard to the Victorian Government’s </w:t>
      </w:r>
      <w:r>
        <w:rPr>
          <w:rStyle w:val="BodybulletITALICS"/>
        </w:rPr>
        <w:t>Development Contribution Plan Guidelines</w:t>
      </w:r>
      <w:r>
        <w:t>.</w:t>
      </w:r>
    </w:p>
    <w:p w:rsidR="003404B2" w:rsidRDefault="003404B2" w:rsidP="0049555B">
      <w:pPr>
        <w:pStyle w:val="BodyContent"/>
        <w:ind w:left="0"/>
      </w:pPr>
      <w:r>
        <w:t xml:space="preserve">The DCP provides for the charging of a development infrastructure levy pursuant to section </w:t>
      </w:r>
      <w:proofErr w:type="gramStart"/>
      <w:r>
        <w:t>46J(</w:t>
      </w:r>
      <w:proofErr w:type="gramEnd"/>
      <w:r>
        <w:t xml:space="preserve">a) of the Act towards works, services or facilities. It also provides for the charging of a community infrastructure levy pursuant to section 46J(b) of the Act as some items are classified as community infrastructure under the Act, the Ministerial Direction on development contributions plans and the </w:t>
      </w:r>
      <w:r>
        <w:rPr>
          <w:rStyle w:val="BodybulletITALICS"/>
        </w:rPr>
        <w:t xml:space="preserve">Development Contributions </w:t>
      </w:r>
      <w:r>
        <w:rPr>
          <w:rStyle w:val="BodybulletITALICS"/>
        </w:rPr>
        <w:br/>
        <w:t>Plan Guidelines</w:t>
      </w:r>
      <w:r>
        <w:t>.</w:t>
      </w:r>
    </w:p>
    <w:p w:rsidR="003404B2" w:rsidRDefault="003404B2" w:rsidP="0049555B">
      <w:pPr>
        <w:pStyle w:val="BodyContent"/>
        <w:ind w:left="0"/>
      </w:pPr>
      <w:r>
        <w:t>The DCP forms part of the Melton Planning Scheme pursuant to section 46I of the Act and is an incorporated document under Clause 81 of the Melton Planning Scheme. The DCP is implemented in the Melton Planning Scheme through Schedule 7 to Clause 45.06 Development Contributions Plan Overlay (DCPO7) that applies to the area illustrated on Plan 3.</w:t>
      </w:r>
    </w:p>
    <w:p w:rsidR="003404B2" w:rsidRDefault="003404B2" w:rsidP="0049555B">
      <w:pPr>
        <w:pStyle w:val="Heading2"/>
      </w:pPr>
      <w:bookmarkStart w:id="5" w:name="_Toc467676180"/>
      <w:r>
        <w:t>Rockbank Precinct Structure Plan</w:t>
      </w:r>
      <w:bookmarkEnd w:id="5"/>
    </w:p>
    <w:p w:rsidR="003404B2" w:rsidRDefault="003404B2" w:rsidP="0049555B">
      <w:pPr>
        <w:pStyle w:val="BodyContent"/>
        <w:ind w:left="0"/>
      </w:pPr>
      <w:r>
        <w:t>Rockbank Precinct Structure Plan (the PSP) is a long-term plan for urban development. It describes how the land to which the DCP applies is expected to be developed, and how and where services are planned to support development.</w:t>
      </w:r>
    </w:p>
    <w:p w:rsidR="003404B2" w:rsidRDefault="003404B2" w:rsidP="0049555B">
      <w:pPr>
        <w:pStyle w:val="BodyContent"/>
        <w:ind w:left="0"/>
      </w:pPr>
      <w:r>
        <w:lastRenderedPageBreak/>
        <w:t>The PSP applies to 751.83 hectares of land as illustrated on Plan 2.</w:t>
      </w:r>
    </w:p>
    <w:p w:rsidR="003404B2" w:rsidRDefault="003404B2" w:rsidP="0049555B">
      <w:pPr>
        <w:pStyle w:val="BodyContent"/>
        <w:ind w:left="0"/>
      </w:pPr>
      <w:r>
        <w:t xml:space="preserve">The precinct is located approximately 29 </w:t>
      </w:r>
      <w:proofErr w:type="spellStart"/>
      <w:r>
        <w:t>kilometres</w:t>
      </w:r>
      <w:proofErr w:type="spellEnd"/>
      <w:r>
        <w:t xml:space="preserve"> to the west of the Melbourne CBD. The PSP is bounded by the Western Highway and the existing Rockbank Township to the north, Paynes Road to the west, Greigs Road to the south and the Outer Metropolitan Ring (OMR) transport corridor to the east, beyond Troups Road North. The Melbourne–Ballarat rail corridor runs in an east-west direction through the precinct as illustrated on Plan 1.</w:t>
      </w:r>
    </w:p>
    <w:p w:rsidR="003404B2" w:rsidRDefault="003404B2" w:rsidP="0049555B">
      <w:pPr>
        <w:pStyle w:val="BodyContent"/>
        <w:ind w:left="0"/>
      </w:pPr>
      <w:r>
        <w:t>The need for the infrastructure set out in the DCP has been determined according to the anticipated development scenario for Rockbank as described in the PSP.</w:t>
      </w:r>
    </w:p>
    <w:p w:rsidR="003404B2" w:rsidRDefault="003404B2" w:rsidP="0049555B">
      <w:pPr>
        <w:pStyle w:val="BodyContent"/>
        <w:ind w:left="0"/>
      </w:pPr>
      <w:r>
        <w:t>The DCP has a strong relationship to the PSP, as the PSP provides the rationale and justification for infrastructure items that have been included within the DCP.</w:t>
      </w:r>
    </w:p>
    <w:p w:rsidR="003404B2" w:rsidRDefault="003404B2" w:rsidP="0049555B">
      <w:pPr>
        <w:pStyle w:val="BodyContent"/>
        <w:ind w:left="0"/>
      </w:pPr>
      <w:r>
        <w:t xml:space="preserve">Accordingly, the DCP is an implementation-based planning tool that identifies the infrastructure items required by the new community and apportions the cost of this infrastructure in an equitable manner across the plan area. </w:t>
      </w:r>
    </w:p>
    <w:p w:rsidR="003404B2" w:rsidRDefault="003404B2" w:rsidP="0049555B">
      <w:pPr>
        <w:pStyle w:val="BodyContent"/>
        <w:ind w:left="0"/>
      </w:pPr>
      <w:r>
        <w:t xml:space="preserve">The PSP has been developed following a comprehensive planning process that establishes the future direction of development within the precinct. </w:t>
      </w:r>
    </w:p>
    <w:p w:rsidR="00DB421A" w:rsidRDefault="00DB421A" w:rsidP="00DB421A">
      <w:pPr>
        <w:pStyle w:val="Caption"/>
      </w:pPr>
      <w:bookmarkStart w:id="6" w:name="_Toc467676211"/>
      <w:r>
        <w:t xml:space="preserve">Plan </w:t>
      </w:r>
      <w:fldSimple w:instr=" SEQ Plan \* ARABIC ">
        <w:r>
          <w:rPr>
            <w:noProof/>
          </w:rPr>
          <w:t>2</w:t>
        </w:r>
      </w:fldSimple>
      <w:r>
        <w:t xml:space="preserve"> – Future Urban Structure</w:t>
      </w:r>
      <w:bookmarkEnd w:id="6"/>
    </w:p>
    <w:p w:rsidR="003404B2" w:rsidRDefault="003404B2" w:rsidP="0049555B">
      <w:pPr>
        <w:pStyle w:val="Heading2"/>
      </w:pPr>
      <w:bookmarkStart w:id="7" w:name="_Toc467676181"/>
      <w:r>
        <w:t>The area to which</w:t>
      </w:r>
      <w:r w:rsidR="0049555B">
        <w:t xml:space="preserve"> the development contributions </w:t>
      </w:r>
      <w:r>
        <w:t>plan applies</w:t>
      </w:r>
      <w:bookmarkEnd w:id="7"/>
    </w:p>
    <w:p w:rsidR="003404B2" w:rsidRDefault="003404B2" w:rsidP="0049555B">
      <w:pPr>
        <w:pStyle w:val="BodyContent"/>
        <w:ind w:left="0"/>
      </w:pPr>
      <w:r>
        <w:t xml:space="preserve">In accordance with section </w:t>
      </w:r>
      <w:proofErr w:type="gramStart"/>
      <w:r>
        <w:t>46K(</w:t>
      </w:r>
      <w:proofErr w:type="gramEnd"/>
      <w:r>
        <w:t>1)(a) of the Act, the DCP applies to land illustrated on Plan 3. The area is also shown on DCPO7 in the Melton Planning Scheme.</w:t>
      </w:r>
    </w:p>
    <w:p w:rsidR="003404B2" w:rsidRDefault="003404B2" w:rsidP="0049555B">
      <w:pPr>
        <w:pStyle w:val="BodyContent"/>
        <w:ind w:left="0"/>
      </w:pPr>
      <w:r>
        <w:t xml:space="preserve">In identifying infrastructure items for delivery, consideration has been given to ensure they are not already wholly funded through another contribution mechanism, such as a mandatory infrastructure construction requirement as outlined in Table 6 of the PSP, an existing local DCP, an agreement under section 173 of the Act, or as a condition on an existing planning permit. </w:t>
      </w:r>
    </w:p>
    <w:p w:rsidR="003404B2" w:rsidRDefault="003404B2" w:rsidP="0049555B">
      <w:pPr>
        <w:pStyle w:val="BodyContent"/>
        <w:ind w:left="0"/>
      </w:pPr>
      <w:r>
        <w:t xml:space="preserve">The DCP replaces two road projects yet to be constructed as part of the approved Toolern Development Contributions Plan: </w:t>
      </w:r>
    </w:p>
    <w:p w:rsidR="003404B2" w:rsidRPr="0049555B" w:rsidRDefault="003404B2" w:rsidP="0049555B">
      <w:pPr>
        <w:pStyle w:val="List1bullet"/>
        <w:rPr>
          <w:sz w:val="16"/>
          <w:szCs w:val="16"/>
        </w:rPr>
      </w:pPr>
      <w:r w:rsidRPr="0049555B">
        <w:rPr>
          <w:sz w:val="16"/>
          <w:szCs w:val="16"/>
        </w:rPr>
        <w:t>‘IT07’ in the Rockbank DCP replaces ‘IT07’ in the Toolern DCP</w:t>
      </w:r>
    </w:p>
    <w:p w:rsidR="003404B2" w:rsidRPr="0049555B" w:rsidRDefault="003404B2" w:rsidP="0049555B">
      <w:pPr>
        <w:pStyle w:val="List1bullet"/>
        <w:rPr>
          <w:sz w:val="16"/>
          <w:szCs w:val="16"/>
        </w:rPr>
      </w:pPr>
      <w:r w:rsidRPr="0049555B">
        <w:rPr>
          <w:sz w:val="16"/>
          <w:szCs w:val="16"/>
        </w:rPr>
        <w:t>‘IT15’ in the Rockbank DCP replaces ‘IT08’ in the Toolern DCP.</w:t>
      </w:r>
    </w:p>
    <w:p w:rsidR="003404B2" w:rsidRDefault="003404B2" w:rsidP="0049555B">
      <w:pPr>
        <w:pStyle w:val="Heading2"/>
      </w:pPr>
      <w:bookmarkStart w:id="8" w:name="_Toc467676182"/>
      <w:r>
        <w:t>Infrastructure items included i</w:t>
      </w:r>
      <w:r w:rsidR="0049555B">
        <w:t xml:space="preserve">n the development contributions </w:t>
      </w:r>
      <w:r>
        <w:t>plan</w:t>
      </w:r>
      <w:bookmarkEnd w:id="8"/>
    </w:p>
    <w:p w:rsidR="003404B2" w:rsidRDefault="003404B2" w:rsidP="0049555B">
      <w:pPr>
        <w:pStyle w:val="BodyContent"/>
        <w:ind w:left="0"/>
      </w:pPr>
      <w:r>
        <w:t>The need for infrastructure included in the DCP has been determined on the basis of the development scenario as described in the PSP and its supporting documents.</w:t>
      </w:r>
    </w:p>
    <w:p w:rsidR="003404B2" w:rsidRDefault="003404B2" w:rsidP="0049555B">
      <w:pPr>
        <w:pStyle w:val="BodyContent"/>
        <w:ind w:left="0"/>
      </w:pPr>
      <w:r>
        <w:t>Items can be included in a DCP if the proposed development of an area is likely to create the need for infrastructure by its future community. New development does not have to trigger the need for new items in its own right. Furthermore, an item can be included in a DCP regardless of whether it is within or outside the DCP area.</w:t>
      </w:r>
    </w:p>
    <w:p w:rsidR="003404B2" w:rsidRDefault="003404B2" w:rsidP="0049555B">
      <w:pPr>
        <w:pStyle w:val="BodyContent"/>
        <w:ind w:left="0"/>
      </w:pPr>
      <w:r>
        <w:t>Before inclusion in this DCP, all items have been assessed to ensure they have a relationship or nexus to proposed development in the PSP. The cost apportionment methodology adopted in this DCP relies on the nexus principle. A new development is deemed to have a nexus with an item if it is expected to make use of that item.</w:t>
      </w:r>
    </w:p>
    <w:p w:rsidR="003404B2" w:rsidRDefault="003404B2" w:rsidP="0049555B">
      <w:pPr>
        <w:pStyle w:val="BodyContent"/>
        <w:ind w:left="0"/>
      </w:pPr>
      <w:r>
        <w:t>A summary of how each item relates to projected growth area development is set out below and individual item use apportionments are identified in Tables 10–12.</w:t>
      </w:r>
    </w:p>
    <w:p w:rsidR="003404B2" w:rsidRDefault="003404B2" w:rsidP="0049555B">
      <w:pPr>
        <w:pStyle w:val="BodyContent"/>
        <w:ind w:left="0"/>
      </w:pPr>
      <w:r>
        <w:t>The items that have been included in this DCP all have the following characteristics; namely they:</w:t>
      </w:r>
    </w:p>
    <w:p w:rsidR="003404B2" w:rsidRPr="0049555B" w:rsidRDefault="003404B2" w:rsidP="0049555B">
      <w:pPr>
        <w:pStyle w:val="List1bullet"/>
        <w:rPr>
          <w:sz w:val="16"/>
          <w:szCs w:val="16"/>
        </w:rPr>
      </w:pPr>
      <w:r w:rsidRPr="0049555B">
        <w:rPr>
          <w:sz w:val="16"/>
          <w:szCs w:val="16"/>
        </w:rPr>
        <w:t>Are essential to the health, safety and well-being of the community</w:t>
      </w:r>
    </w:p>
    <w:p w:rsidR="003404B2" w:rsidRPr="0049555B" w:rsidRDefault="003404B2" w:rsidP="0049555B">
      <w:pPr>
        <w:pStyle w:val="List1bullet"/>
        <w:rPr>
          <w:sz w:val="16"/>
          <w:szCs w:val="16"/>
        </w:rPr>
      </w:pPr>
      <w:r w:rsidRPr="0049555B">
        <w:rPr>
          <w:sz w:val="16"/>
          <w:szCs w:val="16"/>
        </w:rPr>
        <w:t>Will be used by a broad cross-section of the community</w:t>
      </w:r>
    </w:p>
    <w:p w:rsidR="003404B2" w:rsidRPr="0049555B" w:rsidRDefault="003404B2" w:rsidP="0049555B">
      <w:pPr>
        <w:pStyle w:val="List1bullet"/>
        <w:rPr>
          <w:sz w:val="16"/>
          <w:szCs w:val="16"/>
        </w:rPr>
      </w:pPr>
      <w:r w:rsidRPr="0049555B">
        <w:rPr>
          <w:sz w:val="16"/>
          <w:szCs w:val="16"/>
        </w:rPr>
        <w:t>Reflect the vision and strategic aspirations as expressed in the PSP</w:t>
      </w:r>
    </w:p>
    <w:p w:rsidR="003404B2" w:rsidRPr="0049555B" w:rsidRDefault="003404B2" w:rsidP="0049555B">
      <w:pPr>
        <w:pStyle w:val="List1bullet"/>
        <w:rPr>
          <w:sz w:val="16"/>
          <w:szCs w:val="16"/>
        </w:rPr>
      </w:pPr>
      <w:r w:rsidRPr="0049555B">
        <w:rPr>
          <w:sz w:val="16"/>
          <w:szCs w:val="16"/>
        </w:rPr>
        <w:t>Are not recurrent items</w:t>
      </w:r>
    </w:p>
    <w:p w:rsidR="003404B2" w:rsidRPr="0049555B" w:rsidRDefault="003404B2" w:rsidP="0049555B">
      <w:pPr>
        <w:pStyle w:val="List1bullet"/>
        <w:rPr>
          <w:sz w:val="16"/>
          <w:szCs w:val="16"/>
        </w:rPr>
      </w:pPr>
      <w:r w:rsidRPr="0049555B">
        <w:rPr>
          <w:sz w:val="16"/>
          <w:szCs w:val="16"/>
        </w:rPr>
        <w:t xml:space="preserve">Are the basis for the future development of an integrated </w:t>
      </w:r>
      <w:proofErr w:type="gramStart"/>
      <w:r w:rsidRPr="0049555B">
        <w:rPr>
          <w:sz w:val="16"/>
          <w:szCs w:val="16"/>
        </w:rPr>
        <w:t>network.</w:t>
      </w:r>
      <w:proofErr w:type="gramEnd"/>
    </w:p>
    <w:p w:rsidR="003404B2" w:rsidRDefault="003404B2" w:rsidP="0049555B">
      <w:pPr>
        <w:pStyle w:val="Heading2"/>
      </w:pPr>
      <w:bookmarkStart w:id="9" w:name="_Toc467676183"/>
      <w:r>
        <w:lastRenderedPageBreak/>
        <w:t>Items n</w:t>
      </w:r>
      <w:r w:rsidR="0049555B">
        <w:t xml:space="preserve">ot included in the development </w:t>
      </w:r>
      <w:r>
        <w:t>contributions plan</w:t>
      </w:r>
      <w:bookmarkEnd w:id="9"/>
    </w:p>
    <w:p w:rsidR="003404B2" w:rsidRDefault="003404B2" w:rsidP="0049555B">
      <w:pPr>
        <w:pStyle w:val="Heading3"/>
      </w:pPr>
      <w:r>
        <w:t xml:space="preserve">Developer works </w:t>
      </w:r>
    </w:p>
    <w:p w:rsidR="003404B2" w:rsidRDefault="003404B2" w:rsidP="003404B2">
      <w:pPr>
        <w:pStyle w:val="BodyContent"/>
      </w:pPr>
      <w:r>
        <w:t xml:space="preserve">The following items are not included in the DCP; they must be provided by developers as a matter of course and/or pursuant to agreements with servicing agencies in implementing the PSP: </w:t>
      </w:r>
    </w:p>
    <w:p w:rsidR="003404B2" w:rsidRDefault="003404B2" w:rsidP="003404B2">
      <w:pPr>
        <w:pStyle w:val="BULLETSContent"/>
      </w:pPr>
      <w:r>
        <w:t>Connector streets and local streets (except those included in the DCP)</w:t>
      </w:r>
    </w:p>
    <w:p w:rsidR="003404B2" w:rsidRDefault="003404B2" w:rsidP="003404B2">
      <w:pPr>
        <w:pStyle w:val="BULLETSContent"/>
      </w:pPr>
      <w:r>
        <w:t>Intersection works and traffic management measures along arterial roads, connector streets and local streets (except those included in the DCP)</w:t>
      </w:r>
    </w:p>
    <w:p w:rsidR="003404B2" w:rsidRDefault="003404B2" w:rsidP="003404B2">
      <w:pPr>
        <w:pStyle w:val="BULLETSContent"/>
      </w:pPr>
      <w:r>
        <w:t>Local bus stop infrastructure (where locations have been agreed in writing by Public Transport Victoria)</w:t>
      </w:r>
    </w:p>
    <w:p w:rsidR="003404B2" w:rsidRDefault="003404B2" w:rsidP="003404B2">
      <w:pPr>
        <w:pStyle w:val="BULLETSContent"/>
      </w:pPr>
      <w:r>
        <w:t>Landscaping of all existing and future roads and local streets</w:t>
      </w:r>
    </w:p>
    <w:p w:rsidR="003404B2" w:rsidRDefault="003404B2" w:rsidP="003404B2">
      <w:pPr>
        <w:pStyle w:val="BULLETSContent"/>
      </w:pPr>
      <w:r>
        <w:t>Local shared, pedestrian and bicycle paths along local streets, connector streets, utilities easements, waterways and within local parks including bridges, intersections, and barrier crossing points (except those included in the DCP)</w:t>
      </w:r>
    </w:p>
    <w:p w:rsidR="003404B2" w:rsidRDefault="003404B2" w:rsidP="003404B2">
      <w:pPr>
        <w:pStyle w:val="BULLETSContent"/>
      </w:pPr>
      <w:r>
        <w:t>Council-approved fencing and landscaping along arterial roads, the railway corridor and shared paths, as required</w:t>
      </w:r>
    </w:p>
    <w:p w:rsidR="003404B2" w:rsidRDefault="003404B2" w:rsidP="003404B2">
      <w:pPr>
        <w:pStyle w:val="BULLETSContent"/>
      </w:pPr>
      <w:r>
        <w:t>Bicycle parking</w:t>
      </w:r>
    </w:p>
    <w:p w:rsidR="003404B2" w:rsidRDefault="003404B2" w:rsidP="003404B2">
      <w:pPr>
        <w:pStyle w:val="BULLETSContent"/>
      </w:pPr>
      <w:r>
        <w:t>Appropriately scaled lighting along all roads, major shared and pedestrian paths, and traversing the open space network</w:t>
      </w:r>
    </w:p>
    <w:p w:rsidR="003404B2" w:rsidRDefault="003404B2" w:rsidP="003404B2">
      <w:pPr>
        <w:pStyle w:val="BULLETSContent"/>
      </w:pPr>
      <w:r>
        <w:t>Basic improvements to local parks and open space</w:t>
      </w:r>
    </w:p>
    <w:p w:rsidR="003404B2" w:rsidRDefault="003404B2" w:rsidP="003404B2">
      <w:pPr>
        <w:pStyle w:val="BULLETSContent"/>
      </w:pPr>
      <w:r>
        <w:t>Local drainage system</w:t>
      </w:r>
    </w:p>
    <w:p w:rsidR="003404B2" w:rsidRDefault="003404B2" w:rsidP="003404B2">
      <w:pPr>
        <w:pStyle w:val="BULLETSContent"/>
      </w:pPr>
      <w:r>
        <w:t>Local street or path crossings of waterways, unless included in the DCP or outlined as the responsibility of an agency in the PSP</w:t>
      </w:r>
    </w:p>
    <w:p w:rsidR="003404B2" w:rsidRDefault="003404B2" w:rsidP="003404B2">
      <w:pPr>
        <w:pStyle w:val="BULLETSContent"/>
      </w:pPr>
      <w:r>
        <w:t>Infrastructure as required by utility services providers, including water, sewerage, drainage (except where the item is funded through a Melbourne Water Development Services Scheme), electricity, gas and telecommunications</w:t>
      </w:r>
    </w:p>
    <w:p w:rsidR="003404B2" w:rsidRDefault="003404B2" w:rsidP="003404B2">
      <w:pPr>
        <w:pStyle w:val="BULLETSContent"/>
      </w:pPr>
      <w:r>
        <w:t>Remediation and/or reconstruction of dry stone walls, where required.</w:t>
      </w:r>
    </w:p>
    <w:p w:rsidR="003404B2" w:rsidRDefault="003404B2" w:rsidP="003404B2">
      <w:pPr>
        <w:pStyle w:val="BodyContent"/>
      </w:pPr>
      <w:r>
        <w:t>The items listed above are considered to be normal to the construction of a development and are not considered to warrant cost sharing arrangements beyond those set out in the DCP.</w:t>
      </w:r>
    </w:p>
    <w:p w:rsidR="003404B2" w:rsidRDefault="003404B2" w:rsidP="003404B2">
      <w:pPr>
        <w:pStyle w:val="BodyContent"/>
      </w:pPr>
      <w:r>
        <w:t>They may be further addressed and defined by an agreement under section 173 of the Act and/or conditions in planning permits.</w:t>
      </w:r>
    </w:p>
    <w:p w:rsidR="003404B2" w:rsidRDefault="003404B2" w:rsidP="003404B2">
      <w:pPr>
        <w:pStyle w:val="BodyContent"/>
      </w:pPr>
      <w:r>
        <w:t>Upgrade of the existing road network to an urban standard will be implemented through subdivision permit conditions to the satisfaction of the responsible authority, except where specified as a DCP project.</w:t>
      </w:r>
    </w:p>
    <w:p w:rsidR="003404B2" w:rsidRDefault="003404B2" w:rsidP="0049555B">
      <w:pPr>
        <w:pStyle w:val="Heading3"/>
      </w:pPr>
      <w:r>
        <w:t>State infrastructure</w:t>
      </w:r>
    </w:p>
    <w:p w:rsidR="003404B2" w:rsidRDefault="003404B2" w:rsidP="003404B2">
      <w:pPr>
        <w:pStyle w:val="BodyContent"/>
      </w:pPr>
      <w:r>
        <w:t>Construction of the following items has not been included within the DCP as they are determined to be State infrastructure:</w:t>
      </w:r>
    </w:p>
    <w:p w:rsidR="003404B2" w:rsidRDefault="003404B2" w:rsidP="003404B2">
      <w:pPr>
        <w:pStyle w:val="BULLETSContent"/>
      </w:pPr>
      <w:r>
        <w:t>Government schools</w:t>
      </w:r>
    </w:p>
    <w:p w:rsidR="003404B2" w:rsidRDefault="003404B2" w:rsidP="003404B2">
      <w:pPr>
        <w:pStyle w:val="BULLETSContent"/>
      </w:pPr>
      <w:r>
        <w:t>Public transport</w:t>
      </w:r>
    </w:p>
    <w:p w:rsidR="003404B2" w:rsidRDefault="003404B2" w:rsidP="003404B2">
      <w:pPr>
        <w:pStyle w:val="BULLETSContent"/>
      </w:pPr>
      <w:r>
        <w:t>Upgrades to the declared road network.</w:t>
      </w:r>
    </w:p>
    <w:p w:rsidR="003404B2" w:rsidRDefault="003404B2" w:rsidP="003404B2">
      <w:pPr>
        <w:pStyle w:val="BodyContent"/>
      </w:pPr>
      <w:r>
        <w:t>The delivery of State infrastructure will be provided as warranted.</w:t>
      </w:r>
    </w:p>
    <w:p w:rsidR="003404B2" w:rsidRDefault="003404B2" w:rsidP="0049555B">
      <w:pPr>
        <w:pStyle w:val="Heading3"/>
      </w:pPr>
      <w:r>
        <w:t>Public open space contributions</w:t>
      </w:r>
    </w:p>
    <w:p w:rsidR="003404B2" w:rsidRDefault="003404B2" w:rsidP="00DB421A">
      <w:pPr>
        <w:pStyle w:val="BodyContent"/>
      </w:pPr>
      <w:r>
        <w:t>This DCP does not provide funding for unencumbered public open space in the form of local parks as it is provided through Clause 52.01 of the Melton Planni</w:t>
      </w:r>
      <w:r w:rsidR="00DB421A">
        <w:t>ng Scheme.</w:t>
      </w:r>
    </w:p>
    <w:p w:rsidR="00DB421A" w:rsidRDefault="00DB421A" w:rsidP="00DB421A">
      <w:pPr>
        <w:pStyle w:val="Caption"/>
      </w:pPr>
      <w:bookmarkStart w:id="10" w:name="_Toc467676212"/>
      <w:r>
        <w:t xml:space="preserve">Plan </w:t>
      </w:r>
      <w:fldSimple w:instr=" SEQ Plan \* ARABIC ">
        <w:r>
          <w:rPr>
            <w:noProof/>
          </w:rPr>
          <w:t>3</w:t>
        </w:r>
      </w:fldSimple>
      <w:r>
        <w:t xml:space="preserve"> – DCP &amp; Main Catchment Areas</w:t>
      </w:r>
      <w:bookmarkEnd w:id="10"/>
    </w:p>
    <w:p w:rsidR="00DB421A" w:rsidRDefault="00DB421A" w:rsidP="00DB421A">
      <w:pPr>
        <w:pStyle w:val="BodyContent"/>
        <w:ind w:left="0"/>
      </w:pPr>
    </w:p>
    <w:p w:rsidR="003404B2" w:rsidRDefault="003404B2" w:rsidP="0049555B">
      <w:pPr>
        <w:pStyle w:val="Heading1"/>
      </w:pPr>
      <w:bookmarkStart w:id="11" w:name="_Toc467676184"/>
      <w:r>
        <w:lastRenderedPageBreak/>
        <w:t>INFRASTRUCTURE PROJECT JUSTIFICATION</w:t>
      </w:r>
      <w:bookmarkEnd w:id="11"/>
    </w:p>
    <w:p w:rsidR="003404B2" w:rsidRDefault="003404B2" w:rsidP="0049555B">
      <w:pPr>
        <w:pStyle w:val="Heading2"/>
      </w:pPr>
      <w:bookmarkStart w:id="12" w:name="_Toc467676185"/>
      <w:r>
        <w:t>Project identification</w:t>
      </w:r>
      <w:bookmarkEnd w:id="12"/>
    </w:p>
    <w:p w:rsidR="003404B2" w:rsidRDefault="003404B2" w:rsidP="003404B2">
      <w:pPr>
        <w:pStyle w:val="BodyContent"/>
      </w:pPr>
      <w:r>
        <w:t>The DCP uses a project identification system of project category and sequential number in its tables and plans.</w:t>
      </w:r>
    </w:p>
    <w:p w:rsidR="003404B2" w:rsidRDefault="003404B2" w:rsidP="003404B2">
      <w:pPr>
        <w:pStyle w:val="BodyContent"/>
      </w:pPr>
      <w:r>
        <w:t>The following types of projects are included in the DCP:</w:t>
      </w:r>
    </w:p>
    <w:p w:rsidR="003404B2" w:rsidRDefault="003404B2" w:rsidP="0049555B">
      <w:pPr>
        <w:pStyle w:val="List1bullet"/>
      </w:pPr>
      <w:r>
        <w:t>Transport projects</w:t>
      </w:r>
    </w:p>
    <w:p w:rsidR="003404B2" w:rsidRDefault="003404B2" w:rsidP="0049555B">
      <w:pPr>
        <w:pStyle w:val="List1bullet"/>
        <w:numPr>
          <w:ilvl w:val="0"/>
          <w:numId w:val="43"/>
        </w:numPr>
      </w:pPr>
      <w:r>
        <w:t>RD – Roads</w:t>
      </w:r>
    </w:p>
    <w:p w:rsidR="003404B2" w:rsidRDefault="003404B2" w:rsidP="0049555B">
      <w:pPr>
        <w:pStyle w:val="List1bullet"/>
        <w:numPr>
          <w:ilvl w:val="0"/>
          <w:numId w:val="43"/>
        </w:numPr>
      </w:pPr>
      <w:r>
        <w:t>IT – Intersections</w:t>
      </w:r>
    </w:p>
    <w:p w:rsidR="003404B2" w:rsidRDefault="003404B2" w:rsidP="0049555B">
      <w:pPr>
        <w:pStyle w:val="List1bullet"/>
        <w:numPr>
          <w:ilvl w:val="0"/>
          <w:numId w:val="43"/>
        </w:numPr>
      </w:pPr>
      <w:r>
        <w:t>BR – Bridges</w:t>
      </w:r>
    </w:p>
    <w:p w:rsidR="003404B2" w:rsidRDefault="003404B2" w:rsidP="0049555B">
      <w:pPr>
        <w:pStyle w:val="List1bullet"/>
      </w:pPr>
      <w:r>
        <w:t>Community facilities projects</w:t>
      </w:r>
    </w:p>
    <w:p w:rsidR="003404B2" w:rsidRDefault="003404B2" w:rsidP="004534E2">
      <w:pPr>
        <w:pStyle w:val="List1bullet"/>
        <w:numPr>
          <w:ilvl w:val="0"/>
          <w:numId w:val="44"/>
        </w:numPr>
      </w:pPr>
      <w:r>
        <w:t>CI – Community facilities</w:t>
      </w:r>
    </w:p>
    <w:p w:rsidR="003404B2" w:rsidRDefault="003404B2" w:rsidP="0049555B">
      <w:pPr>
        <w:pStyle w:val="List1bullet"/>
      </w:pPr>
      <w:r>
        <w:t>Active recreation projects</w:t>
      </w:r>
    </w:p>
    <w:p w:rsidR="003404B2" w:rsidRDefault="003404B2" w:rsidP="004534E2">
      <w:pPr>
        <w:pStyle w:val="List1bullet"/>
        <w:numPr>
          <w:ilvl w:val="0"/>
          <w:numId w:val="47"/>
        </w:numPr>
      </w:pPr>
      <w:r>
        <w:t>AR – Sports reserves</w:t>
      </w:r>
    </w:p>
    <w:p w:rsidR="003404B2" w:rsidRDefault="003404B2" w:rsidP="00522731">
      <w:pPr>
        <w:pStyle w:val="Heading3"/>
      </w:pPr>
      <w:r>
        <w:t>Road projects</w:t>
      </w:r>
    </w:p>
    <w:p w:rsidR="003404B2" w:rsidRDefault="003404B2" w:rsidP="004534E2">
      <w:pPr>
        <w:pStyle w:val="BodyContent"/>
        <w:ind w:left="0"/>
      </w:pPr>
      <w:r>
        <w:t>The road projects in the DCP are based on the transport network illustrated on Plan 4 and supported by the reports:</w:t>
      </w:r>
    </w:p>
    <w:p w:rsidR="003404B2" w:rsidRPr="004534E2" w:rsidRDefault="003404B2" w:rsidP="004534E2">
      <w:pPr>
        <w:pStyle w:val="List1bullet"/>
        <w:rPr>
          <w:sz w:val="16"/>
          <w:szCs w:val="16"/>
        </w:rPr>
      </w:pPr>
      <w:r w:rsidRPr="004534E2">
        <w:rPr>
          <w:rStyle w:val="BodybulletITALICS"/>
          <w:sz w:val="16"/>
          <w:szCs w:val="16"/>
        </w:rPr>
        <w:t>Rockbank PSP Transport Modelling Assessment</w:t>
      </w:r>
      <w:r w:rsidRPr="004534E2">
        <w:rPr>
          <w:sz w:val="16"/>
          <w:szCs w:val="16"/>
        </w:rPr>
        <w:t>, September 2014, (Jacobs)</w:t>
      </w:r>
    </w:p>
    <w:p w:rsidR="003404B2" w:rsidRPr="004534E2" w:rsidRDefault="003404B2" w:rsidP="004534E2">
      <w:pPr>
        <w:pStyle w:val="List1bullet"/>
        <w:rPr>
          <w:sz w:val="16"/>
          <w:szCs w:val="16"/>
        </w:rPr>
      </w:pPr>
      <w:r w:rsidRPr="004534E2">
        <w:rPr>
          <w:rStyle w:val="BodybulletITALICS"/>
          <w:sz w:val="16"/>
          <w:szCs w:val="16"/>
        </w:rPr>
        <w:t>Rockbank PSP Infrastructure Costing Assessment</w:t>
      </w:r>
      <w:r w:rsidRPr="004534E2">
        <w:rPr>
          <w:sz w:val="16"/>
          <w:szCs w:val="16"/>
        </w:rPr>
        <w:t xml:space="preserve">, June 2016 (SMEC). </w:t>
      </w:r>
    </w:p>
    <w:p w:rsidR="003404B2" w:rsidRDefault="003404B2" w:rsidP="004534E2">
      <w:pPr>
        <w:pStyle w:val="BodyContent"/>
        <w:ind w:left="0"/>
      </w:pPr>
      <w:r>
        <w:t>The road projects are for arterial road construction, less pavement and works for controlled intersections and associated works.</w:t>
      </w:r>
    </w:p>
    <w:p w:rsidR="00DB421A" w:rsidRDefault="00DB421A" w:rsidP="00DB421A">
      <w:pPr>
        <w:pStyle w:val="Caption"/>
      </w:pPr>
      <w:bookmarkStart w:id="13" w:name="_Toc467676213"/>
      <w:r>
        <w:t xml:space="preserve">Plan </w:t>
      </w:r>
      <w:fldSimple w:instr=" SEQ Plan \* ARABIC ">
        <w:r>
          <w:rPr>
            <w:noProof/>
          </w:rPr>
          <w:t>4</w:t>
        </w:r>
      </w:fldSimple>
      <w:r>
        <w:t xml:space="preserve"> – Transport Projects</w:t>
      </w:r>
      <w:bookmarkEnd w:id="13"/>
    </w:p>
    <w:p w:rsidR="003404B2" w:rsidRDefault="004534E2" w:rsidP="004534E2">
      <w:pPr>
        <w:pStyle w:val="Caption"/>
        <w:jc w:val="left"/>
      </w:pPr>
      <w:bookmarkStart w:id="14" w:name="_Toc467676217"/>
      <w:r>
        <w:t xml:space="preserve">Table </w:t>
      </w:r>
      <w:fldSimple w:instr=" SEQ Table \* ARABIC ">
        <w:r w:rsidR="007900B2">
          <w:rPr>
            <w:noProof/>
          </w:rPr>
          <w:t>2</w:t>
        </w:r>
      </w:fldSimple>
      <w:r>
        <w:t xml:space="preserve"> – </w:t>
      </w:r>
      <w:r w:rsidR="003404B2">
        <w:t>Road projects</w:t>
      </w:r>
      <w:bookmarkEnd w:id="14"/>
    </w:p>
    <w:p w:rsidR="003404B2" w:rsidRDefault="003404B2" w:rsidP="004534E2">
      <w:pPr>
        <w:pStyle w:val="BodyContent"/>
        <w:ind w:left="0"/>
      </w:pPr>
      <w:r>
        <w:t xml:space="preserve">The road projects funded by the DCP, as illustrated on Plan 4, include: </w:t>
      </w:r>
    </w:p>
    <w:tbl>
      <w:tblPr>
        <w:tblW w:w="5000" w:type="pct"/>
        <w:tblCellMar>
          <w:left w:w="0" w:type="dxa"/>
          <w:right w:w="0" w:type="dxa"/>
        </w:tblCellMar>
        <w:tblLook w:val="0000" w:firstRow="0" w:lastRow="0" w:firstColumn="0" w:lastColumn="0" w:noHBand="0" w:noVBand="0"/>
      </w:tblPr>
      <w:tblGrid>
        <w:gridCol w:w="952"/>
        <w:gridCol w:w="2564"/>
        <w:gridCol w:w="1424"/>
        <w:gridCol w:w="1424"/>
        <w:gridCol w:w="1146"/>
        <w:gridCol w:w="968"/>
      </w:tblGrid>
      <w:tr w:rsidR="003404B2" w:rsidTr="004534E2">
        <w:trPr>
          <w:trHeight w:val="797"/>
          <w:tblHeader/>
        </w:trPr>
        <w:tc>
          <w:tcPr>
            <w:tcW w:w="349" w:type="pct"/>
            <w:tcBorders>
              <w:top w:val="single" w:sz="8" w:space="0" w:color="FFFFFF"/>
              <w:left w:val="single" w:sz="8" w:space="0" w:color="FFFFFF"/>
              <w:bottom w:val="single" w:sz="8" w:space="0" w:color="FFFFFF"/>
              <w:right w:val="single" w:sz="8" w:space="0" w:color="FFFFFF"/>
            </w:tcBorders>
            <w:shd w:val="solid" w:color="000000" w:fill="auto"/>
            <w:tcMar>
              <w:top w:w="99" w:type="dxa"/>
              <w:left w:w="99" w:type="dxa"/>
              <w:bottom w:w="99" w:type="dxa"/>
              <w:right w:w="99" w:type="dxa"/>
            </w:tcMar>
          </w:tcPr>
          <w:p w:rsidR="003404B2" w:rsidRDefault="003404B2">
            <w:pPr>
              <w:pStyle w:val="TableHEADTables"/>
            </w:pPr>
            <w:r>
              <w:t>DCP project ID</w:t>
            </w:r>
          </w:p>
        </w:tc>
        <w:tc>
          <w:tcPr>
            <w:tcW w:w="2596" w:type="pct"/>
            <w:tcBorders>
              <w:top w:val="single" w:sz="8" w:space="0" w:color="FFFFFF"/>
              <w:left w:val="single" w:sz="8" w:space="0" w:color="FFFFFF"/>
              <w:bottom w:val="single" w:sz="8" w:space="0" w:color="FFFFFF"/>
              <w:right w:val="single" w:sz="8" w:space="0" w:color="FFFFFF"/>
            </w:tcBorders>
            <w:shd w:val="solid" w:color="000000" w:fill="auto"/>
            <w:tcMar>
              <w:top w:w="99" w:type="dxa"/>
              <w:left w:w="99" w:type="dxa"/>
              <w:bottom w:w="99" w:type="dxa"/>
              <w:right w:w="99" w:type="dxa"/>
            </w:tcMar>
          </w:tcPr>
          <w:p w:rsidR="003404B2" w:rsidRDefault="003404B2">
            <w:pPr>
              <w:pStyle w:val="TableHEADTables"/>
            </w:pPr>
            <w:r>
              <w:t>Project title</w:t>
            </w:r>
            <w:r>
              <w:br/>
              <w:t>Project description</w:t>
            </w:r>
          </w:p>
        </w:tc>
        <w:tc>
          <w:tcPr>
            <w:tcW w:w="527" w:type="pct"/>
            <w:tcBorders>
              <w:top w:val="single" w:sz="8" w:space="0" w:color="FFFFFF"/>
              <w:left w:val="single" w:sz="8" w:space="0" w:color="FFFFFF"/>
              <w:bottom w:val="single" w:sz="8" w:space="0" w:color="FFFFFF"/>
              <w:right w:val="single" w:sz="8" w:space="0" w:color="FFFFFF"/>
            </w:tcBorders>
            <w:shd w:val="solid" w:color="000000" w:fill="auto"/>
            <w:tcMar>
              <w:top w:w="99" w:type="dxa"/>
              <w:left w:w="99" w:type="dxa"/>
              <w:bottom w:w="99" w:type="dxa"/>
              <w:right w:w="99" w:type="dxa"/>
            </w:tcMar>
          </w:tcPr>
          <w:p w:rsidR="003404B2" w:rsidRDefault="003404B2">
            <w:pPr>
              <w:pStyle w:val="TableHEADTables"/>
            </w:pPr>
            <w:r>
              <w:t>MCA contributing</w:t>
            </w:r>
          </w:p>
        </w:tc>
        <w:tc>
          <w:tcPr>
            <w:tcW w:w="517" w:type="pct"/>
            <w:tcBorders>
              <w:top w:val="single" w:sz="8" w:space="0" w:color="FFFFFF"/>
              <w:left w:val="single" w:sz="8" w:space="0" w:color="FFFFFF"/>
              <w:bottom w:val="single" w:sz="8" w:space="0" w:color="FFFFFF"/>
              <w:right w:val="single" w:sz="8" w:space="0" w:color="FFFFFF"/>
            </w:tcBorders>
            <w:shd w:val="solid" w:color="000000" w:fill="auto"/>
            <w:tcMar>
              <w:top w:w="99" w:type="dxa"/>
              <w:left w:w="99" w:type="dxa"/>
              <w:bottom w:w="99" w:type="dxa"/>
              <w:right w:w="99" w:type="dxa"/>
            </w:tcMar>
          </w:tcPr>
          <w:p w:rsidR="003404B2" w:rsidRDefault="003404B2">
            <w:pPr>
              <w:pStyle w:val="TableHEADTables"/>
            </w:pPr>
            <w:r>
              <w:t>Hectares contributing</w:t>
            </w:r>
          </w:p>
        </w:tc>
        <w:tc>
          <w:tcPr>
            <w:tcW w:w="619" w:type="pct"/>
            <w:tcBorders>
              <w:top w:val="single" w:sz="8" w:space="0" w:color="FFFFFF"/>
              <w:left w:val="single" w:sz="8" w:space="0" w:color="FFFFFF"/>
              <w:bottom w:val="single" w:sz="8" w:space="0" w:color="FFFFFF"/>
              <w:right w:val="single" w:sz="8" w:space="0" w:color="FFFFFF"/>
            </w:tcBorders>
            <w:shd w:val="solid" w:color="000000" w:fill="auto"/>
            <w:tcMar>
              <w:top w:w="99" w:type="dxa"/>
              <w:left w:w="99" w:type="dxa"/>
              <w:bottom w:w="99" w:type="dxa"/>
              <w:right w:w="99" w:type="dxa"/>
            </w:tcMar>
          </w:tcPr>
          <w:p w:rsidR="003404B2" w:rsidRDefault="003404B2">
            <w:pPr>
              <w:pStyle w:val="TableHEADTables"/>
            </w:pPr>
            <w:r>
              <w:t>Indicative provision trigger</w:t>
            </w:r>
          </w:p>
        </w:tc>
        <w:tc>
          <w:tcPr>
            <w:tcW w:w="392" w:type="pct"/>
            <w:tcBorders>
              <w:top w:val="single" w:sz="8" w:space="0" w:color="FFFFFF"/>
              <w:left w:val="single" w:sz="8" w:space="0" w:color="FFFFFF"/>
              <w:bottom w:val="single" w:sz="8" w:space="0" w:color="FFFFFF"/>
              <w:right w:val="single" w:sz="8" w:space="0" w:color="FFFFFF"/>
            </w:tcBorders>
            <w:shd w:val="solid" w:color="000000" w:fill="auto"/>
            <w:tcMar>
              <w:top w:w="99" w:type="dxa"/>
              <w:left w:w="99" w:type="dxa"/>
              <w:bottom w:w="99" w:type="dxa"/>
              <w:right w:w="99" w:type="dxa"/>
            </w:tcMar>
          </w:tcPr>
          <w:p w:rsidR="003404B2" w:rsidRDefault="003404B2">
            <w:pPr>
              <w:pStyle w:val="TableHEADTables"/>
            </w:pPr>
            <w:r>
              <w:t>Suitable as works in kind?</w:t>
            </w:r>
          </w:p>
        </w:tc>
      </w:tr>
      <w:tr w:rsidR="003404B2" w:rsidTr="004534E2">
        <w:trPr>
          <w:trHeight w:val="60"/>
        </w:trPr>
        <w:tc>
          <w:tcPr>
            <w:tcW w:w="349"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RD01B</w:t>
            </w:r>
          </w:p>
        </w:tc>
        <w:tc>
          <w:tcPr>
            <w:tcW w:w="2596"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pPr>
            <w:r>
              <w:rPr>
                <w:b/>
                <w:bCs/>
              </w:rPr>
              <w:t>Greigs Road: Outer Metropolitan Ring transport corridor (OMR) to Troups Road North (IT01</w:t>
            </w:r>
            <w:proofErr w:type="gramStart"/>
            <w:r>
              <w:rPr>
                <w:b/>
                <w:bCs/>
              </w:rPr>
              <w:t>)</w:t>
            </w:r>
            <w:proofErr w:type="gramEnd"/>
            <w:r>
              <w:br/>
              <w:t>Construction of a 2-lane arterial road (interim standard) within the existing Greigs Road reserve.</w:t>
            </w:r>
          </w:p>
        </w:tc>
        <w:tc>
          <w:tcPr>
            <w:tcW w:w="527"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Residential &amp; Employment</w:t>
            </w:r>
          </w:p>
        </w:tc>
        <w:tc>
          <w:tcPr>
            <w:tcW w:w="517"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463.13</w:t>
            </w:r>
          </w:p>
        </w:tc>
        <w:tc>
          <w:tcPr>
            <w:tcW w:w="619"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As required by traffic/access demand</w:t>
            </w:r>
          </w:p>
        </w:tc>
        <w:tc>
          <w:tcPr>
            <w:tcW w:w="392"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Yes</w:t>
            </w:r>
          </w:p>
        </w:tc>
      </w:tr>
      <w:tr w:rsidR="003404B2" w:rsidTr="004534E2">
        <w:trPr>
          <w:trHeight w:val="60"/>
        </w:trPr>
        <w:tc>
          <w:tcPr>
            <w:tcW w:w="349"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RD01C</w:t>
            </w:r>
          </w:p>
        </w:tc>
        <w:tc>
          <w:tcPr>
            <w:tcW w:w="2596"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pPr>
            <w:r>
              <w:rPr>
                <w:b/>
                <w:bCs/>
              </w:rPr>
              <w:t>Greigs Road: Outer Metropolitan Ring transport corridor (OMR) to Troups Road North (IT01</w:t>
            </w:r>
            <w:proofErr w:type="gramStart"/>
            <w:r>
              <w:rPr>
                <w:b/>
                <w:bCs/>
              </w:rPr>
              <w:t>)</w:t>
            </w:r>
            <w:proofErr w:type="gramEnd"/>
            <w:r>
              <w:br/>
              <w:t>Payment of habitat compensation to facilitate RD01B.</w:t>
            </w:r>
          </w:p>
        </w:tc>
        <w:tc>
          <w:tcPr>
            <w:tcW w:w="527"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Residential &amp; Employment</w:t>
            </w:r>
          </w:p>
        </w:tc>
        <w:tc>
          <w:tcPr>
            <w:tcW w:w="517"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463.13</w:t>
            </w:r>
          </w:p>
        </w:tc>
        <w:tc>
          <w:tcPr>
            <w:tcW w:w="619"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As required by traffic/access demand</w:t>
            </w:r>
          </w:p>
        </w:tc>
        <w:tc>
          <w:tcPr>
            <w:tcW w:w="392"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No</w:t>
            </w:r>
          </w:p>
        </w:tc>
      </w:tr>
      <w:tr w:rsidR="003404B2" w:rsidTr="004534E2">
        <w:trPr>
          <w:trHeight w:val="60"/>
        </w:trPr>
        <w:tc>
          <w:tcPr>
            <w:tcW w:w="349"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RD02B</w:t>
            </w:r>
          </w:p>
        </w:tc>
        <w:tc>
          <w:tcPr>
            <w:tcW w:w="2596"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pPr>
            <w:r>
              <w:rPr>
                <w:b/>
                <w:bCs/>
              </w:rPr>
              <w:t>Greigs Road: 'RB North South Road 1' (IT02) to 'RB North South Road 2' (IT03</w:t>
            </w:r>
            <w:proofErr w:type="gramStart"/>
            <w:r>
              <w:rPr>
                <w:b/>
                <w:bCs/>
              </w:rPr>
              <w:t>)</w:t>
            </w:r>
            <w:proofErr w:type="gramEnd"/>
            <w:r>
              <w:br/>
            </w:r>
            <w:r>
              <w:lastRenderedPageBreak/>
              <w:t>Construction of a 2-lane arterial road (interim standard) within the existing Greigs Road reserve.</w:t>
            </w:r>
          </w:p>
        </w:tc>
        <w:tc>
          <w:tcPr>
            <w:tcW w:w="527"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lastRenderedPageBreak/>
              <w:t>Residential &amp; Employment</w:t>
            </w:r>
          </w:p>
        </w:tc>
        <w:tc>
          <w:tcPr>
            <w:tcW w:w="517"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463.13</w:t>
            </w:r>
          </w:p>
        </w:tc>
        <w:tc>
          <w:tcPr>
            <w:tcW w:w="619"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 xml:space="preserve">As required by </w:t>
            </w:r>
            <w:r>
              <w:lastRenderedPageBreak/>
              <w:t>traffic/access demand</w:t>
            </w:r>
          </w:p>
        </w:tc>
        <w:tc>
          <w:tcPr>
            <w:tcW w:w="392"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lastRenderedPageBreak/>
              <w:t>Yes</w:t>
            </w:r>
          </w:p>
        </w:tc>
      </w:tr>
      <w:tr w:rsidR="003404B2" w:rsidTr="004534E2">
        <w:trPr>
          <w:trHeight w:val="60"/>
        </w:trPr>
        <w:tc>
          <w:tcPr>
            <w:tcW w:w="349"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RD02C</w:t>
            </w:r>
          </w:p>
        </w:tc>
        <w:tc>
          <w:tcPr>
            <w:tcW w:w="2596"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pPr>
            <w:r>
              <w:rPr>
                <w:b/>
                <w:bCs/>
              </w:rPr>
              <w:t>Greigs Road: 'RB North South Road 1' (IT02) to 'RB North South Road 2' (IT03</w:t>
            </w:r>
            <w:proofErr w:type="gramStart"/>
            <w:r>
              <w:rPr>
                <w:b/>
                <w:bCs/>
              </w:rPr>
              <w:t>)</w:t>
            </w:r>
            <w:proofErr w:type="gramEnd"/>
            <w:r>
              <w:br/>
              <w:t>Payment of habitat compensation to facilitate RD02B.</w:t>
            </w:r>
          </w:p>
        </w:tc>
        <w:tc>
          <w:tcPr>
            <w:tcW w:w="527"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Residential &amp; Employment</w:t>
            </w:r>
          </w:p>
        </w:tc>
        <w:tc>
          <w:tcPr>
            <w:tcW w:w="517"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463.13</w:t>
            </w:r>
          </w:p>
        </w:tc>
        <w:tc>
          <w:tcPr>
            <w:tcW w:w="619"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As required by traffic/access demand</w:t>
            </w:r>
          </w:p>
        </w:tc>
        <w:tc>
          <w:tcPr>
            <w:tcW w:w="392"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No</w:t>
            </w:r>
          </w:p>
        </w:tc>
      </w:tr>
      <w:tr w:rsidR="003404B2" w:rsidTr="004534E2">
        <w:trPr>
          <w:trHeight w:val="60"/>
        </w:trPr>
        <w:tc>
          <w:tcPr>
            <w:tcW w:w="349"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RD03A</w:t>
            </w:r>
          </w:p>
        </w:tc>
        <w:tc>
          <w:tcPr>
            <w:tcW w:w="2596"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pPr>
            <w:r>
              <w:rPr>
                <w:b/>
                <w:bCs/>
              </w:rPr>
              <w:t>Rockbank Road: Greigs Road (IT04) to Toolern Road (IT05</w:t>
            </w:r>
            <w:proofErr w:type="gramStart"/>
            <w:r>
              <w:rPr>
                <w:b/>
                <w:bCs/>
              </w:rPr>
              <w:t>)</w:t>
            </w:r>
            <w:proofErr w:type="gramEnd"/>
            <w:r>
              <w:br/>
              <w:t>Purchase of land to facilitate RD03B within a 41-metre road reserve (ultimate standard).</w:t>
            </w:r>
          </w:p>
        </w:tc>
        <w:tc>
          <w:tcPr>
            <w:tcW w:w="527"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Residential &amp; Employment</w:t>
            </w:r>
          </w:p>
        </w:tc>
        <w:tc>
          <w:tcPr>
            <w:tcW w:w="517"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463.13</w:t>
            </w:r>
          </w:p>
        </w:tc>
        <w:tc>
          <w:tcPr>
            <w:tcW w:w="619"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As required by traffic/access demand</w:t>
            </w:r>
          </w:p>
        </w:tc>
        <w:tc>
          <w:tcPr>
            <w:tcW w:w="392"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Yes</w:t>
            </w:r>
          </w:p>
        </w:tc>
      </w:tr>
      <w:tr w:rsidR="003404B2" w:rsidTr="004534E2">
        <w:trPr>
          <w:trHeight w:val="60"/>
        </w:trPr>
        <w:tc>
          <w:tcPr>
            <w:tcW w:w="349"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RD03B</w:t>
            </w:r>
          </w:p>
        </w:tc>
        <w:tc>
          <w:tcPr>
            <w:tcW w:w="2596"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pPr>
            <w:r>
              <w:rPr>
                <w:b/>
                <w:bCs/>
              </w:rPr>
              <w:t>Rockbank Road: Greigs Road (IT04) to Toolern Road (IT05</w:t>
            </w:r>
            <w:proofErr w:type="gramStart"/>
            <w:r>
              <w:rPr>
                <w:b/>
                <w:bCs/>
              </w:rPr>
              <w:t>)</w:t>
            </w:r>
            <w:proofErr w:type="gramEnd"/>
            <w:r>
              <w:br/>
              <w:t>Construction of a 2-lane arterial road (interim standard) to cater for the new Rockbank Road.</w:t>
            </w:r>
          </w:p>
        </w:tc>
        <w:tc>
          <w:tcPr>
            <w:tcW w:w="527"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Residential &amp; Employment</w:t>
            </w:r>
          </w:p>
        </w:tc>
        <w:tc>
          <w:tcPr>
            <w:tcW w:w="517"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463.13</w:t>
            </w:r>
          </w:p>
        </w:tc>
        <w:tc>
          <w:tcPr>
            <w:tcW w:w="619"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As required by traffic/access demand</w:t>
            </w:r>
          </w:p>
        </w:tc>
        <w:tc>
          <w:tcPr>
            <w:tcW w:w="392"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Yes</w:t>
            </w:r>
          </w:p>
        </w:tc>
      </w:tr>
      <w:tr w:rsidR="003404B2" w:rsidTr="004534E2">
        <w:trPr>
          <w:trHeight w:val="60"/>
        </w:trPr>
        <w:tc>
          <w:tcPr>
            <w:tcW w:w="349"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RD04A</w:t>
            </w:r>
          </w:p>
        </w:tc>
        <w:tc>
          <w:tcPr>
            <w:tcW w:w="2596"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pPr>
            <w:r>
              <w:t>T</w:t>
            </w:r>
            <w:r>
              <w:rPr>
                <w:b/>
                <w:bCs/>
              </w:rPr>
              <w:t>oolern Road: 'RB North South Road 3' (IT06) to Paynes Road (IT07</w:t>
            </w:r>
            <w:proofErr w:type="gramStart"/>
            <w:r>
              <w:rPr>
                <w:b/>
                <w:bCs/>
              </w:rPr>
              <w:t>)</w:t>
            </w:r>
            <w:proofErr w:type="gramEnd"/>
            <w:r>
              <w:br/>
              <w:t>Purchase of land to facilitate RD04B within a 34-metre road reserve (ultimate standard).</w:t>
            </w:r>
          </w:p>
        </w:tc>
        <w:tc>
          <w:tcPr>
            <w:tcW w:w="527"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Residential &amp; Employment</w:t>
            </w:r>
          </w:p>
        </w:tc>
        <w:tc>
          <w:tcPr>
            <w:tcW w:w="517"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463.13</w:t>
            </w:r>
          </w:p>
        </w:tc>
        <w:tc>
          <w:tcPr>
            <w:tcW w:w="619"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As required by traffic/access demand</w:t>
            </w:r>
          </w:p>
        </w:tc>
        <w:tc>
          <w:tcPr>
            <w:tcW w:w="392"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Yes</w:t>
            </w:r>
          </w:p>
        </w:tc>
      </w:tr>
      <w:tr w:rsidR="003404B2" w:rsidTr="004534E2">
        <w:trPr>
          <w:trHeight w:val="60"/>
        </w:trPr>
        <w:tc>
          <w:tcPr>
            <w:tcW w:w="349"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RD04B</w:t>
            </w:r>
          </w:p>
        </w:tc>
        <w:tc>
          <w:tcPr>
            <w:tcW w:w="2596"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pPr>
            <w:r>
              <w:rPr>
                <w:b/>
                <w:bCs/>
              </w:rPr>
              <w:t>Toolern Road: 'RB North South Road 3' (IT06) to Paynes Road (IT07</w:t>
            </w:r>
            <w:proofErr w:type="gramStart"/>
            <w:r>
              <w:rPr>
                <w:b/>
                <w:bCs/>
              </w:rPr>
              <w:t>)</w:t>
            </w:r>
            <w:proofErr w:type="gramEnd"/>
            <w:r>
              <w:br/>
              <w:t>Construction of a 2-lane arterial road (interim standard) to cater for the new Toolern Road.</w:t>
            </w:r>
          </w:p>
        </w:tc>
        <w:tc>
          <w:tcPr>
            <w:tcW w:w="527"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Residential &amp; Employment</w:t>
            </w:r>
          </w:p>
        </w:tc>
        <w:tc>
          <w:tcPr>
            <w:tcW w:w="517"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463.13</w:t>
            </w:r>
          </w:p>
        </w:tc>
        <w:tc>
          <w:tcPr>
            <w:tcW w:w="619"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As required by traffic/access demand</w:t>
            </w:r>
          </w:p>
        </w:tc>
        <w:tc>
          <w:tcPr>
            <w:tcW w:w="392"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Yes</w:t>
            </w:r>
          </w:p>
        </w:tc>
      </w:tr>
      <w:tr w:rsidR="003404B2" w:rsidTr="004534E2">
        <w:trPr>
          <w:trHeight w:val="60"/>
        </w:trPr>
        <w:tc>
          <w:tcPr>
            <w:tcW w:w="349"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RD05A</w:t>
            </w:r>
          </w:p>
        </w:tc>
        <w:tc>
          <w:tcPr>
            <w:tcW w:w="2596"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pPr>
            <w:r>
              <w:rPr>
                <w:b/>
                <w:bCs/>
              </w:rPr>
              <w:t>Paynes Road: Western Freeway Flyover (BR03) to Murray Road (IT11</w:t>
            </w:r>
            <w:proofErr w:type="gramStart"/>
            <w:r>
              <w:rPr>
                <w:b/>
                <w:bCs/>
              </w:rPr>
              <w:t>)</w:t>
            </w:r>
            <w:proofErr w:type="gramEnd"/>
            <w:r>
              <w:br/>
              <w:t xml:space="preserve">Purchase of land to facilitate RD05B within a 34-metre road reserve (ultimate standard), </w:t>
            </w:r>
            <w:r>
              <w:br/>
              <w:t>widening Paynes Road to the east.</w:t>
            </w:r>
          </w:p>
        </w:tc>
        <w:tc>
          <w:tcPr>
            <w:tcW w:w="527"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Residential &amp; Employment</w:t>
            </w:r>
          </w:p>
        </w:tc>
        <w:tc>
          <w:tcPr>
            <w:tcW w:w="517"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463.13</w:t>
            </w:r>
          </w:p>
        </w:tc>
        <w:tc>
          <w:tcPr>
            <w:tcW w:w="619"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As required by traffic/access demand</w:t>
            </w:r>
          </w:p>
        </w:tc>
        <w:tc>
          <w:tcPr>
            <w:tcW w:w="392"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Yes</w:t>
            </w:r>
          </w:p>
        </w:tc>
      </w:tr>
      <w:tr w:rsidR="003404B2" w:rsidTr="004534E2">
        <w:trPr>
          <w:trHeight w:val="60"/>
        </w:trPr>
        <w:tc>
          <w:tcPr>
            <w:tcW w:w="349"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RD05B</w:t>
            </w:r>
          </w:p>
        </w:tc>
        <w:tc>
          <w:tcPr>
            <w:tcW w:w="2596"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pPr>
            <w:r>
              <w:rPr>
                <w:b/>
                <w:bCs/>
              </w:rPr>
              <w:t>Paynes Road: Western Freeway Flyover (BR03) to Murray Road (IT11</w:t>
            </w:r>
            <w:proofErr w:type="gramStart"/>
            <w:r>
              <w:rPr>
                <w:b/>
                <w:bCs/>
              </w:rPr>
              <w:t>)</w:t>
            </w:r>
            <w:proofErr w:type="gramEnd"/>
            <w:r>
              <w:br/>
              <w:t>Construction of a 2-lane arterial road (interim standard) within the Paynes Road reserve.</w:t>
            </w:r>
          </w:p>
        </w:tc>
        <w:tc>
          <w:tcPr>
            <w:tcW w:w="527"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Residential &amp; Employment</w:t>
            </w:r>
          </w:p>
        </w:tc>
        <w:tc>
          <w:tcPr>
            <w:tcW w:w="517"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463.13</w:t>
            </w:r>
          </w:p>
        </w:tc>
        <w:tc>
          <w:tcPr>
            <w:tcW w:w="619"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As required by traffic/access demand</w:t>
            </w:r>
          </w:p>
        </w:tc>
        <w:tc>
          <w:tcPr>
            <w:tcW w:w="392"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Yes</w:t>
            </w:r>
          </w:p>
        </w:tc>
      </w:tr>
      <w:tr w:rsidR="003404B2" w:rsidTr="004534E2">
        <w:trPr>
          <w:trHeight w:val="60"/>
        </w:trPr>
        <w:tc>
          <w:tcPr>
            <w:tcW w:w="349"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RD05C</w:t>
            </w:r>
          </w:p>
        </w:tc>
        <w:tc>
          <w:tcPr>
            <w:tcW w:w="2596"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pPr>
            <w:r>
              <w:rPr>
                <w:b/>
                <w:bCs/>
              </w:rPr>
              <w:t>Paynes Road: Western Freeway Flyover (BR03) to Murray Road (IT11</w:t>
            </w:r>
            <w:proofErr w:type="gramStart"/>
            <w:r>
              <w:rPr>
                <w:b/>
                <w:bCs/>
              </w:rPr>
              <w:t>)</w:t>
            </w:r>
            <w:proofErr w:type="gramEnd"/>
            <w:r>
              <w:br/>
              <w:t>Payment of habitat compensation to facilitate RD05B.</w:t>
            </w:r>
          </w:p>
        </w:tc>
        <w:tc>
          <w:tcPr>
            <w:tcW w:w="527"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Residential &amp; Employment</w:t>
            </w:r>
          </w:p>
        </w:tc>
        <w:tc>
          <w:tcPr>
            <w:tcW w:w="517"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463.13</w:t>
            </w:r>
          </w:p>
        </w:tc>
        <w:tc>
          <w:tcPr>
            <w:tcW w:w="619"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As required by traffic/access demand</w:t>
            </w:r>
          </w:p>
        </w:tc>
        <w:tc>
          <w:tcPr>
            <w:tcW w:w="392"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No</w:t>
            </w:r>
          </w:p>
        </w:tc>
      </w:tr>
      <w:tr w:rsidR="003404B2" w:rsidTr="004534E2">
        <w:trPr>
          <w:trHeight w:val="60"/>
        </w:trPr>
        <w:tc>
          <w:tcPr>
            <w:tcW w:w="349"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lastRenderedPageBreak/>
              <w:t>RD06A</w:t>
            </w:r>
          </w:p>
        </w:tc>
        <w:tc>
          <w:tcPr>
            <w:tcW w:w="2596"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pPr>
            <w:r>
              <w:rPr>
                <w:b/>
                <w:bCs/>
              </w:rPr>
              <w:t>Paynes Road: Alfred Road (IT12) to 'RB East West Road 1' (IT13</w:t>
            </w:r>
            <w:proofErr w:type="gramStart"/>
            <w:r>
              <w:rPr>
                <w:b/>
                <w:bCs/>
              </w:rPr>
              <w:t>)</w:t>
            </w:r>
            <w:proofErr w:type="gramEnd"/>
            <w:r>
              <w:br/>
              <w:t xml:space="preserve">Purchase of land to facilitate RD06B within a 34-metre road reserve (ultimate standard), </w:t>
            </w:r>
            <w:r>
              <w:br/>
              <w:t>widening Paynes Road to the east.</w:t>
            </w:r>
          </w:p>
        </w:tc>
        <w:tc>
          <w:tcPr>
            <w:tcW w:w="527"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Residential &amp; Employment</w:t>
            </w:r>
          </w:p>
        </w:tc>
        <w:tc>
          <w:tcPr>
            <w:tcW w:w="517"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463.13</w:t>
            </w:r>
          </w:p>
        </w:tc>
        <w:tc>
          <w:tcPr>
            <w:tcW w:w="619"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As required by traffic/access demand</w:t>
            </w:r>
          </w:p>
        </w:tc>
        <w:tc>
          <w:tcPr>
            <w:tcW w:w="392"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Yes</w:t>
            </w:r>
          </w:p>
        </w:tc>
      </w:tr>
      <w:tr w:rsidR="003404B2" w:rsidTr="004534E2">
        <w:trPr>
          <w:trHeight w:val="60"/>
        </w:trPr>
        <w:tc>
          <w:tcPr>
            <w:tcW w:w="349"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RD06B</w:t>
            </w:r>
          </w:p>
        </w:tc>
        <w:tc>
          <w:tcPr>
            <w:tcW w:w="2596"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pPr>
            <w:r>
              <w:rPr>
                <w:b/>
                <w:bCs/>
              </w:rPr>
              <w:t>Paynes Road: Alfred Road (IT12) to 'RB East West Road 1' (IT13</w:t>
            </w:r>
            <w:proofErr w:type="gramStart"/>
            <w:r>
              <w:rPr>
                <w:b/>
                <w:bCs/>
              </w:rPr>
              <w:t>)</w:t>
            </w:r>
            <w:proofErr w:type="gramEnd"/>
            <w:r>
              <w:br/>
              <w:t>Construction of a 2-lane arterial road (interim standard) within the Paynes Road reserve.</w:t>
            </w:r>
          </w:p>
        </w:tc>
        <w:tc>
          <w:tcPr>
            <w:tcW w:w="527"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Residential &amp; Employment</w:t>
            </w:r>
          </w:p>
        </w:tc>
        <w:tc>
          <w:tcPr>
            <w:tcW w:w="517"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463.13</w:t>
            </w:r>
          </w:p>
        </w:tc>
        <w:tc>
          <w:tcPr>
            <w:tcW w:w="619"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As required by traffic/access demand</w:t>
            </w:r>
          </w:p>
        </w:tc>
        <w:tc>
          <w:tcPr>
            <w:tcW w:w="392"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Yes</w:t>
            </w:r>
          </w:p>
        </w:tc>
      </w:tr>
      <w:tr w:rsidR="003404B2" w:rsidTr="004534E2">
        <w:trPr>
          <w:trHeight w:val="60"/>
        </w:trPr>
        <w:tc>
          <w:tcPr>
            <w:tcW w:w="349"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RD06C</w:t>
            </w:r>
          </w:p>
        </w:tc>
        <w:tc>
          <w:tcPr>
            <w:tcW w:w="2596"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pPr>
            <w:r>
              <w:rPr>
                <w:b/>
                <w:bCs/>
              </w:rPr>
              <w:t>Paynes Road: Alfred Road (IT12) to 'RB East West Road 1' (IT13</w:t>
            </w:r>
            <w:proofErr w:type="gramStart"/>
            <w:r>
              <w:rPr>
                <w:b/>
                <w:bCs/>
              </w:rPr>
              <w:t>)</w:t>
            </w:r>
            <w:proofErr w:type="gramEnd"/>
            <w:r>
              <w:br/>
              <w:t>Payment of habitat compensation to facilitate RD06B.</w:t>
            </w:r>
          </w:p>
        </w:tc>
        <w:tc>
          <w:tcPr>
            <w:tcW w:w="527"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Residential &amp; Employment</w:t>
            </w:r>
          </w:p>
        </w:tc>
        <w:tc>
          <w:tcPr>
            <w:tcW w:w="517"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463.13</w:t>
            </w:r>
          </w:p>
        </w:tc>
        <w:tc>
          <w:tcPr>
            <w:tcW w:w="619"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As required by traffic/access demand</w:t>
            </w:r>
          </w:p>
        </w:tc>
        <w:tc>
          <w:tcPr>
            <w:tcW w:w="392"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No</w:t>
            </w:r>
          </w:p>
        </w:tc>
      </w:tr>
      <w:tr w:rsidR="003404B2" w:rsidTr="004534E2">
        <w:trPr>
          <w:trHeight w:val="60"/>
        </w:trPr>
        <w:tc>
          <w:tcPr>
            <w:tcW w:w="349"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RD07A</w:t>
            </w:r>
          </w:p>
        </w:tc>
        <w:tc>
          <w:tcPr>
            <w:tcW w:w="2596"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pPr>
            <w:r>
              <w:rPr>
                <w:b/>
                <w:bCs/>
              </w:rPr>
              <w:t>Paynes Road: 'RB East West Road 1' (IT13) to Toolern Road (IT07</w:t>
            </w:r>
            <w:proofErr w:type="gramStart"/>
            <w:r>
              <w:rPr>
                <w:b/>
                <w:bCs/>
              </w:rPr>
              <w:t>)</w:t>
            </w:r>
            <w:proofErr w:type="gramEnd"/>
            <w:r>
              <w:rPr>
                <w:b/>
                <w:bCs/>
              </w:rPr>
              <w:br/>
            </w:r>
            <w:r>
              <w:t>Purchase of land to facilitate RD07B within a 34-metre road reserve (ultimate standard), widening Paynes Road to the east.</w:t>
            </w:r>
          </w:p>
        </w:tc>
        <w:tc>
          <w:tcPr>
            <w:tcW w:w="527"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Residential &amp; Employment</w:t>
            </w:r>
          </w:p>
        </w:tc>
        <w:tc>
          <w:tcPr>
            <w:tcW w:w="517"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463.13</w:t>
            </w:r>
          </w:p>
        </w:tc>
        <w:tc>
          <w:tcPr>
            <w:tcW w:w="619"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As required by traffic/access demand</w:t>
            </w:r>
          </w:p>
        </w:tc>
        <w:tc>
          <w:tcPr>
            <w:tcW w:w="392"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Yes</w:t>
            </w:r>
          </w:p>
        </w:tc>
      </w:tr>
      <w:tr w:rsidR="003404B2" w:rsidTr="004534E2">
        <w:trPr>
          <w:trHeight w:val="60"/>
        </w:trPr>
        <w:tc>
          <w:tcPr>
            <w:tcW w:w="349"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RD07B</w:t>
            </w:r>
          </w:p>
        </w:tc>
        <w:tc>
          <w:tcPr>
            <w:tcW w:w="2596"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pPr>
            <w:r>
              <w:rPr>
                <w:rStyle w:val="TableBodyBOLD"/>
              </w:rPr>
              <w:t>Paynes Road: 'RB East West Road 1' (IT13) to Toolern Road (IT07</w:t>
            </w:r>
            <w:proofErr w:type="gramStart"/>
            <w:r>
              <w:rPr>
                <w:rStyle w:val="TableBodyBOLD"/>
              </w:rPr>
              <w:t>)</w:t>
            </w:r>
            <w:proofErr w:type="gramEnd"/>
            <w:r>
              <w:rPr>
                <w:rStyle w:val="TableBodyBOLD"/>
              </w:rPr>
              <w:br/>
            </w:r>
            <w:r>
              <w:t>Construction of a 2-lane arterial road (interim standard) within the Paynes Road reserve.</w:t>
            </w:r>
          </w:p>
        </w:tc>
        <w:tc>
          <w:tcPr>
            <w:tcW w:w="527"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Residential &amp; Employment</w:t>
            </w:r>
          </w:p>
        </w:tc>
        <w:tc>
          <w:tcPr>
            <w:tcW w:w="517"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463.13</w:t>
            </w:r>
          </w:p>
        </w:tc>
        <w:tc>
          <w:tcPr>
            <w:tcW w:w="619"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As required by traffic/access demand</w:t>
            </w:r>
          </w:p>
        </w:tc>
        <w:tc>
          <w:tcPr>
            <w:tcW w:w="392"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Yes</w:t>
            </w:r>
          </w:p>
        </w:tc>
      </w:tr>
      <w:tr w:rsidR="003404B2" w:rsidTr="004534E2">
        <w:trPr>
          <w:trHeight w:val="60"/>
        </w:trPr>
        <w:tc>
          <w:tcPr>
            <w:tcW w:w="349"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RD07C</w:t>
            </w:r>
          </w:p>
        </w:tc>
        <w:tc>
          <w:tcPr>
            <w:tcW w:w="2596"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pPr>
            <w:r>
              <w:rPr>
                <w:rStyle w:val="TableBodyBOLD"/>
              </w:rPr>
              <w:t>Paynes Road: 'RB East West Road 1' (IT13) to Toolern Road (IT07</w:t>
            </w:r>
            <w:proofErr w:type="gramStart"/>
            <w:r>
              <w:rPr>
                <w:rStyle w:val="TableBodyBOLD"/>
              </w:rPr>
              <w:t>)</w:t>
            </w:r>
            <w:proofErr w:type="gramEnd"/>
            <w:r>
              <w:rPr>
                <w:rStyle w:val="TableBodyBOLD"/>
              </w:rPr>
              <w:br/>
            </w:r>
            <w:r>
              <w:t>Payment of habitat compensation to facilitate RD07B.</w:t>
            </w:r>
          </w:p>
        </w:tc>
        <w:tc>
          <w:tcPr>
            <w:tcW w:w="527"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Residential &amp; Employment</w:t>
            </w:r>
          </w:p>
        </w:tc>
        <w:tc>
          <w:tcPr>
            <w:tcW w:w="517"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463.13</w:t>
            </w:r>
          </w:p>
        </w:tc>
        <w:tc>
          <w:tcPr>
            <w:tcW w:w="619"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As required by traffic/access demand</w:t>
            </w:r>
          </w:p>
        </w:tc>
        <w:tc>
          <w:tcPr>
            <w:tcW w:w="392"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No</w:t>
            </w:r>
          </w:p>
        </w:tc>
      </w:tr>
      <w:tr w:rsidR="003404B2" w:rsidTr="004534E2">
        <w:trPr>
          <w:trHeight w:val="60"/>
        </w:trPr>
        <w:tc>
          <w:tcPr>
            <w:tcW w:w="349"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RD08A</w:t>
            </w:r>
          </w:p>
        </w:tc>
        <w:tc>
          <w:tcPr>
            <w:tcW w:w="2596"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pPr>
            <w:r>
              <w:rPr>
                <w:rStyle w:val="TableBodyBOLD"/>
              </w:rPr>
              <w:t>Paynes Road: Toolern Road (IT07) to 'RB East West Road 3' (IT14</w:t>
            </w:r>
            <w:proofErr w:type="gramStart"/>
            <w:r>
              <w:rPr>
                <w:rStyle w:val="TableBodyBOLD"/>
              </w:rPr>
              <w:t>)</w:t>
            </w:r>
            <w:proofErr w:type="gramEnd"/>
            <w:r>
              <w:rPr>
                <w:rStyle w:val="TableBodyBOLD"/>
              </w:rPr>
              <w:br/>
            </w:r>
            <w:r>
              <w:t>Purchase of land to facilitate RD08B within a 34-metre road reserve (ultimate standard), widening Paynes Road to the east.</w:t>
            </w:r>
          </w:p>
        </w:tc>
        <w:tc>
          <w:tcPr>
            <w:tcW w:w="527"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Residential &amp; Employment</w:t>
            </w:r>
          </w:p>
        </w:tc>
        <w:tc>
          <w:tcPr>
            <w:tcW w:w="517"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463.13</w:t>
            </w:r>
          </w:p>
        </w:tc>
        <w:tc>
          <w:tcPr>
            <w:tcW w:w="619"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As required by traffic/access demand</w:t>
            </w:r>
          </w:p>
        </w:tc>
        <w:tc>
          <w:tcPr>
            <w:tcW w:w="392"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Yes</w:t>
            </w:r>
          </w:p>
        </w:tc>
      </w:tr>
      <w:tr w:rsidR="003404B2" w:rsidTr="004534E2">
        <w:trPr>
          <w:trHeight w:val="60"/>
        </w:trPr>
        <w:tc>
          <w:tcPr>
            <w:tcW w:w="349"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RD08B</w:t>
            </w:r>
          </w:p>
        </w:tc>
        <w:tc>
          <w:tcPr>
            <w:tcW w:w="2596"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pPr>
            <w:r>
              <w:rPr>
                <w:rStyle w:val="TableBodyBOLD"/>
              </w:rPr>
              <w:t>Paynes Road: Toolern Road (IT07) to 'RB East West Road 3' (IT14</w:t>
            </w:r>
            <w:proofErr w:type="gramStart"/>
            <w:r>
              <w:rPr>
                <w:rStyle w:val="TableBodyBOLD"/>
              </w:rPr>
              <w:t>)</w:t>
            </w:r>
            <w:proofErr w:type="gramEnd"/>
            <w:r>
              <w:rPr>
                <w:rStyle w:val="TableBodyBOLD"/>
              </w:rPr>
              <w:br/>
            </w:r>
            <w:r>
              <w:t>Construction of a 2-lane arterial road (interim standard) within the Paynes Road reserve.</w:t>
            </w:r>
          </w:p>
        </w:tc>
        <w:tc>
          <w:tcPr>
            <w:tcW w:w="527"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Residential &amp; Employment</w:t>
            </w:r>
          </w:p>
        </w:tc>
        <w:tc>
          <w:tcPr>
            <w:tcW w:w="517"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463.13</w:t>
            </w:r>
          </w:p>
        </w:tc>
        <w:tc>
          <w:tcPr>
            <w:tcW w:w="619"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As required by traffic/access demand</w:t>
            </w:r>
          </w:p>
        </w:tc>
        <w:tc>
          <w:tcPr>
            <w:tcW w:w="392"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Yes</w:t>
            </w:r>
          </w:p>
        </w:tc>
      </w:tr>
      <w:tr w:rsidR="003404B2" w:rsidTr="004534E2">
        <w:trPr>
          <w:trHeight w:val="60"/>
        </w:trPr>
        <w:tc>
          <w:tcPr>
            <w:tcW w:w="349"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lastRenderedPageBreak/>
              <w:t>RD08C</w:t>
            </w:r>
          </w:p>
        </w:tc>
        <w:tc>
          <w:tcPr>
            <w:tcW w:w="2596"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pPr>
            <w:r>
              <w:rPr>
                <w:rStyle w:val="TableBodyBOLD"/>
              </w:rPr>
              <w:t>Paynes Road: Toolern Road (IT07) to 'RB East West Road 3' (IT14</w:t>
            </w:r>
            <w:proofErr w:type="gramStart"/>
            <w:r>
              <w:rPr>
                <w:rStyle w:val="TableBodyBOLD"/>
              </w:rPr>
              <w:t>)</w:t>
            </w:r>
            <w:proofErr w:type="gramEnd"/>
            <w:r>
              <w:rPr>
                <w:rStyle w:val="TableBodyBOLD"/>
              </w:rPr>
              <w:br/>
            </w:r>
            <w:r>
              <w:t>Payment of habitat compensation to facilitate RD08B.</w:t>
            </w:r>
          </w:p>
        </w:tc>
        <w:tc>
          <w:tcPr>
            <w:tcW w:w="527"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Residential &amp; Employment</w:t>
            </w:r>
          </w:p>
        </w:tc>
        <w:tc>
          <w:tcPr>
            <w:tcW w:w="517"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463.13</w:t>
            </w:r>
          </w:p>
        </w:tc>
        <w:tc>
          <w:tcPr>
            <w:tcW w:w="619"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As required by traffic/access demand</w:t>
            </w:r>
          </w:p>
        </w:tc>
        <w:tc>
          <w:tcPr>
            <w:tcW w:w="392"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No</w:t>
            </w:r>
          </w:p>
        </w:tc>
      </w:tr>
      <w:tr w:rsidR="003404B2" w:rsidTr="004534E2">
        <w:trPr>
          <w:trHeight w:val="60"/>
        </w:trPr>
        <w:tc>
          <w:tcPr>
            <w:tcW w:w="349"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RD09A</w:t>
            </w:r>
          </w:p>
        </w:tc>
        <w:tc>
          <w:tcPr>
            <w:tcW w:w="2596"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pPr>
            <w:r>
              <w:rPr>
                <w:rStyle w:val="TableBodyBOLD"/>
              </w:rPr>
              <w:t>Paynes Road: 'RB East West Road 3' (IT14) to Greigs Road (IT15</w:t>
            </w:r>
            <w:proofErr w:type="gramStart"/>
            <w:r>
              <w:rPr>
                <w:rStyle w:val="TableBodyBOLD"/>
              </w:rPr>
              <w:t>)</w:t>
            </w:r>
            <w:proofErr w:type="gramEnd"/>
            <w:r>
              <w:rPr>
                <w:rStyle w:val="TableBodyBOLD"/>
              </w:rPr>
              <w:br/>
            </w:r>
            <w:r>
              <w:t>Purchase of land to facilitate RD09B within a 34-metre road reserve (ultimate standard), widening Paynes Road to the east.</w:t>
            </w:r>
          </w:p>
        </w:tc>
        <w:tc>
          <w:tcPr>
            <w:tcW w:w="527"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Residential &amp; Employment</w:t>
            </w:r>
          </w:p>
        </w:tc>
        <w:tc>
          <w:tcPr>
            <w:tcW w:w="517"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463.13</w:t>
            </w:r>
          </w:p>
        </w:tc>
        <w:tc>
          <w:tcPr>
            <w:tcW w:w="619"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As required by traffic/access demand</w:t>
            </w:r>
          </w:p>
        </w:tc>
        <w:tc>
          <w:tcPr>
            <w:tcW w:w="392"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Yes</w:t>
            </w:r>
          </w:p>
        </w:tc>
      </w:tr>
      <w:tr w:rsidR="003404B2" w:rsidTr="004534E2">
        <w:trPr>
          <w:trHeight w:val="60"/>
        </w:trPr>
        <w:tc>
          <w:tcPr>
            <w:tcW w:w="349"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RD09B</w:t>
            </w:r>
          </w:p>
        </w:tc>
        <w:tc>
          <w:tcPr>
            <w:tcW w:w="2596"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pPr>
            <w:r>
              <w:rPr>
                <w:rStyle w:val="TableBodyBOLD"/>
              </w:rPr>
              <w:t>Paynes Road: 'RB East West Road 3' (IT14) to Greigs Road (IT15</w:t>
            </w:r>
            <w:proofErr w:type="gramStart"/>
            <w:r>
              <w:rPr>
                <w:rStyle w:val="TableBodyBOLD"/>
              </w:rPr>
              <w:t>)</w:t>
            </w:r>
            <w:proofErr w:type="gramEnd"/>
            <w:r>
              <w:rPr>
                <w:rStyle w:val="TableBodyBOLD"/>
              </w:rPr>
              <w:br/>
            </w:r>
            <w:r>
              <w:t>Construction of a 2-lane arterial road (interim standard) within the Paynes Road reserve.</w:t>
            </w:r>
          </w:p>
        </w:tc>
        <w:tc>
          <w:tcPr>
            <w:tcW w:w="527"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Residential &amp; Employment</w:t>
            </w:r>
          </w:p>
        </w:tc>
        <w:tc>
          <w:tcPr>
            <w:tcW w:w="517"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463.13</w:t>
            </w:r>
          </w:p>
        </w:tc>
        <w:tc>
          <w:tcPr>
            <w:tcW w:w="619"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As required by traffic/access demand</w:t>
            </w:r>
          </w:p>
        </w:tc>
        <w:tc>
          <w:tcPr>
            <w:tcW w:w="392"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Yes</w:t>
            </w:r>
          </w:p>
        </w:tc>
      </w:tr>
      <w:tr w:rsidR="003404B2" w:rsidTr="004534E2">
        <w:trPr>
          <w:trHeight w:val="60"/>
        </w:trPr>
        <w:tc>
          <w:tcPr>
            <w:tcW w:w="349"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RD09C</w:t>
            </w:r>
          </w:p>
        </w:tc>
        <w:tc>
          <w:tcPr>
            <w:tcW w:w="2596"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pPr>
            <w:r>
              <w:rPr>
                <w:rStyle w:val="TableBodyBOLD"/>
              </w:rPr>
              <w:t>Paynes Road: 'RB East West Road 3' (IT14) to Greigs Road (IT15</w:t>
            </w:r>
            <w:proofErr w:type="gramStart"/>
            <w:r>
              <w:rPr>
                <w:rStyle w:val="TableBodyBOLD"/>
              </w:rPr>
              <w:t>)</w:t>
            </w:r>
            <w:proofErr w:type="gramEnd"/>
            <w:r>
              <w:rPr>
                <w:rStyle w:val="TableBodyBOLD"/>
              </w:rPr>
              <w:br/>
            </w:r>
            <w:r>
              <w:t>Payment of habitat compensation to facilitate RD09B.</w:t>
            </w:r>
          </w:p>
        </w:tc>
        <w:tc>
          <w:tcPr>
            <w:tcW w:w="527"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Residential &amp; Employment</w:t>
            </w:r>
          </w:p>
        </w:tc>
        <w:tc>
          <w:tcPr>
            <w:tcW w:w="517"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463.13</w:t>
            </w:r>
          </w:p>
        </w:tc>
        <w:tc>
          <w:tcPr>
            <w:tcW w:w="619"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As required by traffic/access demand</w:t>
            </w:r>
          </w:p>
        </w:tc>
        <w:tc>
          <w:tcPr>
            <w:tcW w:w="392"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No</w:t>
            </w:r>
          </w:p>
        </w:tc>
      </w:tr>
      <w:tr w:rsidR="003404B2" w:rsidTr="004534E2">
        <w:trPr>
          <w:trHeight w:val="60"/>
        </w:trPr>
        <w:tc>
          <w:tcPr>
            <w:tcW w:w="349"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RD10B</w:t>
            </w:r>
          </w:p>
        </w:tc>
        <w:tc>
          <w:tcPr>
            <w:tcW w:w="2596"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pPr>
            <w:r>
              <w:rPr>
                <w:rStyle w:val="TableBodyBOLD"/>
              </w:rPr>
              <w:t>Westcott Parade: Rockbank Township to Old Leakes Road</w:t>
            </w:r>
            <w:r>
              <w:rPr>
                <w:rStyle w:val="TableBodyBOLD"/>
              </w:rPr>
              <w:br/>
            </w:r>
            <w:r>
              <w:t>Construction of a 2-lane road (ultimate standard) within the existing Westcott Parade reserve.</w:t>
            </w:r>
          </w:p>
        </w:tc>
        <w:tc>
          <w:tcPr>
            <w:tcW w:w="527"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Residential &amp; Employment</w:t>
            </w:r>
          </w:p>
        </w:tc>
        <w:tc>
          <w:tcPr>
            <w:tcW w:w="517"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463.13</w:t>
            </w:r>
          </w:p>
        </w:tc>
        <w:tc>
          <w:tcPr>
            <w:tcW w:w="619"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As required by traffic/access demand</w:t>
            </w:r>
          </w:p>
        </w:tc>
        <w:tc>
          <w:tcPr>
            <w:tcW w:w="392"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Yes</w:t>
            </w:r>
          </w:p>
        </w:tc>
      </w:tr>
      <w:tr w:rsidR="003404B2" w:rsidTr="004534E2">
        <w:trPr>
          <w:trHeight w:val="60"/>
        </w:trPr>
        <w:tc>
          <w:tcPr>
            <w:tcW w:w="349"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RD10C</w:t>
            </w:r>
          </w:p>
        </w:tc>
        <w:tc>
          <w:tcPr>
            <w:tcW w:w="2596"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pPr>
            <w:r>
              <w:rPr>
                <w:rStyle w:val="TableBodyBOLD"/>
              </w:rPr>
              <w:t>Westcott Parade: Rockbank Township to Old Leakes Road</w:t>
            </w:r>
            <w:r>
              <w:rPr>
                <w:rStyle w:val="TableBodyBOLD"/>
              </w:rPr>
              <w:br/>
            </w:r>
            <w:r>
              <w:t>Payment of habitat compensation to facilitate RD10B.</w:t>
            </w:r>
          </w:p>
        </w:tc>
        <w:tc>
          <w:tcPr>
            <w:tcW w:w="527"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Residential &amp; Employment</w:t>
            </w:r>
          </w:p>
        </w:tc>
        <w:tc>
          <w:tcPr>
            <w:tcW w:w="517"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463.13</w:t>
            </w:r>
          </w:p>
        </w:tc>
        <w:tc>
          <w:tcPr>
            <w:tcW w:w="619"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As required by traffic/access demand</w:t>
            </w:r>
          </w:p>
        </w:tc>
        <w:tc>
          <w:tcPr>
            <w:tcW w:w="392" w:type="pct"/>
            <w:tcBorders>
              <w:top w:val="single" w:sz="8" w:space="0" w:color="FFFFFF"/>
              <w:left w:val="single" w:sz="8" w:space="0" w:color="FFFFFF"/>
              <w:bottom w:val="single" w:sz="8" w:space="0" w:color="FFFFFF"/>
              <w:right w:val="single" w:sz="8" w:space="0" w:color="FFFFFF"/>
            </w:tcBorders>
            <w:shd w:val="solid" w:color="65E5FF" w:fill="auto"/>
            <w:tcMar>
              <w:top w:w="99" w:type="dxa"/>
              <w:left w:w="113" w:type="dxa"/>
              <w:bottom w:w="99" w:type="dxa"/>
              <w:right w:w="99" w:type="dxa"/>
            </w:tcMar>
          </w:tcPr>
          <w:p w:rsidR="003404B2" w:rsidRDefault="003404B2">
            <w:pPr>
              <w:pStyle w:val="TableBodyTables"/>
              <w:jc w:val="center"/>
            </w:pPr>
            <w:r>
              <w:t>No</w:t>
            </w:r>
          </w:p>
        </w:tc>
      </w:tr>
    </w:tbl>
    <w:p w:rsidR="003404B2" w:rsidRDefault="003404B2" w:rsidP="003404B2">
      <w:pPr>
        <w:pStyle w:val="BodyContent"/>
      </w:pPr>
    </w:p>
    <w:p w:rsidR="003404B2" w:rsidRDefault="003404B2" w:rsidP="00522731">
      <w:pPr>
        <w:pStyle w:val="Heading3"/>
      </w:pPr>
      <w:r>
        <w:t>Intersection projects</w:t>
      </w:r>
    </w:p>
    <w:p w:rsidR="003404B2" w:rsidRDefault="003404B2" w:rsidP="004534E2">
      <w:pPr>
        <w:pStyle w:val="BodyContent"/>
        <w:ind w:left="0"/>
      </w:pPr>
      <w:r>
        <w:t>The intersection projects in the DCP are based on the transport network illustrated on Plan 4 and supported by the reports:</w:t>
      </w:r>
    </w:p>
    <w:p w:rsidR="003404B2" w:rsidRPr="004534E2" w:rsidRDefault="003404B2" w:rsidP="004534E2">
      <w:pPr>
        <w:pStyle w:val="List1bullet"/>
        <w:rPr>
          <w:sz w:val="16"/>
          <w:szCs w:val="16"/>
        </w:rPr>
      </w:pPr>
      <w:r w:rsidRPr="004534E2">
        <w:rPr>
          <w:sz w:val="16"/>
          <w:szCs w:val="16"/>
        </w:rPr>
        <w:t>VPA analysis of turning volumes extracted from Rockbank PSP Transport Modelling Assessment, September 2014 (Jacobs)</w:t>
      </w:r>
    </w:p>
    <w:p w:rsidR="003404B2" w:rsidRPr="004534E2" w:rsidRDefault="003404B2" w:rsidP="004534E2">
      <w:pPr>
        <w:pStyle w:val="List1bullet"/>
        <w:rPr>
          <w:sz w:val="16"/>
          <w:szCs w:val="16"/>
        </w:rPr>
      </w:pPr>
      <w:r w:rsidRPr="004534E2">
        <w:rPr>
          <w:rStyle w:val="BodybulletITALICS"/>
          <w:sz w:val="16"/>
          <w:szCs w:val="16"/>
        </w:rPr>
        <w:t>Rockbank PSP SIDRA Intersection Modelling</w:t>
      </w:r>
      <w:r w:rsidRPr="004534E2">
        <w:rPr>
          <w:sz w:val="16"/>
          <w:szCs w:val="16"/>
        </w:rPr>
        <w:t>, September 2014 (Jacobs)</w:t>
      </w:r>
    </w:p>
    <w:p w:rsidR="003404B2" w:rsidRPr="004534E2" w:rsidRDefault="003404B2" w:rsidP="004534E2">
      <w:pPr>
        <w:pStyle w:val="List1bullet"/>
        <w:rPr>
          <w:sz w:val="16"/>
          <w:szCs w:val="16"/>
        </w:rPr>
      </w:pPr>
      <w:r w:rsidRPr="004534E2">
        <w:rPr>
          <w:rStyle w:val="BodybulletITALICS"/>
          <w:sz w:val="16"/>
          <w:szCs w:val="16"/>
        </w:rPr>
        <w:t>Rockbank PSP Infrastructure Costing Assessment</w:t>
      </w:r>
      <w:r w:rsidRPr="004534E2">
        <w:rPr>
          <w:sz w:val="16"/>
          <w:szCs w:val="16"/>
        </w:rPr>
        <w:t>, June 2016 (SMEC).</w:t>
      </w:r>
    </w:p>
    <w:p w:rsidR="003404B2" w:rsidRDefault="003404B2" w:rsidP="004534E2">
      <w:pPr>
        <w:pStyle w:val="BodyContent"/>
        <w:ind w:left="0"/>
      </w:pPr>
      <w:r>
        <w:t>The intersection projects identified are controlled intersections and associated works.</w:t>
      </w:r>
    </w:p>
    <w:p w:rsidR="003404B2" w:rsidRDefault="004534E2" w:rsidP="004534E2">
      <w:pPr>
        <w:pStyle w:val="Caption"/>
        <w:jc w:val="left"/>
      </w:pPr>
      <w:bookmarkStart w:id="15" w:name="_Toc467676218"/>
      <w:r>
        <w:t xml:space="preserve">Table </w:t>
      </w:r>
      <w:fldSimple w:instr=" SEQ Table \* ARABIC ">
        <w:r w:rsidR="007900B2">
          <w:rPr>
            <w:noProof/>
          </w:rPr>
          <w:t>3</w:t>
        </w:r>
      </w:fldSimple>
      <w:r>
        <w:t xml:space="preserve"> – </w:t>
      </w:r>
      <w:r w:rsidR="003404B2">
        <w:t>Intersection projects</w:t>
      </w:r>
      <w:bookmarkEnd w:id="15"/>
    </w:p>
    <w:p w:rsidR="003404B2" w:rsidRDefault="003404B2" w:rsidP="004534E2">
      <w:pPr>
        <w:pStyle w:val="BodyContent"/>
        <w:ind w:left="0"/>
      </w:pPr>
      <w:r>
        <w:t xml:space="preserve">The intersection projects funded by the DCP, as illustrated on Plan 4, include: </w:t>
      </w:r>
    </w:p>
    <w:tbl>
      <w:tblPr>
        <w:tblW w:w="5000" w:type="pct"/>
        <w:tblCellMar>
          <w:left w:w="0" w:type="dxa"/>
          <w:right w:w="0" w:type="dxa"/>
        </w:tblCellMar>
        <w:tblLook w:val="0000" w:firstRow="0" w:lastRow="0" w:firstColumn="0" w:lastColumn="0" w:noHBand="0" w:noVBand="0"/>
      </w:tblPr>
      <w:tblGrid>
        <w:gridCol w:w="914"/>
        <w:gridCol w:w="2768"/>
        <w:gridCol w:w="1386"/>
        <w:gridCol w:w="1386"/>
        <w:gridCol w:w="1094"/>
        <w:gridCol w:w="930"/>
      </w:tblGrid>
      <w:tr w:rsidR="003404B2" w:rsidTr="00E76841">
        <w:trPr>
          <w:trHeight w:val="757"/>
          <w:tblHeader/>
        </w:trPr>
        <w:tc>
          <w:tcPr>
            <w:tcW w:w="333" w:type="pct"/>
            <w:tcBorders>
              <w:top w:val="single" w:sz="8" w:space="0" w:color="FFFFFF"/>
              <w:left w:val="single" w:sz="8" w:space="0" w:color="FFFFFF"/>
              <w:bottom w:val="single" w:sz="8" w:space="0" w:color="FFFFFF"/>
              <w:right w:val="single" w:sz="8" w:space="0" w:color="FFFFFF"/>
            </w:tcBorders>
            <w:shd w:val="solid" w:color="000000" w:fill="auto"/>
            <w:tcMar>
              <w:top w:w="80" w:type="dxa"/>
              <w:left w:w="80" w:type="dxa"/>
              <w:bottom w:w="80" w:type="dxa"/>
              <w:right w:w="80" w:type="dxa"/>
            </w:tcMar>
          </w:tcPr>
          <w:p w:rsidR="003404B2" w:rsidRDefault="003404B2">
            <w:pPr>
              <w:pStyle w:val="TableHEADTables"/>
            </w:pPr>
            <w:r>
              <w:lastRenderedPageBreak/>
              <w:t>DCP project ID</w:t>
            </w:r>
          </w:p>
        </w:tc>
        <w:tc>
          <w:tcPr>
            <w:tcW w:w="2595" w:type="pct"/>
            <w:tcBorders>
              <w:top w:val="single" w:sz="8" w:space="0" w:color="FFFFFF"/>
              <w:left w:val="single" w:sz="8" w:space="0" w:color="FFFFFF"/>
              <w:bottom w:val="single" w:sz="8" w:space="0" w:color="FFFFFF"/>
              <w:right w:val="single" w:sz="8" w:space="0" w:color="FFFFFF"/>
            </w:tcBorders>
            <w:shd w:val="solid" w:color="000000" w:fill="auto"/>
            <w:tcMar>
              <w:top w:w="80" w:type="dxa"/>
              <w:left w:w="80" w:type="dxa"/>
              <w:bottom w:w="80" w:type="dxa"/>
              <w:right w:w="80" w:type="dxa"/>
            </w:tcMar>
          </w:tcPr>
          <w:p w:rsidR="003404B2" w:rsidRDefault="003404B2">
            <w:pPr>
              <w:pStyle w:val="TableHEADTables"/>
            </w:pPr>
            <w:r>
              <w:t>Project title</w:t>
            </w:r>
            <w:r>
              <w:br/>
              <w:t>Project description</w:t>
            </w:r>
          </w:p>
        </w:tc>
        <w:tc>
          <w:tcPr>
            <w:tcW w:w="530" w:type="pct"/>
            <w:tcBorders>
              <w:top w:val="single" w:sz="8" w:space="0" w:color="FFFFFF"/>
              <w:left w:val="single" w:sz="8" w:space="0" w:color="FFFFFF"/>
              <w:bottom w:val="single" w:sz="8" w:space="0" w:color="FFFFFF"/>
              <w:right w:val="single" w:sz="8" w:space="0" w:color="FFFFFF"/>
            </w:tcBorders>
            <w:shd w:val="solid" w:color="000000" w:fill="auto"/>
            <w:tcMar>
              <w:top w:w="80" w:type="dxa"/>
              <w:left w:w="80" w:type="dxa"/>
              <w:bottom w:w="80" w:type="dxa"/>
              <w:right w:w="80" w:type="dxa"/>
            </w:tcMar>
          </w:tcPr>
          <w:p w:rsidR="003404B2" w:rsidRDefault="003404B2">
            <w:pPr>
              <w:pStyle w:val="TableHEADTables"/>
            </w:pPr>
            <w:r>
              <w:t>MCA contributing</w:t>
            </w:r>
          </w:p>
        </w:tc>
        <w:tc>
          <w:tcPr>
            <w:tcW w:w="526" w:type="pct"/>
            <w:tcBorders>
              <w:top w:val="single" w:sz="8" w:space="0" w:color="FFFFFF"/>
              <w:left w:val="single" w:sz="8" w:space="0" w:color="FFFFFF"/>
              <w:bottom w:val="single" w:sz="8" w:space="0" w:color="FFFFFF"/>
              <w:right w:val="single" w:sz="8" w:space="0" w:color="FFFFFF"/>
            </w:tcBorders>
            <w:shd w:val="solid" w:color="000000" w:fill="auto"/>
            <w:tcMar>
              <w:top w:w="80" w:type="dxa"/>
              <w:left w:w="80" w:type="dxa"/>
              <w:bottom w:w="80" w:type="dxa"/>
              <w:right w:w="80" w:type="dxa"/>
            </w:tcMar>
          </w:tcPr>
          <w:p w:rsidR="003404B2" w:rsidRDefault="003404B2">
            <w:pPr>
              <w:pStyle w:val="TableHEADTables"/>
            </w:pPr>
            <w:r>
              <w:t>Hectares contributing</w:t>
            </w:r>
          </w:p>
        </w:tc>
        <w:tc>
          <w:tcPr>
            <w:tcW w:w="638" w:type="pct"/>
            <w:tcBorders>
              <w:top w:val="single" w:sz="8" w:space="0" w:color="FFFFFF"/>
              <w:left w:val="single" w:sz="8" w:space="0" w:color="FFFFFF"/>
              <w:bottom w:val="single" w:sz="8" w:space="0" w:color="FFFFFF"/>
              <w:right w:val="single" w:sz="8" w:space="0" w:color="FFFFFF"/>
            </w:tcBorders>
            <w:shd w:val="solid" w:color="000000" w:fill="auto"/>
            <w:tcMar>
              <w:top w:w="80" w:type="dxa"/>
              <w:left w:w="80" w:type="dxa"/>
              <w:bottom w:w="80" w:type="dxa"/>
              <w:right w:w="80" w:type="dxa"/>
            </w:tcMar>
          </w:tcPr>
          <w:p w:rsidR="003404B2" w:rsidRDefault="003404B2">
            <w:pPr>
              <w:pStyle w:val="TableHEADTables"/>
            </w:pPr>
            <w:r>
              <w:t>Indicative provision trigger</w:t>
            </w:r>
          </w:p>
        </w:tc>
        <w:tc>
          <w:tcPr>
            <w:tcW w:w="378" w:type="pct"/>
            <w:tcBorders>
              <w:top w:val="single" w:sz="8" w:space="0" w:color="FFFFFF"/>
              <w:left w:val="single" w:sz="8" w:space="0" w:color="FFFFFF"/>
              <w:bottom w:val="single" w:sz="8" w:space="0" w:color="FFFFFF"/>
              <w:right w:val="single" w:sz="8" w:space="0" w:color="FFFFFF"/>
            </w:tcBorders>
            <w:shd w:val="solid" w:color="000000" w:fill="auto"/>
            <w:tcMar>
              <w:top w:w="80" w:type="dxa"/>
              <w:left w:w="80" w:type="dxa"/>
              <w:bottom w:w="80" w:type="dxa"/>
              <w:right w:w="80" w:type="dxa"/>
            </w:tcMar>
          </w:tcPr>
          <w:p w:rsidR="003404B2" w:rsidRDefault="003404B2">
            <w:pPr>
              <w:pStyle w:val="TableHEADTables"/>
            </w:pPr>
            <w:r>
              <w:t>Suitable as works in kind?</w:t>
            </w:r>
          </w:p>
        </w:tc>
      </w:tr>
      <w:tr w:rsidR="003404B2" w:rsidTr="00E76841">
        <w:trPr>
          <w:trHeight w:val="60"/>
        </w:trPr>
        <w:tc>
          <w:tcPr>
            <w:tcW w:w="333"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IT01A</w:t>
            </w:r>
          </w:p>
        </w:tc>
        <w:tc>
          <w:tcPr>
            <w:tcW w:w="259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Intersection: Greigs Road and Troups Road North</w:t>
            </w:r>
            <w:r>
              <w:rPr>
                <w:rStyle w:val="TableBodyBOLD"/>
              </w:rPr>
              <w:br/>
            </w:r>
            <w:r>
              <w:t>Purchase of land within precinct to facilitate IT01B (ultimate standard).</w:t>
            </w:r>
          </w:p>
        </w:tc>
        <w:tc>
          <w:tcPr>
            <w:tcW w:w="53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Residential &amp; Employment</w:t>
            </w:r>
          </w:p>
        </w:tc>
        <w:tc>
          <w:tcPr>
            <w:tcW w:w="52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463.13</w:t>
            </w:r>
          </w:p>
        </w:tc>
        <w:tc>
          <w:tcPr>
            <w:tcW w:w="63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As required by traffic/access demand</w:t>
            </w:r>
          </w:p>
        </w:tc>
        <w:tc>
          <w:tcPr>
            <w:tcW w:w="37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Yes</w:t>
            </w:r>
          </w:p>
        </w:tc>
      </w:tr>
      <w:tr w:rsidR="003404B2" w:rsidTr="00E76841">
        <w:trPr>
          <w:trHeight w:val="60"/>
        </w:trPr>
        <w:tc>
          <w:tcPr>
            <w:tcW w:w="333"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IT01B</w:t>
            </w:r>
          </w:p>
        </w:tc>
        <w:tc>
          <w:tcPr>
            <w:tcW w:w="259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Intersection: Greigs Road and Troups Road North</w:t>
            </w:r>
            <w:r>
              <w:rPr>
                <w:rStyle w:val="TableBodyBOLD"/>
              </w:rPr>
              <w:br/>
            </w:r>
            <w:r>
              <w:t xml:space="preserve">Construction of a </w:t>
            </w:r>
            <w:proofErr w:type="spellStart"/>
            <w:r>
              <w:t>signalised</w:t>
            </w:r>
            <w:proofErr w:type="spellEnd"/>
            <w:r>
              <w:t xml:space="preserve"> T-intersection (interim standard) at the intersection of Greigs Road and Troups Road North.</w:t>
            </w:r>
          </w:p>
        </w:tc>
        <w:tc>
          <w:tcPr>
            <w:tcW w:w="53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Residential &amp; Employment</w:t>
            </w:r>
          </w:p>
        </w:tc>
        <w:tc>
          <w:tcPr>
            <w:tcW w:w="52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463.13</w:t>
            </w:r>
          </w:p>
        </w:tc>
        <w:tc>
          <w:tcPr>
            <w:tcW w:w="63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As required by traffic/access demand</w:t>
            </w:r>
          </w:p>
        </w:tc>
        <w:tc>
          <w:tcPr>
            <w:tcW w:w="37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Yes</w:t>
            </w:r>
          </w:p>
        </w:tc>
      </w:tr>
      <w:tr w:rsidR="003404B2" w:rsidTr="00E76841">
        <w:trPr>
          <w:trHeight w:val="60"/>
        </w:trPr>
        <w:tc>
          <w:tcPr>
            <w:tcW w:w="333"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IT01C</w:t>
            </w:r>
          </w:p>
        </w:tc>
        <w:tc>
          <w:tcPr>
            <w:tcW w:w="259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Intersection: Greigs Road and Troups Road North</w:t>
            </w:r>
            <w:r>
              <w:rPr>
                <w:rStyle w:val="TableBodyBOLD"/>
              </w:rPr>
              <w:br/>
            </w:r>
            <w:r>
              <w:t>Payment of habitat compensation to facilitate IT01B.</w:t>
            </w:r>
          </w:p>
        </w:tc>
        <w:tc>
          <w:tcPr>
            <w:tcW w:w="53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Residential &amp; Employment</w:t>
            </w:r>
          </w:p>
        </w:tc>
        <w:tc>
          <w:tcPr>
            <w:tcW w:w="52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463.13</w:t>
            </w:r>
          </w:p>
        </w:tc>
        <w:tc>
          <w:tcPr>
            <w:tcW w:w="63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As required by traffic/access demand</w:t>
            </w:r>
          </w:p>
        </w:tc>
        <w:tc>
          <w:tcPr>
            <w:tcW w:w="37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No</w:t>
            </w:r>
          </w:p>
        </w:tc>
      </w:tr>
      <w:tr w:rsidR="003404B2" w:rsidTr="00E76841">
        <w:trPr>
          <w:trHeight w:val="60"/>
        </w:trPr>
        <w:tc>
          <w:tcPr>
            <w:tcW w:w="333"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IT02A</w:t>
            </w:r>
          </w:p>
        </w:tc>
        <w:tc>
          <w:tcPr>
            <w:tcW w:w="259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Intersection: Greigs Road and 'RB North South Road 1'</w:t>
            </w:r>
            <w:r>
              <w:rPr>
                <w:rStyle w:val="TableBodyBOLD"/>
              </w:rPr>
              <w:br/>
            </w:r>
            <w:r>
              <w:t>Purchase of land within precinct to facilitate IT02B (ultimate standard).</w:t>
            </w:r>
          </w:p>
        </w:tc>
        <w:tc>
          <w:tcPr>
            <w:tcW w:w="53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Residential &amp; Employment</w:t>
            </w:r>
          </w:p>
        </w:tc>
        <w:tc>
          <w:tcPr>
            <w:tcW w:w="52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463.13</w:t>
            </w:r>
          </w:p>
        </w:tc>
        <w:tc>
          <w:tcPr>
            <w:tcW w:w="63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As required by traffic/access demand</w:t>
            </w:r>
          </w:p>
        </w:tc>
        <w:tc>
          <w:tcPr>
            <w:tcW w:w="37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Yes</w:t>
            </w:r>
          </w:p>
        </w:tc>
      </w:tr>
      <w:tr w:rsidR="003404B2" w:rsidTr="00E76841">
        <w:trPr>
          <w:trHeight w:val="60"/>
        </w:trPr>
        <w:tc>
          <w:tcPr>
            <w:tcW w:w="333"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IT02B</w:t>
            </w:r>
          </w:p>
        </w:tc>
        <w:tc>
          <w:tcPr>
            <w:tcW w:w="259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Intersection: Greigs Road and 'RB North South Road 1'</w:t>
            </w:r>
            <w:r>
              <w:rPr>
                <w:rStyle w:val="TableBodyBOLD"/>
              </w:rPr>
              <w:br/>
            </w:r>
            <w:r>
              <w:t xml:space="preserve">Construction of a </w:t>
            </w:r>
            <w:proofErr w:type="spellStart"/>
            <w:r>
              <w:t>signalised</w:t>
            </w:r>
            <w:proofErr w:type="spellEnd"/>
            <w:r>
              <w:t xml:space="preserve"> T-intersection (interim standard) at the intersection of Greigs Road and 'RB North South Road 1'.</w:t>
            </w:r>
          </w:p>
        </w:tc>
        <w:tc>
          <w:tcPr>
            <w:tcW w:w="53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Residential &amp; Employment</w:t>
            </w:r>
          </w:p>
        </w:tc>
        <w:tc>
          <w:tcPr>
            <w:tcW w:w="52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463.13</w:t>
            </w:r>
          </w:p>
        </w:tc>
        <w:tc>
          <w:tcPr>
            <w:tcW w:w="63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As required by traffic/access demand</w:t>
            </w:r>
          </w:p>
        </w:tc>
        <w:tc>
          <w:tcPr>
            <w:tcW w:w="37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Yes</w:t>
            </w:r>
          </w:p>
        </w:tc>
      </w:tr>
      <w:tr w:rsidR="003404B2" w:rsidTr="00E76841">
        <w:trPr>
          <w:trHeight w:val="60"/>
        </w:trPr>
        <w:tc>
          <w:tcPr>
            <w:tcW w:w="333"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IT02C</w:t>
            </w:r>
          </w:p>
        </w:tc>
        <w:tc>
          <w:tcPr>
            <w:tcW w:w="259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Intersection: Greigs Road and 'RB North South Road 1'</w:t>
            </w:r>
            <w:r>
              <w:rPr>
                <w:rStyle w:val="TableBodyBOLD"/>
              </w:rPr>
              <w:br/>
            </w:r>
            <w:r>
              <w:t>Payment of habitat compensation to facilitate IT02B.</w:t>
            </w:r>
          </w:p>
        </w:tc>
        <w:tc>
          <w:tcPr>
            <w:tcW w:w="53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Residential &amp; Employment</w:t>
            </w:r>
          </w:p>
        </w:tc>
        <w:tc>
          <w:tcPr>
            <w:tcW w:w="52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463.13</w:t>
            </w:r>
          </w:p>
        </w:tc>
        <w:tc>
          <w:tcPr>
            <w:tcW w:w="63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As required by traffic/access demand</w:t>
            </w:r>
          </w:p>
        </w:tc>
        <w:tc>
          <w:tcPr>
            <w:tcW w:w="37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No</w:t>
            </w:r>
          </w:p>
        </w:tc>
      </w:tr>
      <w:tr w:rsidR="003404B2" w:rsidTr="00E76841">
        <w:trPr>
          <w:trHeight w:val="60"/>
        </w:trPr>
        <w:tc>
          <w:tcPr>
            <w:tcW w:w="333"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IT03A</w:t>
            </w:r>
          </w:p>
        </w:tc>
        <w:tc>
          <w:tcPr>
            <w:tcW w:w="259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Intersection: Greigs Road and 'RB North South Road 2'</w:t>
            </w:r>
            <w:r>
              <w:rPr>
                <w:rStyle w:val="TableBodyBOLD"/>
              </w:rPr>
              <w:br/>
            </w:r>
            <w:r>
              <w:t>Purchase of land within precinct to facilitate IT03B (ultimate standard).</w:t>
            </w:r>
          </w:p>
        </w:tc>
        <w:tc>
          <w:tcPr>
            <w:tcW w:w="53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Residential &amp; Employment</w:t>
            </w:r>
          </w:p>
        </w:tc>
        <w:tc>
          <w:tcPr>
            <w:tcW w:w="52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463.13</w:t>
            </w:r>
          </w:p>
        </w:tc>
        <w:tc>
          <w:tcPr>
            <w:tcW w:w="63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As required by traffic/access demand</w:t>
            </w:r>
          </w:p>
        </w:tc>
        <w:tc>
          <w:tcPr>
            <w:tcW w:w="37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Yes</w:t>
            </w:r>
          </w:p>
        </w:tc>
      </w:tr>
      <w:tr w:rsidR="003404B2" w:rsidTr="00E76841">
        <w:trPr>
          <w:trHeight w:val="60"/>
        </w:trPr>
        <w:tc>
          <w:tcPr>
            <w:tcW w:w="333"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IT03B</w:t>
            </w:r>
          </w:p>
        </w:tc>
        <w:tc>
          <w:tcPr>
            <w:tcW w:w="259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Intersection: Greigs Road and 'RB North South Road 2'</w:t>
            </w:r>
            <w:r>
              <w:rPr>
                <w:rStyle w:val="TableBodyBOLD"/>
              </w:rPr>
              <w:br/>
            </w:r>
            <w:r>
              <w:t xml:space="preserve">Construction of a </w:t>
            </w:r>
            <w:proofErr w:type="spellStart"/>
            <w:r>
              <w:t>signalised</w:t>
            </w:r>
            <w:proofErr w:type="spellEnd"/>
            <w:r>
              <w:t xml:space="preserve"> T-intersection (interim standard) at the intersection of Greigs Road and 'RB North South Road 2'.</w:t>
            </w:r>
          </w:p>
        </w:tc>
        <w:tc>
          <w:tcPr>
            <w:tcW w:w="53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Residential &amp; Employment</w:t>
            </w:r>
          </w:p>
        </w:tc>
        <w:tc>
          <w:tcPr>
            <w:tcW w:w="52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463.13</w:t>
            </w:r>
          </w:p>
        </w:tc>
        <w:tc>
          <w:tcPr>
            <w:tcW w:w="63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As required by traffic/access demand</w:t>
            </w:r>
          </w:p>
        </w:tc>
        <w:tc>
          <w:tcPr>
            <w:tcW w:w="37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Yes</w:t>
            </w:r>
          </w:p>
        </w:tc>
      </w:tr>
      <w:tr w:rsidR="003404B2" w:rsidTr="00E76841">
        <w:trPr>
          <w:trHeight w:val="60"/>
        </w:trPr>
        <w:tc>
          <w:tcPr>
            <w:tcW w:w="333"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IT03C</w:t>
            </w:r>
          </w:p>
        </w:tc>
        <w:tc>
          <w:tcPr>
            <w:tcW w:w="259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Intersection: Greigs Road and 'RB North South Road 2'</w:t>
            </w:r>
            <w:r>
              <w:rPr>
                <w:rStyle w:val="TableBodyBOLD"/>
              </w:rPr>
              <w:br/>
            </w:r>
            <w:r>
              <w:t>Payment of habitat compensation to facilitate IT03B.</w:t>
            </w:r>
          </w:p>
        </w:tc>
        <w:tc>
          <w:tcPr>
            <w:tcW w:w="53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Residential &amp; Employment</w:t>
            </w:r>
          </w:p>
        </w:tc>
        <w:tc>
          <w:tcPr>
            <w:tcW w:w="52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463.13</w:t>
            </w:r>
          </w:p>
        </w:tc>
        <w:tc>
          <w:tcPr>
            <w:tcW w:w="63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As required by traffic/access demand</w:t>
            </w:r>
          </w:p>
        </w:tc>
        <w:tc>
          <w:tcPr>
            <w:tcW w:w="37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No</w:t>
            </w:r>
          </w:p>
        </w:tc>
      </w:tr>
      <w:tr w:rsidR="003404B2" w:rsidTr="00E76841">
        <w:trPr>
          <w:trHeight w:val="60"/>
        </w:trPr>
        <w:tc>
          <w:tcPr>
            <w:tcW w:w="333"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IT04A</w:t>
            </w:r>
          </w:p>
        </w:tc>
        <w:tc>
          <w:tcPr>
            <w:tcW w:w="259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Intersection: Rockbank Road and Greigs Road</w:t>
            </w:r>
            <w:r>
              <w:rPr>
                <w:rStyle w:val="TableBodyBOLD"/>
              </w:rPr>
              <w:br/>
            </w:r>
            <w:r>
              <w:t>Purchase of land within precinct to facilitate IT04B (ultimate standard).</w:t>
            </w:r>
          </w:p>
        </w:tc>
        <w:tc>
          <w:tcPr>
            <w:tcW w:w="53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Residential &amp; Employment</w:t>
            </w:r>
          </w:p>
        </w:tc>
        <w:tc>
          <w:tcPr>
            <w:tcW w:w="52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463.13</w:t>
            </w:r>
          </w:p>
        </w:tc>
        <w:tc>
          <w:tcPr>
            <w:tcW w:w="63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As required by traffic/access demand</w:t>
            </w:r>
          </w:p>
        </w:tc>
        <w:tc>
          <w:tcPr>
            <w:tcW w:w="37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Yes</w:t>
            </w:r>
          </w:p>
        </w:tc>
      </w:tr>
      <w:tr w:rsidR="003404B2" w:rsidTr="00E76841">
        <w:trPr>
          <w:trHeight w:val="60"/>
        </w:trPr>
        <w:tc>
          <w:tcPr>
            <w:tcW w:w="333"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IT04B</w:t>
            </w:r>
          </w:p>
        </w:tc>
        <w:tc>
          <w:tcPr>
            <w:tcW w:w="259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Intersection: Rockbank Road and Greigs Road</w:t>
            </w:r>
            <w:r>
              <w:rPr>
                <w:rStyle w:val="TableBodyBOLD"/>
              </w:rPr>
              <w:br/>
            </w:r>
            <w:r>
              <w:t xml:space="preserve">Construction of a </w:t>
            </w:r>
            <w:proofErr w:type="spellStart"/>
            <w:r>
              <w:t>signalised</w:t>
            </w:r>
            <w:proofErr w:type="spellEnd"/>
            <w:r>
              <w:t xml:space="preserve"> 4-way intersection (interim standard) at the intersection of Rockbank Road and Greigs Road.</w:t>
            </w:r>
          </w:p>
        </w:tc>
        <w:tc>
          <w:tcPr>
            <w:tcW w:w="53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Residential &amp; Employment</w:t>
            </w:r>
          </w:p>
        </w:tc>
        <w:tc>
          <w:tcPr>
            <w:tcW w:w="52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463.13</w:t>
            </w:r>
          </w:p>
        </w:tc>
        <w:tc>
          <w:tcPr>
            <w:tcW w:w="63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As required by traffic/access demand</w:t>
            </w:r>
          </w:p>
        </w:tc>
        <w:tc>
          <w:tcPr>
            <w:tcW w:w="37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Yes</w:t>
            </w:r>
          </w:p>
        </w:tc>
      </w:tr>
      <w:tr w:rsidR="003404B2" w:rsidTr="00E76841">
        <w:trPr>
          <w:trHeight w:val="60"/>
        </w:trPr>
        <w:tc>
          <w:tcPr>
            <w:tcW w:w="333"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lastRenderedPageBreak/>
              <w:t>IT04C</w:t>
            </w:r>
          </w:p>
        </w:tc>
        <w:tc>
          <w:tcPr>
            <w:tcW w:w="259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Intersection: Rockbank Road and Greigs Road</w:t>
            </w:r>
            <w:r>
              <w:rPr>
                <w:rStyle w:val="TableBodyBOLD"/>
              </w:rPr>
              <w:br/>
            </w:r>
            <w:r>
              <w:t>Payment of habitat compensation to facilitate IT04B.</w:t>
            </w:r>
          </w:p>
        </w:tc>
        <w:tc>
          <w:tcPr>
            <w:tcW w:w="53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Residential &amp; Employment</w:t>
            </w:r>
          </w:p>
        </w:tc>
        <w:tc>
          <w:tcPr>
            <w:tcW w:w="52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463.13</w:t>
            </w:r>
          </w:p>
        </w:tc>
        <w:tc>
          <w:tcPr>
            <w:tcW w:w="63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As required by traffic/access demand</w:t>
            </w:r>
          </w:p>
        </w:tc>
        <w:tc>
          <w:tcPr>
            <w:tcW w:w="37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No</w:t>
            </w:r>
          </w:p>
        </w:tc>
      </w:tr>
      <w:tr w:rsidR="003404B2" w:rsidTr="00E76841">
        <w:trPr>
          <w:trHeight w:val="60"/>
        </w:trPr>
        <w:tc>
          <w:tcPr>
            <w:tcW w:w="333"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IT05A</w:t>
            </w:r>
          </w:p>
        </w:tc>
        <w:tc>
          <w:tcPr>
            <w:tcW w:w="259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Intersection: Rockbank Road and Toolern Road</w:t>
            </w:r>
            <w:r>
              <w:rPr>
                <w:rStyle w:val="TableBodyBOLD"/>
              </w:rPr>
              <w:br/>
            </w:r>
            <w:r>
              <w:t>Purchase of land within precinct to facilitate IT05B (ultimate standard).</w:t>
            </w:r>
          </w:p>
        </w:tc>
        <w:tc>
          <w:tcPr>
            <w:tcW w:w="53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Residential &amp; Employment</w:t>
            </w:r>
          </w:p>
        </w:tc>
        <w:tc>
          <w:tcPr>
            <w:tcW w:w="52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463.13</w:t>
            </w:r>
          </w:p>
        </w:tc>
        <w:tc>
          <w:tcPr>
            <w:tcW w:w="63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As required by traffic/access demand</w:t>
            </w:r>
          </w:p>
        </w:tc>
        <w:tc>
          <w:tcPr>
            <w:tcW w:w="37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Yes</w:t>
            </w:r>
          </w:p>
        </w:tc>
      </w:tr>
      <w:tr w:rsidR="003404B2" w:rsidTr="00E76841">
        <w:trPr>
          <w:trHeight w:val="60"/>
        </w:trPr>
        <w:tc>
          <w:tcPr>
            <w:tcW w:w="333"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IT05B</w:t>
            </w:r>
          </w:p>
        </w:tc>
        <w:tc>
          <w:tcPr>
            <w:tcW w:w="259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Intersection: Rockbank Road and Toolern Road</w:t>
            </w:r>
            <w:r>
              <w:rPr>
                <w:rStyle w:val="TableBodyBOLD"/>
              </w:rPr>
              <w:br/>
            </w:r>
            <w:r>
              <w:t xml:space="preserve">Construction of a </w:t>
            </w:r>
            <w:proofErr w:type="spellStart"/>
            <w:r>
              <w:t>signalised</w:t>
            </w:r>
            <w:proofErr w:type="spellEnd"/>
            <w:r>
              <w:t xml:space="preserve"> 4-way intersection (interim standard) at the intersection of Rockbank Road and Toolern Road.</w:t>
            </w:r>
          </w:p>
        </w:tc>
        <w:tc>
          <w:tcPr>
            <w:tcW w:w="53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Residential &amp; Employment</w:t>
            </w:r>
          </w:p>
        </w:tc>
        <w:tc>
          <w:tcPr>
            <w:tcW w:w="52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463.13</w:t>
            </w:r>
          </w:p>
        </w:tc>
        <w:tc>
          <w:tcPr>
            <w:tcW w:w="63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As required by traffic/access demand</w:t>
            </w:r>
          </w:p>
        </w:tc>
        <w:tc>
          <w:tcPr>
            <w:tcW w:w="37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Yes</w:t>
            </w:r>
          </w:p>
        </w:tc>
      </w:tr>
      <w:tr w:rsidR="003404B2" w:rsidTr="00E76841">
        <w:trPr>
          <w:trHeight w:val="60"/>
        </w:trPr>
        <w:tc>
          <w:tcPr>
            <w:tcW w:w="333"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IT06A</w:t>
            </w:r>
          </w:p>
        </w:tc>
        <w:tc>
          <w:tcPr>
            <w:tcW w:w="259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Intersection: Toolern Road and 'RB North South Road 3'</w:t>
            </w:r>
            <w:r>
              <w:rPr>
                <w:rStyle w:val="TableBodyBOLD"/>
              </w:rPr>
              <w:br/>
            </w:r>
            <w:r>
              <w:t>Purchase of land within precinct to facilitate IT06B (ultimate standard).</w:t>
            </w:r>
          </w:p>
        </w:tc>
        <w:tc>
          <w:tcPr>
            <w:tcW w:w="53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Residential &amp; Employment</w:t>
            </w:r>
          </w:p>
        </w:tc>
        <w:tc>
          <w:tcPr>
            <w:tcW w:w="52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463.13</w:t>
            </w:r>
          </w:p>
        </w:tc>
        <w:tc>
          <w:tcPr>
            <w:tcW w:w="63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As required by traffic/access demand</w:t>
            </w:r>
          </w:p>
        </w:tc>
        <w:tc>
          <w:tcPr>
            <w:tcW w:w="37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Yes</w:t>
            </w:r>
          </w:p>
        </w:tc>
      </w:tr>
      <w:tr w:rsidR="003404B2" w:rsidTr="00E76841">
        <w:trPr>
          <w:trHeight w:val="60"/>
        </w:trPr>
        <w:tc>
          <w:tcPr>
            <w:tcW w:w="333"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IT06B</w:t>
            </w:r>
          </w:p>
        </w:tc>
        <w:tc>
          <w:tcPr>
            <w:tcW w:w="259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Intersection: Toolern Road and 'RB North South Road 3'</w:t>
            </w:r>
            <w:r>
              <w:rPr>
                <w:rStyle w:val="TableBodyBOLD"/>
              </w:rPr>
              <w:br/>
            </w:r>
            <w:r>
              <w:t xml:space="preserve">Construction of a </w:t>
            </w:r>
            <w:proofErr w:type="spellStart"/>
            <w:r>
              <w:t>signalised</w:t>
            </w:r>
            <w:proofErr w:type="spellEnd"/>
            <w:r>
              <w:t xml:space="preserve"> 4-way intersection (interim standard) at the intersection of Toolern Road and 'RB North South Road 3'.</w:t>
            </w:r>
          </w:p>
        </w:tc>
        <w:tc>
          <w:tcPr>
            <w:tcW w:w="53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Residential &amp; Employment</w:t>
            </w:r>
          </w:p>
        </w:tc>
        <w:tc>
          <w:tcPr>
            <w:tcW w:w="52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463.13</w:t>
            </w:r>
          </w:p>
        </w:tc>
        <w:tc>
          <w:tcPr>
            <w:tcW w:w="63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As required by traffic/access demand</w:t>
            </w:r>
          </w:p>
        </w:tc>
        <w:tc>
          <w:tcPr>
            <w:tcW w:w="37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Yes</w:t>
            </w:r>
          </w:p>
        </w:tc>
      </w:tr>
      <w:tr w:rsidR="003404B2" w:rsidTr="00E76841">
        <w:trPr>
          <w:trHeight w:val="60"/>
        </w:trPr>
        <w:tc>
          <w:tcPr>
            <w:tcW w:w="333"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IT07A</w:t>
            </w:r>
          </w:p>
        </w:tc>
        <w:tc>
          <w:tcPr>
            <w:tcW w:w="259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Intersection: Toolern Road and Paynes Road</w:t>
            </w:r>
            <w:r>
              <w:rPr>
                <w:rStyle w:val="TableBodyBOLD"/>
              </w:rPr>
              <w:br/>
            </w:r>
            <w:r>
              <w:t>Purchase of land within precinct to facilitate IT07B (ultimate standard).</w:t>
            </w:r>
          </w:p>
        </w:tc>
        <w:tc>
          <w:tcPr>
            <w:tcW w:w="53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Residential &amp; Employment</w:t>
            </w:r>
          </w:p>
        </w:tc>
        <w:tc>
          <w:tcPr>
            <w:tcW w:w="52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463.13</w:t>
            </w:r>
          </w:p>
        </w:tc>
        <w:tc>
          <w:tcPr>
            <w:tcW w:w="63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As required by traffic/access demand</w:t>
            </w:r>
          </w:p>
        </w:tc>
        <w:tc>
          <w:tcPr>
            <w:tcW w:w="37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Yes</w:t>
            </w:r>
          </w:p>
        </w:tc>
      </w:tr>
      <w:tr w:rsidR="003404B2" w:rsidTr="00E76841">
        <w:trPr>
          <w:trHeight w:val="60"/>
        </w:trPr>
        <w:tc>
          <w:tcPr>
            <w:tcW w:w="333"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IT07B</w:t>
            </w:r>
          </w:p>
        </w:tc>
        <w:tc>
          <w:tcPr>
            <w:tcW w:w="259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Intersection: Toolern Road and Paynes Road</w:t>
            </w:r>
            <w:r>
              <w:rPr>
                <w:rStyle w:val="TableBodyBOLD"/>
              </w:rPr>
              <w:br/>
            </w:r>
            <w:r>
              <w:t xml:space="preserve">Construction of a </w:t>
            </w:r>
            <w:proofErr w:type="spellStart"/>
            <w:r>
              <w:t>signalised</w:t>
            </w:r>
            <w:proofErr w:type="spellEnd"/>
            <w:r>
              <w:t xml:space="preserve"> 4-way intersection (interim standard) at the intersection of Toolern Road and Paynes Road.</w:t>
            </w:r>
          </w:p>
        </w:tc>
        <w:tc>
          <w:tcPr>
            <w:tcW w:w="53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Residential &amp; Employment</w:t>
            </w:r>
          </w:p>
        </w:tc>
        <w:tc>
          <w:tcPr>
            <w:tcW w:w="52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463.13</w:t>
            </w:r>
          </w:p>
        </w:tc>
        <w:tc>
          <w:tcPr>
            <w:tcW w:w="63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As required by traffic/access demand</w:t>
            </w:r>
          </w:p>
        </w:tc>
        <w:tc>
          <w:tcPr>
            <w:tcW w:w="37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Yes</w:t>
            </w:r>
          </w:p>
        </w:tc>
      </w:tr>
      <w:tr w:rsidR="003404B2" w:rsidTr="00E76841">
        <w:trPr>
          <w:trHeight w:val="60"/>
        </w:trPr>
        <w:tc>
          <w:tcPr>
            <w:tcW w:w="333"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IT07C</w:t>
            </w:r>
          </w:p>
        </w:tc>
        <w:tc>
          <w:tcPr>
            <w:tcW w:w="259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Intersection: Toolern Road and Paynes Road</w:t>
            </w:r>
            <w:r>
              <w:rPr>
                <w:rStyle w:val="TableBodyBOLD"/>
              </w:rPr>
              <w:br/>
            </w:r>
            <w:r>
              <w:t>Payment of habitat compensation to facilitate IT07B.</w:t>
            </w:r>
          </w:p>
        </w:tc>
        <w:tc>
          <w:tcPr>
            <w:tcW w:w="53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Residential &amp; Employment</w:t>
            </w:r>
          </w:p>
        </w:tc>
        <w:tc>
          <w:tcPr>
            <w:tcW w:w="52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463.13</w:t>
            </w:r>
          </w:p>
        </w:tc>
        <w:tc>
          <w:tcPr>
            <w:tcW w:w="63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As required by traffic/access demand</w:t>
            </w:r>
          </w:p>
        </w:tc>
        <w:tc>
          <w:tcPr>
            <w:tcW w:w="37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No</w:t>
            </w:r>
          </w:p>
        </w:tc>
      </w:tr>
      <w:tr w:rsidR="003404B2" w:rsidTr="00E76841">
        <w:trPr>
          <w:trHeight w:val="60"/>
        </w:trPr>
        <w:tc>
          <w:tcPr>
            <w:tcW w:w="333"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IT08A</w:t>
            </w:r>
          </w:p>
        </w:tc>
        <w:tc>
          <w:tcPr>
            <w:tcW w:w="259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Intersection: Rockbank Road and 'RB East West Road 2'</w:t>
            </w:r>
            <w:r>
              <w:rPr>
                <w:rStyle w:val="TableBodyBOLD"/>
              </w:rPr>
              <w:br/>
            </w:r>
            <w:r>
              <w:t>Purchase of land within precinct to facilitate IT08B (ultimate standard).</w:t>
            </w:r>
          </w:p>
        </w:tc>
        <w:tc>
          <w:tcPr>
            <w:tcW w:w="53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Residential &amp; Employment</w:t>
            </w:r>
          </w:p>
        </w:tc>
        <w:tc>
          <w:tcPr>
            <w:tcW w:w="52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463.13</w:t>
            </w:r>
          </w:p>
        </w:tc>
        <w:tc>
          <w:tcPr>
            <w:tcW w:w="63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As required by traffic/access demand</w:t>
            </w:r>
          </w:p>
        </w:tc>
        <w:tc>
          <w:tcPr>
            <w:tcW w:w="37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Yes</w:t>
            </w:r>
          </w:p>
        </w:tc>
      </w:tr>
      <w:tr w:rsidR="003404B2" w:rsidTr="00E76841">
        <w:trPr>
          <w:trHeight w:val="60"/>
        </w:trPr>
        <w:tc>
          <w:tcPr>
            <w:tcW w:w="333"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IT08B</w:t>
            </w:r>
          </w:p>
        </w:tc>
        <w:tc>
          <w:tcPr>
            <w:tcW w:w="259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Intersection: Rockbank Road and 'RB East West Road 2'</w:t>
            </w:r>
            <w:r>
              <w:rPr>
                <w:rStyle w:val="TableBodyBOLD"/>
              </w:rPr>
              <w:br/>
            </w:r>
            <w:r>
              <w:t xml:space="preserve">Construction of a </w:t>
            </w:r>
            <w:proofErr w:type="spellStart"/>
            <w:r>
              <w:t>signalised</w:t>
            </w:r>
            <w:proofErr w:type="spellEnd"/>
            <w:r>
              <w:t xml:space="preserve"> T-intersection (interim standard) at the intersection of Rockbank Road and 'RB East West Road 2'.</w:t>
            </w:r>
          </w:p>
        </w:tc>
        <w:tc>
          <w:tcPr>
            <w:tcW w:w="53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Residential &amp; Employment</w:t>
            </w:r>
          </w:p>
        </w:tc>
        <w:tc>
          <w:tcPr>
            <w:tcW w:w="52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463.13</w:t>
            </w:r>
          </w:p>
        </w:tc>
        <w:tc>
          <w:tcPr>
            <w:tcW w:w="63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As required by traffic/access demand</w:t>
            </w:r>
          </w:p>
        </w:tc>
        <w:tc>
          <w:tcPr>
            <w:tcW w:w="37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Yes</w:t>
            </w:r>
          </w:p>
        </w:tc>
      </w:tr>
      <w:tr w:rsidR="003404B2" w:rsidTr="00E76841">
        <w:trPr>
          <w:trHeight w:val="60"/>
        </w:trPr>
        <w:tc>
          <w:tcPr>
            <w:tcW w:w="333"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IT09A</w:t>
            </w:r>
          </w:p>
        </w:tc>
        <w:tc>
          <w:tcPr>
            <w:tcW w:w="259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Intersection: Rockbank Road and 'RB East West Road 1'</w:t>
            </w:r>
            <w:r>
              <w:rPr>
                <w:rStyle w:val="TableBodyBOLD"/>
              </w:rPr>
              <w:br/>
            </w:r>
            <w:r>
              <w:t>Purchase of land within precinct to facilitate IT09B (ultimate standard).</w:t>
            </w:r>
          </w:p>
        </w:tc>
        <w:tc>
          <w:tcPr>
            <w:tcW w:w="53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Residential &amp; Employment</w:t>
            </w:r>
          </w:p>
        </w:tc>
        <w:tc>
          <w:tcPr>
            <w:tcW w:w="52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463.13</w:t>
            </w:r>
          </w:p>
        </w:tc>
        <w:tc>
          <w:tcPr>
            <w:tcW w:w="63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As required by traffic/access demand</w:t>
            </w:r>
          </w:p>
        </w:tc>
        <w:tc>
          <w:tcPr>
            <w:tcW w:w="37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Yes</w:t>
            </w:r>
          </w:p>
        </w:tc>
      </w:tr>
      <w:tr w:rsidR="003404B2" w:rsidTr="00E76841">
        <w:trPr>
          <w:trHeight w:val="60"/>
        </w:trPr>
        <w:tc>
          <w:tcPr>
            <w:tcW w:w="333"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lastRenderedPageBreak/>
              <w:t>IT09B</w:t>
            </w:r>
          </w:p>
        </w:tc>
        <w:tc>
          <w:tcPr>
            <w:tcW w:w="259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Intersection: Rockbank Road and 'RB East West Road 1'</w:t>
            </w:r>
            <w:r>
              <w:rPr>
                <w:rStyle w:val="TableBodyBOLD"/>
              </w:rPr>
              <w:br/>
            </w:r>
            <w:r>
              <w:t xml:space="preserve">Construction of a </w:t>
            </w:r>
            <w:proofErr w:type="spellStart"/>
            <w:r>
              <w:t>signalised</w:t>
            </w:r>
            <w:proofErr w:type="spellEnd"/>
            <w:r>
              <w:t xml:space="preserve"> 4-way intersection (interim standard) at the intersection of Rockbank Road and 'RB East West Road 1'.</w:t>
            </w:r>
          </w:p>
        </w:tc>
        <w:tc>
          <w:tcPr>
            <w:tcW w:w="53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Residential &amp; Employment</w:t>
            </w:r>
          </w:p>
        </w:tc>
        <w:tc>
          <w:tcPr>
            <w:tcW w:w="52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463.13</w:t>
            </w:r>
          </w:p>
        </w:tc>
        <w:tc>
          <w:tcPr>
            <w:tcW w:w="63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As required by traffic/access demand</w:t>
            </w:r>
          </w:p>
        </w:tc>
        <w:tc>
          <w:tcPr>
            <w:tcW w:w="37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Yes</w:t>
            </w:r>
          </w:p>
        </w:tc>
      </w:tr>
      <w:tr w:rsidR="003404B2" w:rsidTr="00E76841">
        <w:trPr>
          <w:trHeight w:val="60"/>
        </w:trPr>
        <w:tc>
          <w:tcPr>
            <w:tcW w:w="333"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IT10A</w:t>
            </w:r>
          </w:p>
        </w:tc>
        <w:tc>
          <w:tcPr>
            <w:tcW w:w="259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Intersection: Rockbank Road and Westcott Parade Extension</w:t>
            </w:r>
            <w:r>
              <w:rPr>
                <w:rStyle w:val="TableBodyBOLD"/>
              </w:rPr>
              <w:br/>
            </w:r>
            <w:r>
              <w:t>Purchase of land within precinct to facilitate IT10B (ultimate standard).</w:t>
            </w:r>
          </w:p>
        </w:tc>
        <w:tc>
          <w:tcPr>
            <w:tcW w:w="53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Residential &amp; Employment</w:t>
            </w:r>
          </w:p>
        </w:tc>
        <w:tc>
          <w:tcPr>
            <w:tcW w:w="52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463.13</w:t>
            </w:r>
          </w:p>
        </w:tc>
        <w:tc>
          <w:tcPr>
            <w:tcW w:w="63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As required by traffic/access demand</w:t>
            </w:r>
          </w:p>
        </w:tc>
        <w:tc>
          <w:tcPr>
            <w:tcW w:w="37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Yes</w:t>
            </w:r>
          </w:p>
        </w:tc>
      </w:tr>
      <w:tr w:rsidR="003404B2" w:rsidTr="00E76841">
        <w:trPr>
          <w:trHeight w:val="60"/>
        </w:trPr>
        <w:tc>
          <w:tcPr>
            <w:tcW w:w="333"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IT10B</w:t>
            </w:r>
          </w:p>
        </w:tc>
        <w:tc>
          <w:tcPr>
            <w:tcW w:w="259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Intersection: Rockbank Road and Westcott Parade Extension</w:t>
            </w:r>
            <w:r>
              <w:rPr>
                <w:rStyle w:val="TableBodyBOLD"/>
              </w:rPr>
              <w:br/>
            </w:r>
            <w:r>
              <w:t xml:space="preserve">Construction of a </w:t>
            </w:r>
            <w:proofErr w:type="spellStart"/>
            <w:r>
              <w:t>signalised</w:t>
            </w:r>
            <w:proofErr w:type="spellEnd"/>
            <w:r>
              <w:t xml:space="preserve"> 4-way intersection (interim standard) at the intersection of Rockbank Road and the extended Westcott Parade.</w:t>
            </w:r>
          </w:p>
        </w:tc>
        <w:tc>
          <w:tcPr>
            <w:tcW w:w="53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Residential &amp; Employment</w:t>
            </w:r>
          </w:p>
        </w:tc>
        <w:tc>
          <w:tcPr>
            <w:tcW w:w="52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463.13</w:t>
            </w:r>
          </w:p>
        </w:tc>
        <w:tc>
          <w:tcPr>
            <w:tcW w:w="63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As required by traffic/access demand</w:t>
            </w:r>
          </w:p>
        </w:tc>
        <w:tc>
          <w:tcPr>
            <w:tcW w:w="37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Yes</w:t>
            </w:r>
          </w:p>
        </w:tc>
      </w:tr>
      <w:tr w:rsidR="003404B2" w:rsidTr="00E76841">
        <w:trPr>
          <w:trHeight w:val="60"/>
        </w:trPr>
        <w:tc>
          <w:tcPr>
            <w:tcW w:w="333"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IT11A</w:t>
            </w:r>
          </w:p>
        </w:tc>
        <w:tc>
          <w:tcPr>
            <w:tcW w:w="259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Intersection: Paynes Road and Murray Road</w:t>
            </w:r>
            <w:r>
              <w:rPr>
                <w:rStyle w:val="TableBodyBOLD"/>
              </w:rPr>
              <w:br/>
            </w:r>
            <w:r>
              <w:t>Purchase of land within precinct to facilitate IT11B (ultimate standard).</w:t>
            </w:r>
          </w:p>
        </w:tc>
        <w:tc>
          <w:tcPr>
            <w:tcW w:w="53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Residential &amp; Employment</w:t>
            </w:r>
          </w:p>
        </w:tc>
        <w:tc>
          <w:tcPr>
            <w:tcW w:w="52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463.13</w:t>
            </w:r>
          </w:p>
        </w:tc>
        <w:tc>
          <w:tcPr>
            <w:tcW w:w="63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As required by traffic/access demand</w:t>
            </w:r>
          </w:p>
        </w:tc>
        <w:tc>
          <w:tcPr>
            <w:tcW w:w="37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Yes</w:t>
            </w:r>
          </w:p>
        </w:tc>
      </w:tr>
      <w:tr w:rsidR="003404B2" w:rsidTr="00E76841">
        <w:trPr>
          <w:trHeight w:val="60"/>
        </w:trPr>
        <w:tc>
          <w:tcPr>
            <w:tcW w:w="333"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IT11B</w:t>
            </w:r>
          </w:p>
        </w:tc>
        <w:tc>
          <w:tcPr>
            <w:tcW w:w="259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Intersection: Paynes Road and Murray Road</w:t>
            </w:r>
            <w:r>
              <w:rPr>
                <w:rStyle w:val="TableBodyBOLD"/>
              </w:rPr>
              <w:br/>
            </w:r>
            <w:r>
              <w:t xml:space="preserve">Construction of a </w:t>
            </w:r>
            <w:proofErr w:type="spellStart"/>
            <w:r>
              <w:t>signalised</w:t>
            </w:r>
            <w:proofErr w:type="spellEnd"/>
            <w:r>
              <w:t xml:space="preserve"> 4-way intersection (interim standard) at the intersection of Paynes Road and Murray Road.</w:t>
            </w:r>
          </w:p>
        </w:tc>
        <w:tc>
          <w:tcPr>
            <w:tcW w:w="53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Residential &amp; Employment</w:t>
            </w:r>
          </w:p>
        </w:tc>
        <w:tc>
          <w:tcPr>
            <w:tcW w:w="52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463.13</w:t>
            </w:r>
          </w:p>
        </w:tc>
        <w:tc>
          <w:tcPr>
            <w:tcW w:w="63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As required by traffic/access demand</w:t>
            </w:r>
          </w:p>
        </w:tc>
        <w:tc>
          <w:tcPr>
            <w:tcW w:w="37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Yes</w:t>
            </w:r>
          </w:p>
        </w:tc>
      </w:tr>
      <w:tr w:rsidR="003404B2" w:rsidTr="00E76841">
        <w:trPr>
          <w:trHeight w:val="60"/>
        </w:trPr>
        <w:tc>
          <w:tcPr>
            <w:tcW w:w="333"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IT11C</w:t>
            </w:r>
          </w:p>
        </w:tc>
        <w:tc>
          <w:tcPr>
            <w:tcW w:w="259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Intersection: Paynes Road and Murray Road</w:t>
            </w:r>
            <w:r>
              <w:rPr>
                <w:rStyle w:val="TableBodyBOLD"/>
              </w:rPr>
              <w:br/>
            </w:r>
            <w:r>
              <w:t>Payment of habitat compensation to facilitate IT11B.</w:t>
            </w:r>
          </w:p>
        </w:tc>
        <w:tc>
          <w:tcPr>
            <w:tcW w:w="53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Residential &amp; Employment</w:t>
            </w:r>
          </w:p>
        </w:tc>
        <w:tc>
          <w:tcPr>
            <w:tcW w:w="52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463.13</w:t>
            </w:r>
          </w:p>
        </w:tc>
        <w:tc>
          <w:tcPr>
            <w:tcW w:w="63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As required by traffic/access demand</w:t>
            </w:r>
          </w:p>
        </w:tc>
        <w:tc>
          <w:tcPr>
            <w:tcW w:w="37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No</w:t>
            </w:r>
          </w:p>
        </w:tc>
      </w:tr>
      <w:tr w:rsidR="003404B2" w:rsidTr="00E76841">
        <w:trPr>
          <w:trHeight w:val="60"/>
        </w:trPr>
        <w:tc>
          <w:tcPr>
            <w:tcW w:w="333"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IT12A</w:t>
            </w:r>
          </w:p>
        </w:tc>
        <w:tc>
          <w:tcPr>
            <w:tcW w:w="259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Intersection: Paynes Road and Alfred Road</w:t>
            </w:r>
            <w:r>
              <w:rPr>
                <w:rStyle w:val="TableBodyBOLD"/>
              </w:rPr>
              <w:br/>
            </w:r>
            <w:r>
              <w:t>Purchase of land within precinct to facilitate IT12B (ultimate standard).</w:t>
            </w:r>
          </w:p>
        </w:tc>
        <w:tc>
          <w:tcPr>
            <w:tcW w:w="53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Residential &amp; Employment</w:t>
            </w:r>
          </w:p>
        </w:tc>
        <w:tc>
          <w:tcPr>
            <w:tcW w:w="52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463.13</w:t>
            </w:r>
          </w:p>
        </w:tc>
        <w:tc>
          <w:tcPr>
            <w:tcW w:w="63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As required by traffic/access demand</w:t>
            </w:r>
          </w:p>
        </w:tc>
        <w:tc>
          <w:tcPr>
            <w:tcW w:w="37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Yes</w:t>
            </w:r>
          </w:p>
        </w:tc>
      </w:tr>
      <w:tr w:rsidR="003404B2" w:rsidTr="00E76841">
        <w:trPr>
          <w:trHeight w:val="60"/>
        </w:trPr>
        <w:tc>
          <w:tcPr>
            <w:tcW w:w="333"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IT12B</w:t>
            </w:r>
          </w:p>
        </w:tc>
        <w:tc>
          <w:tcPr>
            <w:tcW w:w="259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Intersection: Paynes Road and Alfred Road</w:t>
            </w:r>
            <w:r>
              <w:rPr>
                <w:rStyle w:val="TableBodyBOLD"/>
              </w:rPr>
              <w:br/>
            </w:r>
            <w:r>
              <w:t xml:space="preserve">Construction of a </w:t>
            </w:r>
            <w:proofErr w:type="spellStart"/>
            <w:r>
              <w:t>signalised</w:t>
            </w:r>
            <w:proofErr w:type="spellEnd"/>
            <w:r>
              <w:t xml:space="preserve"> 4-way intersection (interim standard) at the intersection of Paynes Road and Alfred Road.</w:t>
            </w:r>
          </w:p>
        </w:tc>
        <w:tc>
          <w:tcPr>
            <w:tcW w:w="53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Residential &amp; Employment</w:t>
            </w:r>
          </w:p>
        </w:tc>
        <w:tc>
          <w:tcPr>
            <w:tcW w:w="52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463.13</w:t>
            </w:r>
          </w:p>
        </w:tc>
        <w:tc>
          <w:tcPr>
            <w:tcW w:w="63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As required by traffic/access demand</w:t>
            </w:r>
          </w:p>
        </w:tc>
        <w:tc>
          <w:tcPr>
            <w:tcW w:w="37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Yes</w:t>
            </w:r>
          </w:p>
        </w:tc>
      </w:tr>
      <w:tr w:rsidR="003404B2" w:rsidTr="00E76841">
        <w:trPr>
          <w:trHeight w:val="60"/>
        </w:trPr>
        <w:tc>
          <w:tcPr>
            <w:tcW w:w="333"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IT12C</w:t>
            </w:r>
          </w:p>
        </w:tc>
        <w:tc>
          <w:tcPr>
            <w:tcW w:w="259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Intersection: Paynes Road and Alfred Road</w:t>
            </w:r>
            <w:r>
              <w:rPr>
                <w:rStyle w:val="TableBodyBOLD"/>
              </w:rPr>
              <w:br/>
            </w:r>
            <w:r>
              <w:t>Payment of habitat compensation to facilitate IT12B.</w:t>
            </w:r>
          </w:p>
        </w:tc>
        <w:tc>
          <w:tcPr>
            <w:tcW w:w="53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Residential &amp; Employment</w:t>
            </w:r>
          </w:p>
        </w:tc>
        <w:tc>
          <w:tcPr>
            <w:tcW w:w="52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463.13</w:t>
            </w:r>
          </w:p>
        </w:tc>
        <w:tc>
          <w:tcPr>
            <w:tcW w:w="63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As required by traffic/access demand</w:t>
            </w:r>
          </w:p>
        </w:tc>
        <w:tc>
          <w:tcPr>
            <w:tcW w:w="37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No</w:t>
            </w:r>
          </w:p>
        </w:tc>
      </w:tr>
      <w:tr w:rsidR="003404B2" w:rsidTr="00E76841">
        <w:trPr>
          <w:trHeight w:val="60"/>
        </w:trPr>
        <w:tc>
          <w:tcPr>
            <w:tcW w:w="333"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IT13A</w:t>
            </w:r>
          </w:p>
        </w:tc>
        <w:tc>
          <w:tcPr>
            <w:tcW w:w="259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Intersection: Paynes Road and 'RB East West Road 1'</w:t>
            </w:r>
            <w:r>
              <w:rPr>
                <w:rStyle w:val="TableBodyBOLD"/>
              </w:rPr>
              <w:br/>
            </w:r>
            <w:r>
              <w:t>Purchase of land within precinct to facilitate IT13B (ultimate standard).</w:t>
            </w:r>
          </w:p>
        </w:tc>
        <w:tc>
          <w:tcPr>
            <w:tcW w:w="53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Residential &amp; Employment</w:t>
            </w:r>
          </w:p>
        </w:tc>
        <w:tc>
          <w:tcPr>
            <w:tcW w:w="52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463.13</w:t>
            </w:r>
          </w:p>
        </w:tc>
        <w:tc>
          <w:tcPr>
            <w:tcW w:w="63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As required by traffic/access demand</w:t>
            </w:r>
          </w:p>
        </w:tc>
        <w:tc>
          <w:tcPr>
            <w:tcW w:w="37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Yes</w:t>
            </w:r>
          </w:p>
        </w:tc>
      </w:tr>
      <w:tr w:rsidR="003404B2" w:rsidTr="00E76841">
        <w:trPr>
          <w:trHeight w:val="60"/>
        </w:trPr>
        <w:tc>
          <w:tcPr>
            <w:tcW w:w="333"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IT13B</w:t>
            </w:r>
          </w:p>
        </w:tc>
        <w:tc>
          <w:tcPr>
            <w:tcW w:w="259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Intersection: Paynes Road and 'RB East West Road 1'</w:t>
            </w:r>
            <w:r>
              <w:rPr>
                <w:rStyle w:val="TableBodyBOLD"/>
              </w:rPr>
              <w:br/>
            </w:r>
            <w:r>
              <w:t xml:space="preserve">Construction of a </w:t>
            </w:r>
            <w:proofErr w:type="spellStart"/>
            <w:r>
              <w:t>signalised</w:t>
            </w:r>
            <w:proofErr w:type="spellEnd"/>
            <w:r>
              <w:t xml:space="preserve"> 4-way intersection (interim standard) at the </w:t>
            </w:r>
            <w:r>
              <w:lastRenderedPageBreak/>
              <w:t>intersection of Paynes Road and 'RB East West Road 1'.</w:t>
            </w:r>
          </w:p>
        </w:tc>
        <w:tc>
          <w:tcPr>
            <w:tcW w:w="53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lastRenderedPageBreak/>
              <w:t>Residential &amp; Employment</w:t>
            </w:r>
          </w:p>
        </w:tc>
        <w:tc>
          <w:tcPr>
            <w:tcW w:w="52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463.13</w:t>
            </w:r>
          </w:p>
        </w:tc>
        <w:tc>
          <w:tcPr>
            <w:tcW w:w="63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As required by traffic/access demand</w:t>
            </w:r>
          </w:p>
        </w:tc>
        <w:tc>
          <w:tcPr>
            <w:tcW w:w="37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Yes</w:t>
            </w:r>
          </w:p>
        </w:tc>
      </w:tr>
      <w:tr w:rsidR="003404B2" w:rsidTr="00E76841">
        <w:trPr>
          <w:trHeight w:val="60"/>
        </w:trPr>
        <w:tc>
          <w:tcPr>
            <w:tcW w:w="333"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IT13C</w:t>
            </w:r>
          </w:p>
        </w:tc>
        <w:tc>
          <w:tcPr>
            <w:tcW w:w="259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Intersection: Paynes Road and 'RB East West Road 1'</w:t>
            </w:r>
            <w:r>
              <w:rPr>
                <w:rStyle w:val="TableBodyBOLD"/>
              </w:rPr>
              <w:br/>
            </w:r>
            <w:r>
              <w:t>Payment of habitat compensation to facilitate IT13B.</w:t>
            </w:r>
          </w:p>
        </w:tc>
        <w:tc>
          <w:tcPr>
            <w:tcW w:w="53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Residential &amp; Employment</w:t>
            </w:r>
          </w:p>
        </w:tc>
        <w:tc>
          <w:tcPr>
            <w:tcW w:w="52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463.13</w:t>
            </w:r>
          </w:p>
        </w:tc>
        <w:tc>
          <w:tcPr>
            <w:tcW w:w="63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As required by traffic/access demand</w:t>
            </w:r>
          </w:p>
        </w:tc>
        <w:tc>
          <w:tcPr>
            <w:tcW w:w="37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No</w:t>
            </w:r>
          </w:p>
        </w:tc>
      </w:tr>
      <w:tr w:rsidR="003404B2" w:rsidTr="00E76841">
        <w:trPr>
          <w:trHeight w:val="60"/>
        </w:trPr>
        <w:tc>
          <w:tcPr>
            <w:tcW w:w="333"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IT14A</w:t>
            </w:r>
          </w:p>
        </w:tc>
        <w:tc>
          <w:tcPr>
            <w:tcW w:w="259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Intersection: Paynes Road and 'RB East West Road 3'</w:t>
            </w:r>
            <w:r>
              <w:rPr>
                <w:rStyle w:val="TableBodyBOLD"/>
              </w:rPr>
              <w:br/>
            </w:r>
            <w:r>
              <w:t>Purchase of land within precinct to facilitate IT14B (ultimate standard).</w:t>
            </w:r>
          </w:p>
        </w:tc>
        <w:tc>
          <w:tcPr>
            <w:tcW w:w="53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Residential &amp; Employment</w:t>
            </w:r>
          </w:p>
        </w:tc>
        <w:tc>
          <w:tcPr>
            <w:tcW w:w="52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463.13</w:t>
            </w:r>
          </w:p>
        </w:tc>
        <w:tc>
          <w:tcPr>
            <w:tcW w:w="63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As required by traffic/access demand</w:t>
            </w:r>
          </w:p>
        </w:tc>
        <w:tc>
          <w:tcPr>
            <w:tcW w:w="37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Yes</w:t>
            </w:r>
          </w:p>
        </w:tc>
      </w:tr>
      <w:tr w:rsidR="003404B2" w:rsidTr="00E76841">
        <w:trPr>
          <w:trHeight w:val="60"/>
        </w:trPr>
        <w:tc>
          <w:tcPr>
            <w:tcW w:w="333"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IT14B</w:t>
            </w:r>
          </w:p>
        </w:tc>
        <w:tc>
          <w:tcPr>
            <w:tcW w:w="259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Intersection: Paynes Road and 'RB East West Road 3'</w:t>
            </w:r>
            <w:r>
              <w:rPr>
                <w:rStyle w:val="TableBodyBOLD"/>
              </w:rPr>
              <w:br/>
            </w:r>
            <w:r>
              <w:t xml:space="preserve">Construction of a </w:t>
            </w:r>
            <w:proofErr w:type="spellStart"/>
            <w:r>
              <w:t>signalised</w:t>
            </w:r>
            <w:proofErr w:type="spellEnd"/>
            <w:r>
              <w:t xml:space="preserve"> 4-way intersection (interim standard) at the intersection of Paynes Road and 'RB East West Road 3'.</w:t>
            </w:r>
          </w:p>
        </w:tc>
        <w:tc>
          <w:tcPr>
            <w:tcW w:w="53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Residential &amp; Employment</w:t>
            </w:r>
          </w:p>
        </w:tc>
        <w:tc>
          <w:tcPr>
            <w:tcW w:w="52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463.13</w:t>
            </w:r>
          </w:p>
        </w:tc>
        <w:tc>
          <w:tcPr>
            <w:tcW w:w="63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As required by traffic/access demand</w:t>
            </w:r>
          </w:p>
        </w:tc>
        <w:tc>
          <w:tcPr>
            <w:tcW w:w="37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Yes</w:t>
            </w:r>
          </w:p>
        </w:tc>
      </w:tr>
      <w:tr w:rsidR="003404B2" w:rsidTr="00E76841">
        <w:trPr>
          <w:trHeight w:val="60"/>
        </w:trPr>
        <w:tc>
          <w:tcPr>
            <w:tcW w:w="333"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IT14C</w:t>
            </w:r>
          </w:p>
        </w:tc>
        <w:tc>
          <w:tcPr>
            <w:tcW w:w="259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Intersection: Paynes Road and 'RB East West Road 3'</w:t>
            </w:r>
            <w:r>
              <w:rPr>
                <w:rStyle w:val="TableBodyBOLD"/>
              </w:rPr>
              <w:br/>
            </w:r>
            <w:r>
              <w:t>Payment of habitat compensation to facilitate IT14B.</w:t>
            </w:r>
          </w:p>
        </w:tc>
        <w:tc>
          <w:tcPr>
            <w:tcW w:w="53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Residential &amp; Employment</w:t>
            </w:r>
          </w:p>
        </w:tc>
        <w:tc>
          <w:tcPr>
            <w:tcW w:w="52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463.13</w:t>
            </w:r>
          </w:p>
        </w:tc>
        <w:tc>
          <w:tcPr>
            <w:tcW w:w="63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As required by traffic/access demand</w:t>
            </w:r>
          </w:p>
        </w:tc>
        <w:tc>
          <w:tcPr>
            <w:tcW w:w="37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No</w:t>
            </w:r>
          </w:p>
        </w:tc>
      </w:tr>
      <w:tr w:rsidR="003404B2" w:rsidTr="00E76841">
        <w:trPr>
          <w:trHeight w:val="60"/>
        </w:trPr>
        <w:tc>
          <w:tcPr>
            <w:tcW w:w="333"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IT15A</w:t>
            </w:r>
          </w:p>
        </w:tc>
        <w:tc>
          <w:tcPr>
            <w:tcW w:w="259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Intersection: Paynes Road and Greigs Road</w:t>
            </w:r>
            <w:r>
              <w:rPr>
                <w:rStyle w:val="TableBodyBOLD"/>
              </w:rPr>
              <w:br/>
            </w:r>
            <w:r>
              <w:t>Purchase of land within precinct to facilitate IT15B (ultimate standard).</w:t>
            </w:r>
          </w:p>
        </w:tc>
        <w:tc>
          <w:tcPr>
            <w:tcW w:w="53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Residential &amp; Employment</w:t>
            </w:r>
          </w:p>
        </w:tc>
        <w:tc>
          <w:tcPr>
            <w:tcW w:w="52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463.13</w:t>
            </w:r>
          </w:p>
        </w:tc>
        <w:tc>
          <w:tcPr>
            <w:tcW w:w="63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As required by traffic/access demand</w:t>
            </w:r>
          </w:p>
        </w:tc>
        <w:tc>
          <w:tcPr>
            <w:tcW w:w="37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Yes</w:t>
            </w:r>
          </w:p>
        </w:tc>
      </w:tr>
      <w:tr w:rsidR="003404B2" w:rsidTr="00E76841">
        <w:trPr>
          <w:trHeight w:val="60"/>
        </w:trPr>
        <w:tc>
          <w:tcPr>
            <w:tcW w:w="333"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IT15B</w:t>
            </w:r>
          </w:p>
        </w:tc>
        <w:tc>
          <w:tcPr>
            <w:tcW w:w="259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Intersection: Paynes Road and Greigs Road</w:t>
            </w:r>
            <w:r>
              <w:rPr>
                <w:rStyle w:val="TableBodyBOLD"/>
              </w:rPr>
              <w:br/>
            </w:r>
            <w:r>
              <w:t xml:space="preserve">Construction of a </w:t>
            </w:r>
            <w:proofErr w:type="spellStart"/>
            <w:r>
              <w:t>signalised</w:t>
            </w:r>
            <w:proofErr w:type="spellEnd"/>
            <w:r>
              <w:t xml:space="preserve"> 4-way intersection (interim standard) at the intersection of Paynes Road and Greigs Road.</w:t>
            </w:r>
          </w:p>
        </w:tc>
        <w:tc>
          <w:tcPr>
            <w:tcW w:w="53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Residential &amp; Employment</w:t>
            </w:r>
          </w:p>
        </w:tc>
        <w:tc>
          <w:tcPr>
            <w:tcW w:w="52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463.13</w:t>
            </w:r>
          </w:p>
        </w:tc>
        <w:tc>
          <w:tcPr>
            <w:tcW w:w="63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As required by traffic/access demand</w:t>
            </w:r>
          </w:p>
        </w:tc>
        <w:tc>
          <w:tcPr>
            <w:tcW w:w="37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Yes</w:t>
            </w:r>
          </w:p>
        </w:tc>
      </w:tr>
      <w:tr w:rsidR="003404B2" w:rsidTr="00E76841">
        <w:trPr>
          <w:trHeight w:val="60"/>
        </w:trPr>
        <w:tc>
          <w:tcPr>
            <w:tcW w:w="333"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IT15C</w:t>
            </w:r>
          </w:p>
        </w:tc>
        <w:tc>
          <w:tcPr>
            <w:tcW w:w="259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Intersection: Paynes Road and Greigs Road</w:t>
            </w:r>
            <w:r>
              <w:rPr>
                <w:rStyle w:val="TableBodyBOLD"/>
              </w:rPr>
              <w:br/>
            </w:r>
            <w:r>
              <w:t>Payment of habitat compensation to facilitate IT15B.</w:t>
            </w:r>
          </w:p>
        </w:tc>
        <w:tc>
          <w:tcPr>
            <w:tcW w:w="53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Residential &amp; Employment</w:t>
            </w:r>
          </w:p>
        </w:tc>
        <w:tc>
          <w:tcPr>
            <w:tcW w:w="52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463.13</w:t>
            </w:r>
          </w:p>
        </w:tc>
        <w:tc>
          <w:tcPr>
            <w:tcW w:w="63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As required by traffic/access demand</w:t>
            </w:r>
          </w:p>
        </w:tc>
        <w:tc>
          <w:tcPr>
            <w:tcW w:w="37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No</w:t>
            </w:r>
          </w:p>
        </w:tc>
      </w:tr>
    </w:tbl>
    <w:p w:rsidR="003404B2" w:rsidRDefault="003404B2" w:rsidP="003404B2">
      <w:pPr>
        <w:pStyle w:val="BodyContent"/>
      </w:pPr>
    </w:p>
    <w:p w:rsidR="003404B2" w:rsidRDefault="003404B2" w:rsidP="003404B2">
      <w:pPr>
        <w:pStyle w:val="BodyContent"/>
      </w:pPr>
    </w:p>
    <w:p w:rsidR="003404B2" w:rsidRDefault="003404B2" w:rsidP="00522731">
      <w:pPr>
        <w:pStyle w:val="Heading3"/>
      </w:pPr>
      <w:r>
        <w:t>Bridge projects</w:t>
      </w:r>
    </w:p>
    <w:p w:rsidR="003404B2" w:rsidRDefault="003404B2" w:rsidP="007900B2">
      <w:pPr>
        <w:pStyle w:val="BodyContent"/>
        <w:spacing w:before="85"/>
        <w:ind w:left="0"/>
      </w:pPr>
      <w:r>
        <w:t>The bridge projects in the DCP are based on the bridges illustrated on Plan 4 and are supported by the reports:</w:t>
      </w:r>
    </w:p>
    <w:p w:rsidR="003404B2" w:rsidRDefault="003404B2" w:rsidP="007900B2">
      <w:pPr>
        <w:pStyle w:val="List1bullet"/>
      </w:pPr>
      <w:r>
        <w:rPr>
          <w:rStyle w:val="BodybulletITALICS"/>
        </w:rPr>
        <w:t>Rockbank PSP Transport Modelling Assessment</w:t>
      </w:r>
      <w:r>
        <w:t>, September 2014 (Jacobs)</w:t>
      </w:r>
    </w:p>
    <w:p w:rsidR="003404B2" w:rsidRDefault="003404B2" w:rsidP="007900B2">
      <w:pPr>
        <w:pStyle w:val="List1bullet"/>
      </w:pPr>
      <w:r>
        <w:rPr>
          <w:rStyle w:val="BodybulletITALICS"/>
        </w:rPr>
        <w:t>Rockbank PSP Infrastructure Costing Assessment</w:t>
      </w:r>
      <w:r>
        <w:t>, June 2016 (SMEC).</w:t>
      </w:r>
    </w:p>
    <w:p w:rsidR="003404B2" w:rsidRDefault="003404B2" w:rsidP="007900B2">
      <w:pPr>
        <w:pStyle w:val="BodyContent"/>
        <w:spacing w:before="85"/>
        <w:ind w:left="0"/>
      </w:pPr>
      <w:r>
        <w:t>Infrastructure projects included under the collective ‘bridge projects’ include road bridge (flyover/grade separation), pedestrian bridge, level crossing upgrade, and drainage culvert.</w:t>
      </w:r>
    </w:p>
    <w:p w:rsidR="003404B2" w:rsidRDefault="007900B2" w:rsidP="007900B2">
      <w:pPr>
        <w:pStyle w:val="Caption"/>
        <w:jc w:val="left"/>
      </w:pPr>
      <w:bookmarkStart w:id="16" w:name="_Toc467676219"/>
      <w:r>
        <w:t xml:space="preserve">Table </w:t>
      </w:r>
      <w:fldSimple w:instr=" SEQ Table \* ARABIC ">
        <w:r>
          <w:rPr>
            <w:noProof/>
          </w:rPr>
          <w:t>4</w:t>
        </w:r>
      </w:fldSimple>
      <w:r>
        <w:t xml:space="preserve"> – </w:t>
      </w:r>
      <w:r w:rsidR="003404B2">
        <w:t>Bridge projects</w:t>
      </w:r>
      <w:bookmarkEnd w:id="16"/>
    </w:p>
    <w:p w:rsidR="003404B2" w:rsidRDefault="003404B2" w:rsidP="007900B2">
      <w:pPr>
        <w:pStyle w:val="BodyContent"/>
        <w:ind w:left="0"/>
      </w:pPr>
      <w:r>
        <w:t xml:space="preserve">The bridge projects funded by the DCP, as illustrated on Plan 4, include: </w:t>
      </w:r>
    </w:p>
    <w:tbl>
      <w:tblPr>
        <w:tblW w:w="5000" w:type="pct"/>
        <w:tblCellMar>
          <w:left w:w="0" w:type="dxa"/>
          <w:right w:w="0" w:type="dxa"/>
        </w:tblCellMar>
        <w:tblLook w:val="0000" w:firstRow="0" w:lastRow="0" w:firstColumn="0" w:lastColumn="0" w:noHBand="0" w:noVBand="0"/>
      </w:tblPr>
      <w:tblGrid>
        <w:gridCol w:w="818"/>
        <w:gridCol w:w="3393"/>
        <w:gridCol w:w="1230"/>
        <w:gridCol w:w="1230"/>
        <w:gridCol w:w="975"/>
        <w:gridCol w:w="832"/>
      </w:tblGrid>
      <w:tr w:rsidR="003404B2" w:rsidTr="007900B2">
        <w:trPr>
          <w:trHeight w:val="673"/>
          <w:tblHeader/>
        </w:trPr>
        <w:tc>
          <w:tcPr>
            <w:tcW w:w="282" w:type="pct"/>
            <w:tcBorders>
              <w:top w:val="single" w:sz="8" w:space="0" w:color="FFFFFF"/>
              <w:left w:val="single" w:sz="8" w:space="0" w:color="FFFFFF"/>
              <w:bottom w:val="single" w:sz="8" w:space="0" w:color="FFFFFF"/>
              <w:right w:val="single" w:sz="8" w:space="0" w:color="FFFFFF"/>
            </w:tcBorders>
            <w:shd w:val="solid" w:color="000000" w:fill="auto"/>
            <w:tcMar>
              <w:top w:w="79" w:type="dxa"/>
              <w:left w:w="79" w:type="dxa"/>
              <w:bottom w:w="79" w:type="dxa"/>
              <w:right w:w="79" w:type="dxa"/>
            </w:tcMar>
          </w:tcPr>
          <w:p w:rsidR="003404B2" w:rsidRDefault="003404B2">
            <w:pPr>
              <w:pStyle w:val="DCPTable-Heading-whiteTables"/>
            </w:pPr>
            <w:r>
              <w:rPr>
                <w:rFonts w:ascii="VIC SemiBold" w:hAnsi="VIC SemiBold" w:cs="VIC SemiBold"/>
                <w:sz w:val="14"/>
                <w:szCs w:val="14"/>
              </w:rPr>
              <w:lastRenderedPageBreak/>
              <w:t>DCP project ID</w:t>
            </w:r>
          </w:p>
        </w:tc>
        <w:tc>
          <w:tcPr>
            <w:tcW w:w="3052" w:type="pct"/>
            <w:tcBorders>
              <w:top w:val="single" w:sz="8" w:space="0" w:color="FFFFFF"/>
              <w:left w:val="single" w:sz="8" w:space="0" w:color="FFFFFF"/>
              <w:bottom w:val="single" w:sz="8" w:space="0" w:color="FFFFFF"/>
              <w:right w:val="single" w:sz="8" w:space="0" w:color="FFFFFF"/>
            </w:tcBorders>
            <w:shd w:val="solid" w:color="000000" w:fill="auto"/>
            <w:tcMar>
              <w:top w:w="79" w:type="dxa"/>
              <w:left w:w="79" w:type="dxa"/>
              <w:bottom w:w="79" w:type="dxa"/>
              <w:right w:w="79" w:type="dxa"/>
            </w:tcMar>
          </w:tcPr>
          <w:p w:rsidR="003404B2" w:rsidRDefault="003404B2">
            <w:pPr>
              <w:pStyle w:val="DCPTable-Heading-whiteTables"/>
            </w:pPr>
            <w:r>
              <w:rPr>
                <w:rFonts w:ascii="VIC SemiBold" w:hAnsi="VIC SemiBold" w:cs="VIC SemiBold"/>
                <w:sz w:val="14"/>
                <w:szCs w:val="14"/>
              </w:rPr>
              <w:t>Project title</w:t>
            </w:r>
            <w:r>
              <w:rPr>
                <w:rFonts w:ascii="VIC SemiBold" w:hAnsi="VIC SemiBold" w:cs="VIC SemiBold"/>
                <w:sz w:val="14"/>
                <w:szCs w:val="14"/>
              </w:rPr>
              <w:br/>
              <w:t>Project description</w:t>
            </w:r>
          </w:p>
        </w:tc>
        <w:tc>
          <w:tcPr>
            <w:tcW w:w="427" w:type="pct"/>
            <w:tcBorders>
              <w:top w:val="single" w:sz="8" w:space="0" w:color="FFFFFF"/>
              <w:left w:val="single" w:sz="8" w:space="0" w:color="FFFFFF"/>
              <w:bottom w:val="single" w:sz="8" w:space="0" w:color="FFFFFF"/>
              <w:right w:val="single" w:sz="8" w:space="0" w:color="FFFFFF"/>
            </w:tcBorders>
            <w:shd w:val="solid" w:color="000000" w:fill="auto"/>
            <w:tcMar>
              <w:top w:w="79" w:type="dxa"/>
              <w:left w:w="79" w:type="dxa"/>
              <w:bottom w:w="79" w:type="dxa"/>
              <w:right w:w="79" w:type="dxa"/>
            </w:tcMar>
          </w:tcPr>
          <w:p w:rsidR="003404B2" w:rsidRDefault="003404B2">
            <w:pPr>
              <w:pStyle w:val="DCPTable-Heading-whiteTables"/>
            </w:pPr>
            <w:r>
              <w:rPr>
                <w:rFonts w:ascii="VIC SemiBold" w:hAnsi="VIC SemiBold" w:cs="VIC SemiBold"/>
                <w:sz w:val="14"/>
                <w:szCs w:val="14"/>
              </w:rPr>
              <w:t>MCA contributing</w:t>
            </w:r>
          </w:p>
        </w:tc>
        <w:tc>
          <w:tcPr>
            <w:tcW w:w="429" w:type="pct"/>
            <w:tcBorders>
              <w:top w:val="single" w:sz="8" w:space="0" w:color="FFFFFF"/>
              <w:left w:val="single" w:sz="8" w:space="0" w:color="FFFFFF"/>
              <w:bottom w:val="single" w:sz="8" w:space="0" w:color="FFFFFF"/>
              <w:right w:val="single" w:sz="8" w:space="0" w:color="FFFFFF"/>
            </w:tcBorders>
            <w:shd w:val="solid" w:color="000000" w:fill="auto"/>
            <w:tcMar>
              <w:top w:w="79" w:type="dxa"/>
              <w:left w:w="79" w:type="dxa"/>
              <w:bottom w:w="79" w:type="dxa"/>
              <w:right w:w="79" w:type="dxa"/>
            </w:tcMar>
          </w:tcPr>
          <w:p w:rsidR="003404B2" w:rsidRDefault="003404B2">
            <w:pPr>
              <w:pStyle w:val="DCPTable-Heading-whiteTables"/>
            </w:pPr>
            <w:r>
              <w:rPr>
                <w:rFonts w:ascii="VIC SemiBold" w:hAnsi="VIC SemiBold" w:cs="VIC SemiBold"/>
                <w:sz w:val="14"/>
                <w:szCs w:val="14"/>
              </w:rPr>
              <w:t>Hectares contributing</w:t>
            </w:r>
          </w:p>
        </w:tc>
        <w:tc>
          <w:tcPr>
            <w:tcW w:w="504" w:type="pct"/>
            <w:tcBorders>
              <w:top w:val="single" w:sz="8" w:space="0" w:color="FFFFFF"/>
              <w:left w:val="single" w:sz="8" w:space="0" w:color="FFFFFF"/>
              <w:bottom w:val="single" w:sz="8" w:space="0" w:color="FFFFFF"/>
              <w:right w:val="single" w:sz="8" w:space="0" w:color="FFFFFF"/>
            </w:tcBorders>
            <w:shd w:val="solid" w:color="000000" w:fill="auto"/>
            <w:tcMar>
              <w:top w:w="79" w:type="dxa"/>
              <w:left w:w="79" w:type="dxa"/>
              <w:bottom w:w="79" w:type="dxa"/>
              <w:right w:w="79" w:type="dxa"/>
            </w:tcMar>
          </w:tcPr>
          <w:p w:rsidR="003404B2" w:rsidRDefault="003404B2">
            <w:pPr>
              <w:pStyle w:val="DCPTable-Heading-whiteTables"/>
            </w:pPr>
            <w:r>
              <w:rPr>
                <w:rFonts w:ascii="VIC SemiBold" w:hAnsi="VIC SemiBold" w:cs="VIC SemiBold"/>
                <w:sz w:val="14"/>
                <w:szCs w:val="14"/>
              </w:rPr>
              <w:t>Indicative provision trigger</w:t>
            </w:r>
          </w:p>
        </w:tc>
        <w:tc>
          <w:tcPr>
            <w:tcW w:w="305" w:type="pct"/>
            <w:tcBorders>
              <w:top w:val="single" w:sz="8" w:space="0" w:color="FFFFFF"/>
              <w:left w:val="single" w:sz="8" w:space="0" w:color="FFFFFF"/>
              <w:bottom w:val="single" w:sz="8" w:space="0" w:color="FFFFFF"/>
              <w:right w:val="single" w:sz="8" w:space="0" w:color="FFFFFF"/>
            </w:tcBorders>
            <w:shd w:val="solid" w:color="000000" w:fill="auto"/>
            <w:tcMar>
              <w:top w:w="79" w:type="dxa"/>
              <w:left w:w="79" w:type="dxa"/>
              <w:bottom w:w="79" w:type="dxa"/>
              <w:right w:w="79" w:type="dxa"/>
            </w:tcMar>
          </w:tcPr>
          <w:p w:rsidR="003404B2" w:rsidRDefault="003404B2">
            <w:pPr>
              <w:pStyle w:val="DCPTable-Heading-whiteTables"/>
            </w:pPr>
            <w:r>
              <w:rPr>
                <w:rFonts w:ascii="VIC SemiBold" w:hAnsi="VIC SemiBold" w:cs="VIC SemiBold"/>
                <w:sz w:val="14"/>
                <w:szCs w:val="14"/>
              </w:rPr>
              <w:t>Suitable as works in kind?</w:t>
            </w:r>
          </w:p>
        </w:tc>
      </w:tr>
      <w:tr w:rsidR="003404B2" w:rsidTr="007900B2">
        <w:trPr>
          <w:trHeight w:val="60"/>
        </w:trPr>
        <w:tc>
          <w:tcPr>
            <w:tcW w:w="282"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BR02A</w:t>
            </w:r>
          </w:p>
        </w:tc>
        <w:tc>
          <w:tcPr>
            <w:tcW w:w="3052"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pPr>
            <w:r>
              <w:rPr>
                <w:b/>
                <w:bCs/>
                <w:sz w:val="14"/>
                <w:szCs w:val="14"/>
              </w:rPr>
              <w:t>Rockbank Road Bridge</w:t>
            </w:r>
            <w:r>
              <w:rPr>
                <w:b/>
                <w:bCs/>
                <w:sz w:val="14"/>
                <w:szCs w:val="14"/>
              </w:rPr>
              <w:br/>
            </w:r>
            <w:r>
              <w:rPr>
                <w:sz w:val="14"/>
                <w:szCs w:val="14"/>
              </w:rPr>
              <w:t>Purchase of land for the construction of a rail-road grade separation at the intersection of Rockbank Road and the Melbourne–Ballarat rail corridor (ultimate standard).</w:t>
            </w:r>
          </w:p>
        </w:tc>
        <w:tc>
          <w:tcPr>
            <w:tcW w:w="427"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Residential &amp; Employment</w:t>
            </w:r>
          </w:p>
        </w:tc>
        <w:tc>
          <w:tcPr>
            <w:tcW w:w="429"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463.13</w:t>
            </w:r>
          </w:p>
        </w:tc>
        <w:tc>
          <w:tcPr>
            <w:tcW w:w="504"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As required by traffic/access demand</w:t>
            </w:r>
          </w:p>
        </w:tc>
        <w:tc>
          <w:tcPr>
            <w:tcW w:w="305"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Yes</w:t>
            </w:r>
          </w:p>
        </w:tc>
      </w:tr>
      <w:tr w:rsidR="003404B2" w:rsidTr="007900B2">
        <w:trPr>
          <w:trHeight w:val="60"/>
        </w:trPr>
        <w:tc>
          <w:tcPr>
            <w:tcW w:w="282"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BR03A</w:t>
            </w:r>
          </w:p>
        </w:tc>
        <w:tc>
          <w:tcPr>
            <w:tcW w:w="3052"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pPr>
            <w:r>
              <w:rPr>
                <w:b/>
                <w:bCs/>
                <w:sz w:val="14"/>
                <w:szCs w:val="14"/>
              </w:rPr>
              <w:t>Paynes Road Freeway Flyover</w:t>
            </w:r>
            <w:r>
              <w:rPr>
                <w:b/>
                <w:bCs/>
                <w:sz w:val="14"/>
                <w:szCs w:val="14"/>
              </w:rPr>
              <w:br/>
            </w:r>
            <w:r>
              <w:rPr>
                <w:sz w:val="14"/>
                <w:szCs w:val="14"/>
              </w:rPr>
              <w:t>Purchase of land for the construction of a freeway-road grade separation at the intersection of Paynes Road and the Western Freeway corridor (southern approach only, ultimate standard).</w:t>
            </w:r>
          </w:p>
        </w:tc>
        <w:tc>
          <w:tcPr>
            <w:tcW w:w="427"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Residential &amp; Employment</w:t>
            </w:r>
          </w:p>
        </w:tc>
        <w:tc>
          <w:tcPr>
            <w:tcW w:w="429"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463.13</w:t>
            </w:r>
          </w:p>
        </w:tc>
        <w:tc>
          <w:tcPr>
            <w:tcW w:w="504"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As required by traffic/access demand</w:t>
            </w:r>
          </w:p>
        </w:tc>
        <w:tc>
          <w:tcPr>
            <w:tcW w:w="305"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Yes</w:t>
            </w:r>
          </w:p>
        </w:tc>
      </w:tr>
      <w:tr w:rsidR="003404B2" w:rsidTr="007900B2">
        <w:trPr>
          <w:trHeight w:val="60"/>
        </w:trPr>
        <w:tc>
          <w:tcPr>
            <w:tcW w:w="282"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BR03C</w:t>
            </w:r>
          </w:p>
        </w:tc>
        <w:tc>
          <w:tcPr>
            <w:tcW w:w="3052"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pPr>
            <w:r>
              <w:rPr>
                <w:b/>
                <w:bCs/>
                <w:sz w:val="14"/>
                <w:szCs w:val="14"/>
              </w:rPr>
              <w:t>Paynes Road Freeway Flyover</w:t>
            </w:r>
            <w:r>
              <w:rPr>
                <w:b/>
                <w:bCs/>
                <w:sz w:val="14"/>
                <w:szCs w:val="14"/>
              </w:rPr>
              <w:br/>
            </w:r>
            <w:r>
              <w:rPr>
                <w:sz w:val="14"/>
                <w:szCs w:val="14"/>
              </w:rPr>
              <w:t>Payment of habitat compensation to facilitate the construction of a freeway-road grade separation at the intersection of Paynes Road and the Western Freeway corridor.</w:t>
            </w:r>
          </w:p>
        </w:tc>
        <w:tc>
          <w:tcPr>
            <w:tcW w:w="427"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Residential &amp; Employment</w:t>
            </w:r>
          </w:p>
        </w:tc>
        <w:tc>
          <w:tcPr>
            <w:tcW w:w="429"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463.13</w:t>
            </w:r>
          </w:p>
        </w:tc>
        <w:tc>
          <w:tcPr>
            <w:tcW w:w="504"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As required by traffic/access demand</w:t>
            </w:r>
          </w:p>
        </w:tc>
        <w:tc>
          <w:tcPr>
            <w:tcW w:w="305"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No</w:t>
            </w:r>
          </w:p>
        </w:tc>
      </w:tr>
      <w:tr w:rsidR="003404B2" w:rsidTr="007900B2">
        <w:trPr>
          <w:trHeight w:val="60"/>
        </w:trPr>
        <w:tc>
          <w:tcPr>
            <w:tcW w:w="282"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BR04A</w:t>
            </w:r>
          </w:p>
        </w:tc>
        <w:tc>
          <w:tcPr>
            <w:tcW w:w="3052"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pPr>
            <w:r>
              <w:rPr>
                <w:b/>
                <w:bCs/>
                <w:sz w:val="14"/>
                <w:szCs w:val="14"/>
              </w:rPr>
              <w:t xml:space="preserve">Paynes Road Rail Flyover </w:t>
            </w:r>
            <w:r>
              <w:rPr>
                <w:b/>
                <w:bCs/>
                <w:sz w:val="14"/>
                <w:szCs w:val="14"/>
              </w:rPr>
              <w:br/>
            </w:r>
            <w:r>
              <w:rPr>
                <w:sz w:val="14"/>
                <w:szCs w:val="14"/>
              </w:rPr>
              <w:t>Purchase of land for the construction of a rail-road grade separation at the intersection of Paynes Road and the Melbourne–Ballarat rail corridor (ultimate standard).</w:t>
            </w:r>
          </w:p>
        </w:tc>
        <w:tc>
          <w:tcPr>
            <w:tcW w:w="427"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Residential &amp; Employment</w:t>
            </w:r>
          </w:p>
        </w:tc>
        <w:tc>
          <w:tcPr>
            <w:tcW w:w="429"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463.13</w:t>
            </w:r>
          </w:p>
        </w:tc>
        <w:tc>
          <w:tcPr>
            <w:tcW w:w="504"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As required by traffic/access demand</w:t>
            </w:r>
          </w:p>
        </w:tc>
        <w:tc>
          <w:tcPr>
            <w:tcW w:w="305"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Yes</w:t>
            </w:r>
          </w:p>
        </w:tc>
      </w:tr>
      <w:tr w:rsidR="003404B2" w:rsidTr="007900B2">
        <w:trPr>
          <w:trHeight w:val="60"/>
        </w:trPr>
        <w:tc>
          <w:tcPr>
            <w:tcW w:w="282"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BR04B</w:t>
            </w:r>
          </w:p>
        </w:tc>
        <w:tc>
          <w:tcPr>
            <w:tcW w:w="3052"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pPr>
            <w:r>
              <w:rPr>
                <w:b/>
                <w:bCs/>
                <w:sz w:val="14"/>
                <w:szCs w:val="14"/>
              </w:rPr>
              <w:t xml:space="preserve">Paynes Road Rail Flyover </w:t>
            </w:r>
            <w:r>
              <w:rPr>
                <w:b/>
                <w:bCs/>
                <w:sz w:val="14"/>
                <w:szCs w:val="14"/>
              </w:rPr>
              <w:br/>
            </w:r>
            <w:r>
              <w:rPr>
                <w:sz w:val="14"/>
                <w:szCs w:val="14"/>
              </w:rPr>
              <w:t>Construction of a rail-road grade separation (interim standard) at the intersection of Paynes Road and the Melbourne–Ballarat rail corridor.</w:t>
            </w:r>
          </w:p>
        </w:tc>
        <w:tc>
          <w:tcPr>
            <w:tcW w:w="427"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Residential &amp; Employment</w:t>
            </w:r>
          </w:p>
        </w:tc>
        <w:tc>
          <w:tcPr>
            <w:tcW w:w="429"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463.13</w:t>
            </w:r>
          </w:p>
        </w:tc>
        <w:tc>
          <w:tcPr>
            <w:tcW w:w="504"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As required by traffic/access demand</w:t>
            </w:r>
          </w:p>
        </w:tc>
        <w:tc>
          <w:tcPr>
            <w:tcW w:w="305"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No</w:t>
            </w:r>
          </w:p>
        </w:tc>
      </w:tr>
      <w:tr w:rsidR="003404B2" w:rsidTr="007900B2">
        <w:trPr>
          <w:trHeight w:val="60"/>
        </w:trPr>
        <w:tc>
          <w:tcPr>
            <w:tcW w:w="282"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BR04C</w:t>
            </w:r>
          </w:p>
        </w:tc>
        <w:tc>
          <w:tcPr>
            <w:tcW w:w="3052"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pPr>
            <w:r>
              <w:rPr>
                <w:b/>
                <w:bCs/>
                <w:sz w:val="14"/>
                <w:szCs w:val="14"/>
              </w:rPr>
              <w:t xml:space="preserve">Paynes Road Rail Flyover </w:t>
            </w:r>
            <w:r>
              <w:rPr>
                <w:b/>
                <w:bCs/>
                <w:sz w:val="14"/>
                <w:szCs w:val="14"/>
              </w:rPr>
              <w:br/>
            </w:r>
            <w:r>
              <w:rPr>
                <w:sz w:val="14"/>
                <w:szCs w:val="14"/>
              </w:rPr>
              <w:t>Payment of habitat compensation to facilitate the construction of a rail-road grade separation at the intersection of Paynes Road and the Melbourne–Ballarat rail corridor.</w:t>
            </w:r>
          </w:p>
        </w:tc>
        <w:tc>
          <w:tcPr>
            <w:tcW w:w="427"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Residential &amp; Employment</w:t>
            </w:r>
          </w:p>
        </w:tc>
        <w:tc>
          <w:tcPr>
            <w:tcW w:w="429"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463.13</w:t>
            </w:r>
          </w:p>
        </w:tc>
        <w:tc>
          <w:tcPr>
            <w:tcW w:w="504"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As required by traffic/access demand</w:t>
            </w:r>
          </w:p>
        </w:tc>
        <w:tc>
          <w:tcPr>
            <w:tcW w:w="305"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No</w:t>
            </w:r>
          </w:p>
        </w:tc>
      </w:tr>
      <w:tr w:rsidR="003404B2" w:rsidTr="007900B2">
        <w:trPr>
          <w:trHeight w:val="60"/>
        </w:trPr>
        <w:tc>
          <w:tcPr>
            <w:tcW w:w="282"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BR05B</w:t>
            </w:r>
          </w:p>
        </w:tc>
        <w:tc>
          <w:tcPr>
            <w:tcW w:w="3052"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pPr>
            <w:r>
              <w:rPr>
                <w:b/>
                <w:bCs/>
                <w:sz w:val="14"/>
                <w:szCs w:val="14"/>
              </w:rPr>
              <w:t>Rockbank East Pedestrian Bridge</w:t>
            </w:r>
            <w:r>
              <w:rPr>
                <w:b/>
                <w:bCs/>
                <w:sz w:val="14"/>
                <w:szCs w:val="14"/>
              </w:rPr>
              <w:br/>
            </w:r>
            <w:r>
              <w:rPr>
                <w:sz w:val="14"/>
                <w:szCs w:val="14"/>
              </w:rPr>
              <w:t>Construction of a pedestrian bridge (ultimate standard) over the Melbourne–Ballarat rail corridor at Ian Cowie Recreation Reserve.</w:t>
            </w:r>
          </w:p>
        </w:tc>
        <w:tc>
          <w:tcPr>
            <w:tcW w:w="427"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Residential &amp; Employment</w:t>
            </w:r>
          </w:p>
        </w:tc>
        <w:tc>
          <w:tcPr>
            <w:tcW w:w="429"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463.13</w:t>
            </w:r>
          </w:p>
        </w:tc>
        <w:tc>
          <w:tcPr>
            <w:tcW w:w="504"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As required by traffic/access demand</w:t>
            </w:r>
          </w:p>
        </w:tc>
        <w:tc>
          <w:tcPr>
            <w:tcW w:w="305"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No</w:t>
            </w:r>
          </w:p>
        </w:tc>
      </w:tr>
      <w:tr w:rsidR="003404B2" w:rsidTr="007900B2">
        <w:trPr>
          <w:trHeight w:val="60"/>
        </w:trPr>
        <w:tc>
          <w:tcPr>
            <w:tcW w:w="282"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BR06B</w:t>
            </w:r>
          </w:p>
        </w:tc>
        <w:tc>
          <w:tcPr>
            <w:tcW w:w="3052"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pPr>
            <w:r>
              <w:rPr>
                <w:b/>
                <w:bCs/>
                <w:sz w:val="14"/>
                <w:szCs w:val="14"/>
              </w:rPr>
              <w:t>Leakes Road Level Crossing Upgrade</w:t>
            </w:r>
            <w:r>
              <w:rPr>
                <w:b/>
                <w:bCs/>
                <w:sz w:val="14"/>
                <w:szCs w:val="14"/>
              </w:rPr>
              <w:br/>
            </w:r>
            <w:r>
              <w:rPr>
                <w:sz w:val="14"/>
                <w:szCs w:val="14"/>
              </w:rPr>
              <w:t>Construction of an upgrade to the level crossing at the intersection of Leakes Road and the Melbourne–Ballarat rail corridor, including automatic gates and pedestrian crossings.</w:t>
            </w:r>
          </w:p>
        </w:tc>
        <w:tc>
          <w:tcPr>
            <w:tcW w:w="427"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Residential &amp; Employment</w:t>
            </w:r>
          </w:p>
        </w:tc>
        <w:tc>
          <w:tcPr>
            <w:tcW w:w="429"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463.13</w:t>
            </w:r>
          </w:p>
        </w:tc>
        <w:tc>
          <w:tcPr>
            <w:tcW w:w="504"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As required by traffic/access demand</w:t>
            </w:r>
          </w:p>
        </w:tc>
        <w:tc>
          <w:tcPr>
            <w:tcW w:w="305"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No</w:t>
            </w:r>
          </w:p>
        </w:tc>
      </w:tr>
      <w:tr w:rsidR="003404B2" w:rsidTr="007900B2">
        <w:trPr>
          <w:trHeight w:val="60"/>
        </w:trPr>
        <w:tc>
          <w:tcPr>
            <w:tcW w:w="282"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BR07B</w:t>
            </w:r>
          </w:p>
        </w:tc>
        <w:tc>
          <w:tcPr>
            <w:tcW w:w="3052"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pPr>
            <w:r>
              <w:rPr>
                <w:b/>
                <w:bCs/>
                <w:sz w:val="14"/>
                <w:szCs w:val="14"/>
              </w:rPr>
              <w:t>Paynes Road Level Crossing Upgrade</w:t>
            </w:r>
            <w:r>
              <w:rPr>
                <w:b/>
                <w:bCs/>
                <w:sz w:val="14"/>
                <w:szCs w:val="14"/>
              </w:rPr>
              <w:br/>
            </w:r>
            <w:r>
              <w:rPr>
                <w:sz w:val="14"/>
                <w:szCs w:val="14"/>
              </w:rPr>
              <w:t>Construction of an upgrade to the level crossing at the intersection of Paynes Road and the Melbourne–Ballarat rail corridor, including automatic gates and pedestrian crossings.</w:t>
            </w:r>
          </w:p>
        </w:tc>
        <w:tc>
          <w:tcPr>
            <w:tcW w:w="427"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Residential &amp; Employment</w:t>
            </w:r>
          </w:p>
        </w:tc>
        <w:tc>
          <w:tcPr>
            <w:tcW w:w="429"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463.13</w:t>
            </w:r>
          </w:p>
        </w:tc>
        <w:tc>
          <w:tcPr>
            <w:tcW w:w="504"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As required by traffic/access demand</w:t>
            </w:r>
          </w:p>
        </w:tc>
        <w:tc>
          <w:tcPr>
            <w:tcW w:w="305"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No</w:t>
            </w:r>
          </w:p>
        </w:tc>
      </w:tr>
      <w:tr w:rsidR="003404B2" w:rsidTr="007900B2">
        <w:trPr>
          <w:trHeight w:val="60"/>
        </w:trPr>
        <w:tc>
          <w:tcPr>
            <w:tcW w:w="282"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BR08B</w:t>
            </w:r>
          </w:p>
        </w:tc>
        <w:tc>
          <w:tcPr>
            <w:tcW w:w="3052"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pPr>
            <w:r>
              <w:rPr>
                <w:b/>
                <w:bCs/>
                <w:sz w:val="14"/>
                <w:szCs w:val="14"/>
              </w:rPr>
              <w:t>Troups Road North Level Crossing Upgrade</w:t>
            </w:r>
            <w:r>
              <w:rPr>
                <w:b/>
                <w:bCs/>
                <w:sz w:val="14"/>
                <w:szCs w:val="14"/>
              </w:rPr>
              <w:br/>
            </w:r>
            <w:r>
              <w:rPr>
                <w:sz w:val="14"/>
                <w:szCs w:val="14"/>
              </w:rPr>
              <w:t>Construction of an upgrade to the level crossing at the intersection of Troups Road North and the Melbourne–Ballarat rail corridor, including automatic gates and pedestrian crossings.</w:t>
            </w:r>
          </w:p>
        </w:tc>
        <w:tc>
          <w:tcPr>
            <w:tcW w:w="427"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Residential &amp; Employment</w:t>
            </w:r>
          </w:p>
        </w:tc>
        <w:tc>
          <w:tcPr>
            <w:tcW w:w="429"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463.13</w:t>
            </w:r>
          </w:p>
        </w:tc>
        <w:tc>
          <w:tcPr>
            <w:tcW w:w="504"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As required by traffic/access demand</w:t>
            </w:r>
          </w:p>
        </w:tc>
        <w:tc>
          <w:tcPr>
            <w:tcW w:w="305"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No</w:t>
            </w:r>
          </w:p>
        </w:tc>
      </w:tr>
      <w:tr w:rsidR="003404B2" w:rsidTr="007900B2">
        <w:trPr>
          <w:trHeight w:val="60"/>
        </w:trPr>
        <w:tc>
          <w:tcPr>
            <w:tcW w:w="282"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BR09B</w:t>
            </w:r>
          </w:p>
        </w:tc>
        <w:tc>
          <w:tcPr>
            <w:tcW w:w="3052"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pPr>
            <w:r>
              <w:rPr>
                <w:b/>
                <w:bCs/>
                <w:sz w:val="14"/>
                <w:szCs w:val="14"/>
              </w:rPr>
              <w:t>Rockbank Road Drainage Culvert</w:t>
            </w:r>
            <w:r>
              <w:rPr>
                <w:b/>
                <w:bCs/>
                <w:sz w:val="14"/>
                <w:szCs w:val="14"/>
              </w:rPr>
              <w:br/>
            </w:r>
            <w:r>
              <w:rPr>
                <w:sz w:val="14"/>
                <w:szCs w:val="14"/>
              </w:rPr>
              <w:t>Construction of a culvert across Rockbank Road to cater for new drainage infrastructure associated with the Leakes Road Drainage Scheme.</w:t>
            </w:r>
          </w:p>
        </w:tc>
        <w:tc>
          <w:tcPr>
            <w:tcW w:w="427"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Residential &amp; Employment</w:t>
            </w:r>
          </w:p>
        </w:tc>
        <w:tc>
          <w:tcPr>
            <w:tcW w:w="429"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463.13</w:t>
            </w:r>
          </w:p>
        </w:tc>
        <w:tc>
          <w:tcPr>
            <w:tcW w:w="504"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As required by traffic/access demand</w:t>
            </w:r>
          </w:p>
        </w:tc>
        <w:tc>
          <w:tcPr>
            <w:tcW w:w="305" w:type="pct"/>
            <w:tcBorders>
              <w:top w:val="single" w:sz="8" w:space="0" w:color="FFFFFF"/>
              <w:left w:val="single" w:sz="8" w:space="0" w:color="FFFFFF"/>
              <w:bottom w:val="single" w:sz="8" w:space="0" w:color="FFFFFF"/>
              <w:right w:val="single" w:sz="8" w:space="0" w:color="FFFFFF"/>
            </w:tcBorders>
            <w:shd w:val="solid" w:color="65E5FF" w:fill="auto"/>
            <w:tcMar>
              <w:top w:w="79" w:type="dxa"/>
              <w:left w:w="79" w:type="dxa"/>
              <w:bottom w:w="79" w:type="dxa"/>
              <w:right w:w="79" w:type="dxa"/>
            </w:tcMar>
          </w:tcPr>
          <w:p w:rsidR="003404B2" w:rsidRDefault="003404B2">
            <w:pPr>
              <w:pStyle w:val="TableBodyTables"/>
              <w:jc w:val="center"/>
            </w:pPr>
            <w:r>
              <w:rPr>
                <w:sz w:val="14"/>
                <w:szCs w:val="14"/>
              </w:rPr>
              <w:t>Yes</w:t>
            </w:r>
          </w:p>
        </w:tc>
      </w:tr>
    </w:tbl>
    <w:p w:rsidR="003404B2" w:rsidRDefault="003404B2" w:rsidP="003404B2">
      <w:pPr>
        <w:pStyle w:val="BodyContent"/>
      </w:pPr>
    </w:p>
    <w:p w:rsidR="003404B2" w:rsidRDefault="00CB4476" w:rsidP="00CB4476">
      <w:pPr>
        <w:pStyle w:val="Caption"/>
      </w:pPr>
      <w:bookmarkStart w:id="17" w:name="_Toc467676214"/>
      <w:r>
        <w:t xml:space="preserve">Plan </w:t>
      </w:r>
      <w:fldSimple w:instr=" SEQ Plan \* ARABIC ">
        <w:r>
          <w:rPr>
            <w:noProof/>
          </w:rPr>
          <w:t>5</w:t>
        </w:r>
      </w:fldSimple>
      <w:r>
        <w:t xml:space="preserve"> – Community &amp; Recreation Projects</w:t>
      </w:r>
      <w:bookmarkEnd w:id="17"/>
    </w:p>
    <w:p w:rsidR="003404B2" w:rsidRDefault="003404B2" w:rsidP="00CB4476">
      <w:pPr>
        <w:pStyle w:val="Heading3"/>
      </w:pPr>
      <w:r>
        <w:t xml:space="preserve">Community facilities &amp; active recreation projects </w:t>
      </w:r>
    </w:p>
    <w:p w:rsidR="003404B2" w:rsidRDefault="003404B2" w:rsidP="007900B2">
      <w:pPr>
        <w:pStyle w:val="BodyContent"/>
        <w:ind w:left="0"/>
      </w:pPr>
      <w:r>
        <w:t xml:space="preserve">The community facilities and active recreation projects in the DCP are illustrated on Plan 5 and are supported by the report: </w:t>
      </w:r>
    </w:p>
    <w:p w:rsidR="003404B2" w:rsidRDefault="003404B2" w:rsidP="007900B2">
      <w:pPr>
        <w:pStyle w:val="List1bullet"/>
      </w:pPr>
      <w:r>
        <w:rPr>
          <w:rStyle w:val="BodybulletITALICS"/>
        </w:rPr>
        <w:t>Rockbank PSP Social Infrastructure Needs Assessment</w:t>
      </w:r>
      <w:r>
        <w:t>, July 2014 (MPA).</w:t>
      </w:r>
    </w:p>
    <w:p w:rsidR="003404B2" w:rsidRDefault="003404B2" w:rsidP="007900B2">
      <w:pPr>
        <w:pStyle w:val="BodyContent"/>
        <w:ind w:left="0"/>
      </w:pPr>
      <w:r>
        <w:t>Infrastructure costing sheets for community facilities and active recreation projects were prepared by Melton City Council and are based on recent capital works projects costed and/or constructed by Council.</w:t>
      </w:r>
    </w:p>
    <w:p w:rsidR="003404B2" w:rsidRDefault="007900B2" w:rsidP="007900B2">
      <w:pPr>
        <w:pStyle w:val="Caption"/>
      </w:pPr>
      <w:bookmarkStart w:id="18" w:name="_Toc467676220"/>
      <w:r>
        <w:t xml:space="preserve">Table </w:t>
      </w:r>
      <w:fldSimple w:instr=" SEQ Table \* ARABIC ">
        <w:r>
          <w:rPr>
            <w:noProof/>
          </w:rPr>
          <w:t>5</w:t>
        </w:r>
      </w:fldSimple>
      <w:r>
        <w:t xml:space="preserve"> – </w:t>
      </w:r>
      <w:r w:rsidR="003404B2">
        <w:t>Community facilities projects</w:t>
      </w:r>
      <w:bookmarkEnd w:id="18"/>
    </w:p>
    <w:p w:rsidR="003404B2" w:rsidRDefault="003404B2" w:rsidP="007900B2">
      <w:pPr>
        <w:pStyle w:val="BodyContent"/>
        <w:ind w:left="0"/>
      </w:pPr>
      <w:r>
        <w:t xml:space="preserve">The community facilities and sporting reserve projects funded by the DCP, as illustrated on Plan 5, include: </w:t>
      </w:r>
    </w:p>
    <w:tbl>
      <w:tblPr>
        <w:tblW w:w="5000" w:type="pct"/>
        <w:tblCellMar>
          <w:left w:w="0" w:type="dxa"/>
          <w:right w:w="0" w:type="dxa"/>
        </w:tblCellMar>
        <w:tblLook w:val="0000" w:firstRow="0" w:lastRow="0" w:firstColumn="0" w:lastColumn="0" w:noHBand="0" w:noVBand="0"/>
      </w:tblPr>
      <w:tblGrid>
        <w:gridCol w:w="914"/>
        <w:gridCol w:w="2788"/>
        <w:gridCol w:w="1386"/>
        <w:gridCol w:w="1386"/>
        <w:gridCol w:w="1074"/>
        <w:gridCol w:w="930"/>
      </w:tblGrid>
      <w:tr w:rsidR="003404B2" w:rsidTr="007900B2">
        <w:trPr>
          <w:trHeight w:val="763"/>
          <w:tblHeader/>
        </w:trPr>
        <w:tc>
          <w:tcPr>
            <w:tcW w:w="343" w:type="pct"/>
            <w:tcBorders>
              <w:top w:val="single" w:sz="8" w:space="0" w:color="FFFFFF"/>
              <w:left w:val="single" w:sz="8" w:space="0" w:color="FFFFFF"/>
              <w:bottom w:val="single" w:sz="8" w:space="0" w:color="FFFFFF"/>
              <w:right w:val="single" w:sz="8" w:space="0" w:color="FFFFFF"/>
            </w:tcBorders>
            <w:shd w:val="solid" w:color="514C51" w:fill="auto"/>
            <w:tcMar>
              <w:top w:w="80" w:type="dxa"/>
              <w:left w:w="80" w:type="dxa"/>
              <w:bottom w:w="80" w:type="dxa"/>
              <w:right w:w="80" w:type="dxa"/>
            </w:tcMar>
          </w:tcPr>
          <w:p w:rsidR="003404B2" w:rsidRDefault="003404B2">
            <w:pPr>
              <w:pStyle w:val="TableHEADTables"/>
            </w:pPr>
            <w:r>
              <w:t>DCP project ID</w:t>
            </w:r>
          </w:p>
        </w:tc>
        <w:tc>
          <w:tcPr>
            <w:tcW w:w="2310" w:type="pct"/>
            <w:tcBorders>
              <w:top w:val="single" w:sz="8" w:space="0" w:color="FFFFFF"/>
              <w:left w:val="single" w:sz="8" w:space="0" w:color="FFFFFF"/>
              <w:bottom w:val="single" w:sz="8" w:space="0" w:color="FFFFFF"/>
              <w:right w:val="single" w:sz="8" w:space="0" w:color="FFFFFF"/>
            </w:tcBorders>
            <w:shd w:val="solid" w:color="514C51" w:fill="auto"/>
            <w:tcMar>
              <w:top w:w="80" w:type="dxa"/>
              <w:left w:w="80" w:type="dxa"/>
              <w:bottom w:w="80" w:type="dxa"/>
              <w:right w:w="80" w:type="dxa"/>
            </w:tcMar>
          </w:tcPr>
          <w:p w:rsidR="003404B2" w:rsidRDefault="003404B2">
            <w:pPr>
              <w:pStyle w:val="TableHEADTables"/>
            </w:pPr>
            <w:r>
              <w:t>Project title</w:t>
            </w:r>
            <w:r>
              <w:br/>
              <w:t>Project description</w:t>
            </w:r>
          </w:p>
        </w:tc>
        <w:tc>
          <w:tcPr>
            <w:tcW w:w="527" w:type="pct"/>
            <w:tcBorders>
              <w:top w:val="single" w:sz="8" w:space="0" w:color="FFFFFF"/>
              <w:left w:val="single" w:sz="8" w:space="0" w:color="FFFFFF"/>
              <w:bottom w:val="single" w:sz="8" w:space="0" w:color="FFFFFF"/>
              <w:right w:val="single" w:sz="8" w:space="0" w:color="FFFFFF"/>
            </w:tcBorders>
            <w:shd w:val="solid" w:color="514C51" w:fill="auto"/>
            <w:tcMar>
              <w:top w:w="80" w:type="dxa"/>
              <w:left w:w="80" w:type="dxa"/>
              <w:bottom w:w="80" w:type="dxa"/>
              <w:right w:w="80" w:type="dxa"/>
            </w:tcMar>
          </w:tcPr>
          <w:p w:rsidR="003404B2" w:rsidRDefault="003404B2">
            <w:pPr>
              <w:pStyle w:val="TableHEADTables"/>
            </w:pPr>
            <w:r>
              <w:t>MCA contributing</w:t>
            </w:r>
          </w:p>
        </w:tc>
        <w:tc>
          <w:tcPr>
            <w:tcW w:w="506" w:type="pct"/>
            <w:tcBorders>
              <w:top w:val="single" w:sz="8" w:space="0" w:color="FFFFFF"/>
              <w:left w:val="single" w:sz="8" w:space="0" w:color="FFFFFF"/>
              <w:bottom w:val="single" w:sz="8" w:space="0" w:color="FFFFFF"/>
              <w:right w:val="single" w:sz="8" w:space="0" w:color="FFFFFF"/>
            </w:tcBorders>
            <w:shd w:val="solid" w:color="514C51" w:fill="auto"/>
            <w:tcMar>
              <w:top w:w="80" w:type="dxa"/>
              <w:left w:w="80" w:type="dxa"/>
              <w:bottom w:w="80" w:type="dxa"/>
              <w:right w:w="80" w:type="dxa"/>
            </w:tcMar>
          </w:tcPr>
          <w:p w:rsidR="003404B2" w:rsidRDefault="003404B2">
            <w:pPr>
              <w:pStyle w:val="TableHEADTables"/>
            </w:pPr>
            <w:r>
              <w:t>Hectares contributing</w:t>
            </w:r>
          </w:p>
        </w:tc>
        <w:tc>
          <w:tcPr>
            <w:tcW w:w="702" w:type="pct"/>
            <w:tcBorders>
              <w:top w:val="single" w:sz="8" w:space="0" w:color="FFFFFF"/>
              <w:left w:val="single" w:sz="8" w:space="0" w:color="FFFFFF"/>
              <w:bottom w:val="single" w:sz="8" w:space="0" w:color="FFFFFF"/>
              <w:right w:val="single" w:sz="8" w:space="0" w:color="FFFFFF"/>
            </w:tcBorders>
            <w:shd w:val="solid" w:color="514C51" w:fill="auto"/>
            <w:tcMar>
              <w:top w:w="80" w:type="dxa"/>
              <w:left w:w="80" w:type="dxa"/>
              <w:bottom w:w="80" w:type="dxa"/>
              <w:right w:w="80" w:type="dxa"/>
            </w:tcMar>
          </w:tcPr>
          <w:p w:rsidR="003404B2" w:rsidRDefault="003404B2">
            <w:pPr>
              <w:pStyle w:val="TableHEADTables"/>
            </w:pPr>
            <w:r>
              <w:t>Indicative provision trigger</w:t>
            </w:r>
          </w:p>
        </w:tc>
        <w:tc>
          <w:tcPr>
            <w:tcW w:w="611" w:type="pct"/>
            <w:tcBorders>
              <w:top w:val="single" w:sz="8" w:space="0" w:color="FFFFFF"/>
              <w:left w:val="single" w:sz="8" w:space="0" w:color="FFFFFF"/>
              <w:bottom w:val="single" w:sz="8" w:space="0" w:color="FFFFFF"/>
              <w:right w:val="single" w:sz="8" w:space="0" w:color="FFFFFF"/>
            </w:tcBorders>
            <w:shd w:val="solid" w:color="514C51" w:fill="auto"/>
            <w:tcMar>
              <w:top w:w="80" w:type="dxa"/>
              <w:left w:w="80" w:type="dxa"/>
              <w:bottom w:w="80" w:type="dxa"/>
              <w:right w:w="80" w:type="dxa"/>
            </w:tcMar>
          </w:tcPr>
          <w:p w:rsidR="003404B2" w:rsidRDefault="003404B2">
            <w:pPr>
              <w:pStyle w:val="TableHEADTables"/>
            </w:pPr>
            <w:r>
              <w:t>Suitable as works in kind?</w:t>
            </w:r>
          </w:p>
        </w:tc>
      </w:tr>
      <w:tr w:rsidR="003404B2" w:rsidTr="007900B2">
        <w:trPr>
          <w:trHeight w:val="60"/>
        </w:trPr>
        <w:tc>
          <w:tcPr>
            <w:tcW w:w="343"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CI01A</w:t>
            </w:r>
          </w:p>
        </w:tc>
        <w:tc>
          <w:tcPr>
            <w:tcW w:w="231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Rockbank East Community Centre (Rockbank East Community Hub</w:t>
            </w:r>
            <w:proofErr w:type="gramStart"/>
            <w:r>
              <w:rPr>
                <w:rStyle w:val="TableBodyBOLD"/>
              </w:rPr>
              <w:t>)</w:t>
            </w:r>
            <w:proofErr w:type="gramEnd"/>
            <w:r>
              <w:rPr>
                <w:rStyle w:val="TableBodyBOLD"/>
              </w:rPr>
              <w:br/>
            </w:r>
            <w:r>
              <w:t>Purchase of land within precinct to facilitate CI01B.</w:t>
            </w:r>
          </w:p>
        </w:tc>
        <w:tc>
          <w:tcPr>
            <w:tcW w:w="52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Residential</w:t>
            </w:r>
          </w:p>
        </w:tc>
        <w:tc>
          <w:tcPr>
            <w:tcW w:w="50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460.38</w:t>
            </w:r>
          </w:p>
        </w:tc>
        <w:tc>
          <w:tcPr>
            <w:tcW w:w="70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When population growth creates the need</w:t>
            </w:r>
          </w:p>
        </w:tc>
        <w:tc>
          <w:tcPr>
            <w:tcW w:w="611"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Yes</w:t>
            </w:r>
          </w:p>
        </w:tc>
      </w:tr>
      <w:tr w:rsidR="003404B2" w:rsidTr="007900B2">
        <w:trPr>
          <w:trHeight w:val="60"/>
        </w:trPr>
        <w:tc>
          <w:tcPr>
            <w:tcW w:w="343"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CI01B</w:t>
            </w:r>
          </w:p>
        </w:tc>
        <w:tc>
          <w:tcPr>
            <w:tcW w:w="231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Rockbank East Community Centre (Rockbank East Community Hub)</w:t>
            </w:r>
            <w:r>
              <w:rPr>
                <w:rStyle w:val="TableBodyBOLD"/>
              </w:rPr>
              <w:br/>
            </w:r>
            <w:r>
              <w:t>Construction of a multi-purpose community centre (Level 1) at Rockbank East Community Hub, including community rooms and additional facilities to cater for childcare and maternal child health.</w:t>
            </w:r>
          </w:p>
        </w:tc>
        <w:tc>
          <w:tcPr>
            <w:tcW w:w="52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Residential</w:t>
            </w:r>
          </w:p>
        </w:tc>
        <w:tc>
          <w:tcPr>
            <w:tcW w:w="50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460.38</w:t>
            </w:r>
          </w:p>
        </w:tc>
        <w:tc>
          <w:tcPr>
            <w:tcW w:w="70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When population growth creates the need</w:t>
            </w:r>
          </w:p>
        </w:tc>
        <w:tc>
          <w:tcPr>
            <w:tcW w:w="611"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No</w:t>
            </w:r>
          </w:p>
        </w:tc>
      </w:tr>
      <w:tr w:rsidR="003404B2" w:rsidTr="007900B2">
        <w:trPr>
          <w:trHeight w:val="60"/>
        </w:trPr>
        <w:tc>
          <w:tcPr>
            <w:tcW w:w="343"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CI02A</w:t>
            </w:r>
          </w:p>
        </w:tc>
        <w:tc>
          <w:tcPr>
            <w:tcW w:w="231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 xml:space="preserve">Rockbank South </w:t>
            </w:r>
            <w:proofErr w:type="spellStart"/>
            <w:r>
              <w:rPr>
                <w:rStyle w:val="TableBodyBOLD"/>
              </w:rPr>
              <w:t>Neighbourhood</w:t>
            </w:r>
            <w:proofErr w:type="spellEnd"/>
            <w:r>
              <w:rPr>
                <w:rStyle w:val="TableBodyBOLD"/>
              </w:rPr>
              <w:t xml:space="preserve"> House (Rockbank South Community Hub</w:t>
            </w:r>
            <w:proofErr w:type="gramStart"/>
            <w:r>
              <w:rPr>
                <w:rStyle w:val="TableBodyBOLD"/>
              </w:rPr>
              <w:t>)</w:t>
            </w:r>
            <w:proofErr w:type="gramEnd"/>
            <w:r>
              <w:rPr>
                <w:rStyle w:val="TableBodyBOLD"/>
              </w:rPr>
              <w:br/>
            </w:r>
            <w:r>
              <w:t>Purchase of land within precinct to facilitate CI02B.</w:t>
            </w:r>
          </w:p>
        </w:tc>
        <w:tc>
          <w:tcPr>
            <w:tcW w:w="52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Residential</w:t>
            </w:r>
          </w:p>
        </w:tc>
        <w:tc>
          <w:tcPr>
            <w:tcW w:w="50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460.38</w:t>
            </w:r>
          </w:p>
        </w:tc>
        <w:tc>
          <w:tcPr>
            <w:tcW w:w="70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When population growth creates the need</w:t>
            </w:r>
          </w:p>
        </w:tc>
        <w:tc>
          <w:tcPr>
            <w:tcW w:w="611"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Yes</w:t>
            </w:r>
          </w:p>
        </w:tc>
      </w:tr>
      <w:tr w:rsidR="003404B2" w:rsidTr="007900B2">
        <w:trPr>
          <w:trHeight w:val="60"/>
        </w:trPr>
        <w:tc>
          <w:tcPr>
            <w:tcW w:w="343"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CI02B</w:t>
            </w:r>
          </w:p>
        </w:tc>
        <w:tc>
          <w:tcPr>
            <w:tcW w:w="231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 xml:space="preserve">Rockbank South </w:t>
            </w:r>
            <w:proofErr w:type="spellStart"/>
            <w:r>
              <w:rPr>
                <w:rStyle w:val="TableBodyBOLD"/>
              </w:rPr>
              <w:t>Neighbourhood</w:t>
            </w:r>
            <w:proofErr w:type="spellEnd"/>
            <w:r>
              <w:rPr>
                <w:rStyle w:val="TableBodyBOLD"/>
              </w:rPr>
              <w:t xml:space="preserve"> House (Rockbank South Community Hub</w:t>
            </w:r>
            <w:proofErr w:type="gramStart"/>
            <w:r>
              <w:rPr>
                <w:rStyle w:val="TableBodyBOLD"/>
              </w:rPr>
              <w:t>)</w:t>
            </w:r>
            <w:proofErr w:type="gramEnd"/>
            <w:r>
              <w:rPr>
                <w:rStyle w:val="TableBodyBOLD"/>
              </w:rPr>
              <w:br/>
            </w:r>
            <w:r>
              <w:t xml:space="preserve">Construction of a multi-purpose community centre (Level 2) at Rockbank South Community Hub, including community rooms, additional facilities to cater for childcare and maternal child health, and </w:t>
            </w:r>
            <w:proofErr w:type="spellStart"/>
            <w:r>
              <w:t>neighbourhood</w:t>
            </w:r>
            <w:proofErr w:type="spellEnd"/>
            <w:r>
              <w:t xml:space="preserve"> house facilities.</w:t>
            </w:r>
          </w:p>
        </w:tc>
        <w:tc>
          <w:tcPr>
            <w:tcW w:w="52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Residential</w:t>
            </w:r>
          </w:p>
        </w:tc>
        <w:tc>
          <w:tcPr>
            <w:tcW w:w="50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460.38</w:t>
            </w:r>
          </w:p>
        </w:tc>
        <w:tc>
          <w:tcPr>
            <w:tcW w:w="70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When population growth creates the need</w:t>
            </w:r>
          </w:p>
        </w:tc>
        <w:tc>
          <w:tcPr>
            <w:tcW w:w="611"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No</w:t>
            </w:r>
          </w:p>
        </w:tc>
      </w:tr>
      <w:tr w:rsidR="003404B2" w:rsidTr="007900B2">
        <w:trPr>
          <w:trHeight w:val="60"/>
        </w:trPr>
        <w:tc>
          <w:tcPr>
            <w:tcW w:w="343"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CI03A</w:t>
            </w:r>
          </w:p>
        </w:tc>
        <w:tc>
          <w:tcPr>
            <w:tcW w:w="231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Rockbank Community Centre (Rockbank Major Town Centre)</w:t>
            </w:r>
            <w:r>
              <w:rPr>
                <w:rStyle w:val="TableBodyBOLD"/>
              </w:rPr>
              <w:br/>
            </w:r>
            <w:r>
              <w:t>Purchase of land within precinct to facilitate construction of a multi-purpose community centre (Level 3) in Rockbank Major Town Centre.</w:t>
            </w:r>
          </w:p>
        </w:tc>
        <w:tc>
          <w:tcPr>
            <w:tcW w:w="52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Residential</w:t>
            </w:r>
          </w:p>
        </w:tc>
        <w:tc>
          <w:tcPr>
            <w:tcW w:w="50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460.38</w:t>
            </w:r>
          </w:p>
        </w:tc>
        <w:tc>
          <w:tcPr>
            <w:tcW w:w="70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When population growth creates the need</w:t>
            </w:r>
          </w:p>
        </w:tc>
        <w:tc>
          <w:tcPr>
            <w:tcW w:w="611"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Yes</w:t>
            </w:r>
          </w:p>
        </w:tc>
      </w:tr>
      <w:tr w:rsidR="003404B2" w:rsidTr="007900B2">
        <w:trPr>
          <w:trHeight w:val="60"/>
        </w:trPr>
        <w:tc>
          <w:tcPr>
            <w:tcW w:w="343"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CI04A</w:t>
            </w:r>
          </w:p>
        </w:tc>
        <w:tc>
          <w:tcPr>
            <w:tcW w:w="231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Station Plaza (Rockbank Major Town Centre</w:t>
            </w:r>
            <w:proofErr w:type="gramStart"/>
            <w:r>
              <w:rPr>
                <w:rStyle w:val="TableBodyBOLD"/>
              </w:rPr>
              <w:t>)</w:t>
            </w:r>
            <w:proofErr w:type="gramEnd"/>
            <w:r>
              <w:rPr>
                <w:rStyle w:val="TableBodyBOLD"/>
              </w:rPr>
              <w:br/>
            </w:r>
            <w:r>
              <w:t xml:space="preserve">Purchase of land within precinct to facilitate construction of a </w:t>
            </w:r>
            <w:proofErr w:type="spellStart"/>
            <w:r>
              <w:t>pedestrianised</w:t>
            </w:r>
            <w:proofErr w:type="spellEnd"/>
            <w:r>
              <w:t xml:space="preserve"> town square linking Rockbank Railway Station to the </w:t>
            </w:r>
            <w:r>
              <w:lastRenderedPageBreak/>
              <w:t>high street in Rockbank Major Town Centre.</w:t>
            </w:r>
          </w:p>
        </w:tc>
        <w:tc>
          <w:tcPr>
            <w:tcW w:w="52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lastRenderedPageBreak/>
              <w:t>Residential</w:t>
            </w:r>
          </w:p>
        </w:tc>
        <w:tc>
          <w:tcPr>
            <w:tcW w:w="50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460.38</w:t>
            </w:r>
          </w:p>
        </w:tc>
        <w:tc>
          <w:tcPr>
            <w:tcW w:w="70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When population growth creates the need</w:t>
            </w:r>
          </w:p>
        </w:tc>
        <w:tc>
          <w:tcPr>
            <w:tcW w:w="611"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Yes</w:t>
            </w:r>
          </w:p>
        </w:tc>
      </w:tr>
    </w:tbl>
    <w:p w:rsidR="003404B2" w:rsidRDefault="003404B2" w:rsidP="007900B2">
      <w:pPr>
        <w:pStyle w:val="BodyContent"/>
        <w:ind w:left="0"/>
      </w:pPr>
    </w:p>
    <w:p w:rsidR="003404B2" w:rsidRDefault="007900B2" w:rsidP="007900B2">
      <w:pPr>
        <w:pStyle w:val="Caption"/>
      </w:pPr>
      <w:bookmarkStart w:id="19" w:name="_Toc467676221"/>
      <w:r>
        <w:t xml:space="preserve">Table </w:t>
      </w:r>
      <w:fldSimple w:instr=" SEQ Table \* ARABIC ">
        <w:r>
          <w:rPr>
            <w:noProof/>
          </w:rPr>
          <w:t>6</w:t>
        </w:r>
      </w:fldSimple>
      <w:r>
        <w:t xml:space="preserve"> –</w:t>
      </w:r>
      <w:r w:rsidR="003404B2">
        <w:t xml:space="preserve"> Active recreation projects</w:t>
      </w:r>
      <w:bookmarkEnd w:id="19"/>
    </w:p>
    <w:tbl>
      <w:tblPr>
        <w:tblW w:w="5000" w:type="pct"/>
        <w:tblCellMar>
          <w:left w:w="0" w:type="dxa"/>
          <w:right w:w="0" w:type="dxa"/>
        </w:tblCellMar>
        <w:tblLook w:val="0000" w:firstRow="0" w:lastRow="0" w:firstColumn="0" w:lastColumn="0" w:noHBand="0" w:noVBand="0"/>
      </w:tblPr>
      <w:tblGrid>
        <w:gridCol w:w="914"/>
        <w:gridCol w:w="2788"/>
        <w:gridCol w:w="1386"/>
        <w:gridCol w:w="1386"/>
        <w:gridCol w:w="1074"/>
        <w:gridCol w:w="930"/>
      </w:tblGrid>
      <w:tr w:rsidR="003404B2" w:rsidTr="007900B2">
        <w:trPr>
          <w:trHeight w:val="750"/>
          <w:tblHeader/>
        </w:trPr>
        <w:tc>
          <w:tcPr>
            <w:tcW w:w="346" w:type="pct"/>
            <w:tcBorders>
              <w:top w:val="single" w:sz="8" w:space="0" w:color="FFFFFF"/>
              <w:left w:val="single" w:sz="8" w:space="0" w:color="FFFFFF"/>
              <w:bottom w:val="single" w:sz="8" w:space="0" w:color="FFFFFF"/>
              <w:right w:val="single" w:sz="8" w:space="0" w:color="FFFFFF"/>
            </w:tcBorders>
            <w:shd w:val="solid" w:color="514C51" w:fill="auto"/>
            <w:tcMar>
              <w:top w:w="80" w:type="dxa"/>
              <w:left w:w="80" w:type="dxa"/>
              <w:bottom w:w="80" w:type="dxa"/>
              <w:right w:w="80" w:type="dxa"/>
            </w:tcMar>
          </w:tcPr>
          <w:p w:rsidR="003404B2" w:rsidRDefault="003404B2">
            <w:pPr>
              <w:pStyle w:val="TableHEADTables"/>
            </w:pPr>
            <w:r>
              <w:t>DCP project ID</w:t>
            </w:r>
          </w:p>
        </w:tc>
        <w:tc>
          <w:tcPr>
            <w:tcW w:w="2584" w:type="pct"/>
            <w:tcBorders>
              <w:top w:val="single" w:sz="8" w:space="0" w:color="FFFFFF"/>
              <w:left w:val="single" w:sz="8" w:space="0" w:color="FFFFFF"/>
              <w:bottom w:val="single" w:sz="8" w:space="0" w:color="FFFFFF"/>
              <w:right w:val="single" w:sz="8" w:space="0" w:color="FFFFFF"/>
            </w:tcBorders>
            <w:shd w:val="solid" w:color="514C51" w:fill="auto"/>
            <w:tcMar>
              <w:top w:w="80" w:type="dxa"/>
              <w:left w:w="80" w:type="dxa"/>
              <w:bottom w:w="80" w:type="dxa"/>
              <w:right w:w="80" w:type="dxa"/>
            </w:tcMar>
          </w:tcPr>
          <w:p w:rsidR="003404B2" w:rsidRDefault="003404B2">
            <w:pPr>
              <w:pStyle w:val="TableHEADTables"/>
            </w:pPr>
            <w:r>
              <w:t>Project title</w:t>
            </w:r>
            <w:r>
              <w:br/>
              <w:t>Project description</w:t>
            </w:r>
          </w:p>
        </w:tc>
        <w:tc>
          <w:tcPr>
            <w:tcW w:w="514" w:type="pct"/>
            <w:tcBorders>
              <w:top w:val="single" w:sz="8" w:space="0" w:color="FFFFFF"/>
              <w:left w:val="single" w:sz="8" w:space="0" w:color="FFFFFF"/>
              <w:bottom w:val="single" w:sz="8" w:space="0" w:color="FFFFFF"/>
              <w:right w:val="single" w:sz="8" w:space="0" w:color="FFFFFF"/>
            </w:tcBorders>
            <w:shd w:val="solid" w:color="514C51" w:fill="auto"/>
            <w:tcMar>
              <w:top w:w="80" w:type="dxa"/>
              <w:left w:w="80" w:type="dxa"/>
              <w:bottom w:w="80" w:type="dxa"/>
              <w:right w:w="80" w:type="dxa"/>
            </w:tcMar>
          </w:tcPr>
          <w:p w:rsidR="003404B2" w:rsidRDefault="003404B2">
            <w:pPr>
              <w:pStyle w:val="TableHEADTables"/>
            </w:pPr>
            <w:r>
              <w:t>MCA contributing</w:t>
            </w:r>
          </w:p>
        </w:tc>
        <w:tc>
          <w:tcPr>
            <w:tcW w:w="497" w:type="pct"/>
            <w:tcBorders>
              <w:top w:val="single" w:sz="8" w:space="0" w:color="FFFFFF"/>
              <w:left w:val="single" w:sz="8" w:space="0" w:color="FFFFFF"/>
              <w:bottom w:val="single" w:sz="8" w:space="0" w:color="FFFFFF"/>
              <w:right w:val="single" w:sz="8" w:space="0" w:color="FFFFFF"/>
            </w:tcBorders>
            <w:shd w:val="solid" w:color="514C51" w:fill="auto"/>
            <w:tcMar>
              <w:top w:w="80" w:type="dxa"/>
              <w:left w:w="80" w:type="dxa"/>
              <w:bottom w:w="80" w:type="dxa"/>
              <w:right w:w="80" w:type="dxa"/>
            </w:tcMar>
          </w:tcPr>
          <w:p w:rsidR="003404B2" w:rsidRDefault="003404B2">
            <w:pPr>
              <w:pStyle w:val="TableHEADTables"/>
            </w:pPr>
            <w:r>
              <w:t>Hectares contributing</w:t>
            </w:r>
          </w:p>
        </w:tc>
        <w:tc>
          <w:tcPr>
            <w:tcW w:w="694" w:type="pct"/>
            <w:tcBorders>
              <w:top w:val="single" w:sz="8" w:space="0" w:color="FFFFFF"/>
              <w:left w:val="single" w:sz="8" w:space="0" w:color="FFFFFF"/>
              <w:bottom w:val="single" w:sz="8" w:space="0" w:color="FFFFFF"/>
              <w:right w:val="single" w:sz="8" w:space="0" w:color="FFFFFF"/>
            </w:tcBorders>
            <w:shd w:val="solid" w:color="514C51" w:fill="auto"/>
            <w:tcMar>
              <w:top w:w="80" w:type="dxa"/>
              <w:left w:w="80" w:type="dxa"/>
              <w:bottom w:w="80" w:type="dxa"/>
              <w:right w:w="80" w:type="dxa"/>
            </w:tcMar>
          </w:tcPr>
          <w:p w:rsidR="003404B2" w:rsidRDefault="003404B2">
            <w:pPr>
              <w:pStyle w:val="TableHEADTables"/>
            </w:pPr>
            <w:r>
              <w:t>Indicative provision trigger</w:t>
            </w:r>
          </w:p>
        </w:tc>
        <w:tc>
          <w:tcPr>
            <w:tcW w:w="364" w:type="pct"/>
            <w:tcBorders>
              <w:top w:val="single" w:sz="8" w:space="0" w:color="FFFFFF"/>
              <w:left w:val="single" w:sz="8" w:space="0" w:color="FFFFFF"/>
              <w:bottom w:val="single" w:sz="8" w:space="0" w:color="FFFFFF"/>
              <w:right w:val="single" w:sz="8" w:space="0" w:color="FFFFFF"/>
            </w:tcBorders>
            <w:shd w:val="solid" w:color="514C51" w:fill="auto"/>
            <w:tcMar>
              <w:top w:w="80" w:type="dxa"/>
              <w:left w:w="80" w:type="dxa"/>
              <w:bottom w:w="80" w:type="dxa"/>
              <w:right w:w="80" w:type="dxa"/>
            </w:tcMar>
          </w:tcPr>
          <w:p w:rsidR="003404B2" w:rsidRDefault="003404B2">
            <w:pPr>
              <w:pStyle w:val="TableHEADTables"/>
            </w:pPr>
            <w:r>
              <w:t>Suitable as works in kind?</w:t>
            </w:r>
          </w:p>
        </w:tc>
      </w:tr>
      <w:tr w:rsidR="003404B2" w:rsidTr="007900B2">
        <w:trPr>
          <w:trHeight w:val="60"/>
        </w:trPr>
        <w:tc>
          <w:tcPr>
            <w:tcW w:w="34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AR01A</w:t>
            </w:r>
          </w:p>
        </w:tc>
        <w:tc>
          <w:tcPr>
            <w:tcW w:w="25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Rockbank East Sports Reserve (Rockbank East Community Hub</w:t>
            </w:r>
            <w:proofErr w:type="gramStart"/>
            <w:r>
              <w:rPr>
                <w:rStyle w:val="TableBodyBOLD"/>
              </w:rPr>
              <w:t>)</w:t>
            </w:r>
            <w:proofErr w:type="gramEnd"/>
            <w:r>
              <w:rPr>
                <w:rStyle w:val="TableBodyBOLD"/>
              </w:rPr>
              <w:br/>
            </w:r>
            <w:r>
              <w:t>Purchase of land within precinct to facilitate AR01B.</w:t>
            </w:r>
          </w:p>
        </w:tc>
        <w:tc>
          <w:tcPr>
            <w:tcW w:w="51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 xml:space="preserve">Residential </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460.38</w:t>
            </w:r>
          </w:p>
        </w:tc>
        <w:tc>
          <w:tcPr>
            <w:tcW w:w="69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When population growth creates the need</w:t>
            </w:r>
          </w:p>
        </w:tc>
        <w:tc>
          <w:tcPr>
            <w:tcW w:w="36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Yes</w:t>
            </w:r>
          </w:p>
        </w:tc>
      </w:tr>
      <w:tr w:rsidR="003404B2" w:rsidTr="007900B2">
        <w:trPr>
          <w:trHeight w:val="60"/>
        </w:trPr>
        <w:tc>
          <w:tcPr>
            <w:tcW w:w="34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AR01B</w:t>
            </w:r>
          </w:p>
        </w:tc>
        <w:tc>
          <w:tcPr>
            <w:tcW w:w="25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Rockbank East Sports Reserve (Rockbank East Community Hub</w:t>
            </w:r>
            <w:proofErr w:type="gramStart"/>
            <w:r>
              <w:rPr>
                <w:rStyle w:val="TableBodyBOLD"/>
              </w:rPr>
              <w:t>)</w:t>
            </w:r>
            <w:proofErr w:type="gramEnd"/>
            <w:r>
              <w:rPr>
                <w:rStyle w:val="TableBodyBOLD"/>
              </w:rPr>
              <w:br/>
            </w:r>
            <w:r>
              <w:t>Construction of a sports reserve incorporating playing surfaces and car parks, including all construction works, landscaping and related infrastructure.</w:t>
            </w:r>
          </w:p>
        </w:tc>
        <w:tc>
          <w:tcPr>
            <w:tcW w:w="51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 xml:space="preserve">Residential </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460.38</w:t>
            </w:r>
          </w:p>
        </w:tc>
        <w:tc>
          <w:tcPr>
            <w:tcW w:w="69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When population growth creates the need</w:t>
            </w:r>
          </w:p>
        </w:tc>
        <w:tc>
          <w:tcPr>
            <w:tcW w:w="36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No</w:t>
            </w:r>
          </w:p>
        </w:tc>
      </w:tr>
      <w:tr w:rsidR="003404B2" w:rsidTr="007900B2">
        <w:trPr>
          <w:trHeight w:val="60"/>
        </w:trPr>
        <w:tc>
          <w:tcPr>
            <w:tcW w:w="34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AR02A</w:t>
            </w:r>
          </w:p>
        </w:tc>
        <w:tc>
          <w:tcPr>
            <w:tcW w:w="25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Rockbank West Sports Reserve (Rockbank West Community Hub</w:t>
            </w:r>
            <w:proofErr w:type="gramStart"/>
            <w:r>
              <w:rPr>
                <w:rStyle w:val="TableBodyBOLD"/>
              </w:rPr>
              <w:t>)</w:t>
            </w:r>
            <w:proofErr w:type="gramEnd"/>
            <w:r>
              <w:rPr>
                <w:rStyle w:val="TableBodyBOLD"/>
              </w:rPr>
              <w:br/>
            </w:r>
            <w:r>
              <w:t>Purchase of land within precinct to facilitate AR02B.</w:t>
            </w:r>
          </w:p>
        </w:tc>
        <w:tc>
          <w:tcPr>
            <w:tcW w:w="51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 xml:space="preserve">Residential </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460.38</w:t>
            </w:r>
          </w:p>
        </w:tc>
        <w:tc>
          <w:tcPr>
            <w:tcW w:w="69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When population growth creates the need</w:t>
            </w:r>
          </w:p>
        </w:tc>
        <w:tc>
          <w:tcPr>
            <w:tcW w:w="36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Yes</w:t>
            </w:r>
          </w:p>
        </w:tc>
      </w:tr>
      <w:tr w:rsidR="003404B2" w:rsidTr="007900B2">
        <w:trPr>
          <w:trHeight w:val="60"/>
        </w:trPr>
        <w:tc>
          <w:tcPr>
            <w:tcW w:w="34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AR02B</w:t>
            </w:r>
          </w:p>
        </w:tc>
        <w:tc>
          <w:tcPr>
            <w:tcW w:w="25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Rockbank West Sports Reserve (Rockbank West Community Hub</w:t>
            </w:r>
            <w:proofErr w:type="gramStart"/>
            <w:r>
              <w:rPr>
                <w:rStyle w:val="TableBodyBOLD"/>
              </w:rPr>
              <w:t>)</w:t>
            </w:r>
            <w:proofErr w:type="gramEnd"/>
            <w:r>
              <w:rPr>
                <w:rStyle w:val="TableBodyBOLD"/>
              </w:rPr>
              <w:br/>
            </w:r>
            <w:r>
              <w:t>Construction of a sports reserve incorporating playing surfaces and car parks at Rockbank West Community Hub, including all construction works, landscaping and related infrastructure.</w:t>
            </w:r>
          </w:p>
        </w:tc>
        <w:tc>
          <w:tcPr>
            <w:tcW w:w="51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 xml:space="preserve">Residential </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460.38</w:t>
            </w:r>
          </w:p>
        </w:tc>
        <w:tc>
          <w:tcPr>
            <w:tcW w:w="69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When population growth creates the need</w:t>
            </w:r>
          </w:p>
        </w:tc>
        <w:tc>
          <w:tcPr>
            <w:tcW w:w="36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No</w:t>
            </w:r>
          </w:p>
        </w:tc>
      </w:tr>
      <w:tr w:rsidR="003404B2" w:rsidTr="007900B2">
        <w:trPr>
          <w:trHeight w:val="60"/>
        </w:trPr>
        <w:tc>
          <w:tcPr>
            <w:tcW w:w="34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AR03A</w:t>
            </w:r>
          </w:p>
        </w:tc>
        <w:tc>
          <w:tcPr>
            <w:tcW w:w="25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Rockbank North Sports Reserve (Rockbank North Community Hub</w:t>
            </w:r>
            <w:proofErr w:type="gramStart"/>
            <w:r>
              <w:rPr>
                <w:rStyle w:val="TableBodyBOLD"/>
              </w:rPr>
              <w:t>)</w:t>
            </w:r>
            <w:proofErr w:type="gramEnd"/>
            <w:r>
              <w:rPr>
                <w:rStyle w:val="TableBodyBOLD"/>
              </w:rPr>
              <w:br/>
            </w:r>
            <w:r>
              <w:t>Purchase of land within precinct to facilitate AR03B.</w:t>
            </w:r>
          </w:p>
        </w:tc>
        <w:tc>
          <w:tcPr>
            <w:tcW w:w="51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 xml:space="preserve">Residential </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460.38</w:t>
            </w:r>
          </w:p>
        </w:tc>
        <w:tc>
          <w:tcPr>
            <w:tcW w:w="69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When population growth creates the need</w:t>
            </w:r>
          </w:p>
        </w:tc>
        <w:tc>
          <w:tcPr>
            <w:tcW w:w="36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Yes</w:t>
            </w:r>
          </w:p>
        </w:tc>
      </w:tr>
      <w:tr w:rsidR="003404B2" w:rsidTr="007900B2">
        <w:trPr>
          <w:trHeight w:val="60"/>
        </w:trPr>
        <w:tc>
          <w:tcPr>
            <w:tcW w:w="34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AR03B</w:t>
            </w:r>
          </w:p>
        </w:tc>
        <w:tc>
          <w:tcPr>
            <w:tcW w:w="25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Rockbank North Sports Reserve (Rockbank North Community Hub</w:t>
            </w:r>
            <w:proofErr w:type="gramStart"/>
            <w:r>
              <w:rPr>
                <w:rStyle w:val="TableBodyBOLD"/>
              </w:rPr>
              <w:t>)</w:t>
            </w:r>
            <w:proofErr w:type="gramEnd"/>
            <w:r>
              <w:rPr>
                <w:rStyle w:val="TableBodyBOLD"/>
              </w:rPr>
              <w:br/>
            </w:r>
            <w:r>
              <w:t>Construction of a sports reserve incorporating playing surfaces and car parks at Rockbank North Community Hub, including all construction works, landscaping and related infrastructure.</w:t>
            </w:r>
          </w:p>
        </w:tc>
        <w:tc>
          <w:tcPr>
            <w:tcW w:w="51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 xml:space="preserve">Residential </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460.38</w:t>
            </w:r>
          </w:p>
        </w:tc>
        <w:tc>
          <w:tcPr>
            <w:tcW w:w="69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When population growth creates the need</w:t>
            </w:r>
          </w:p>
        </w:tc>
        <w:tc>
          <w:tcPr>
            <w:tcW w:w="36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No</w:t>
            </w:r>
          </w:p>
        </w:tc>
      </w:tr>
      <w:tr w:rsidR="003404B2" w:rsidTr="007900B2">
        <w:trPr>
          <w:trHeight w:val="60"/>
        </w:trPr>
        <w:tc>
          <w:tcPr>
            <w:tcW w:w="34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AR04A</w:t>
            </w:r>
          </w:p>
        </w:tc>
        <w:tc>
          <w:tcPr>
            <w:tcW w:w="25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Rockbank South Sports Reserve (Rockbank South Community Hub</w:t>
            </w:r>
            <w:proofErr w:type="gramStart"/>
            <w:r>
              <w:rPr>
                <w:rStyle w:val="TableBodyBOLD"/>
              </w:rPr>
              <w:t>)</w:t>
            </w:r>
            <w:proofErr w:type="gramEnd"/>
            <w:r>
              <w:rPr>
                <w:rStyle w:val="TableBodyBOLD"/>
              </w:rPr>
              <w:br/>
            </w:r>
            <w:r>
              <w:t>Purchase of land within precinct to facilitate AR04B.</w:t>
            </w:r>
          </w:p>
        </w:tc>
        <w:tc>
          <w:tcPr>
            <w:tcW w:w="51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 xml:space="preserve">Residential </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460.38</w:t>
            </w:r>
          </w:p>
        </w:tc>
        <w:tc>
          <w:tcPr>
            <w:tcW w:w="69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When population growth creates the need</w:t>
            </w:r>
          </w:p>
        </w:tc>
        <w:tc>
          <w:tcPr>
            <w:tcW w:w="36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Yes</w:t>
            </w:r>
          </w:p>
        </w:tc>
      </w:tr>
      <w:tr w:rsidR="003404B2" w:rsidTr="007900B2">
        <w:trPr>
          <w:trHeight w:val="60"/>
        </w:trPr>
        <w:tc>
          <w:tcPr>
            <w:tcW w:w="34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lastRenderedPageBreak/>
              <w:t>AR04B</w:t>
            </w:r>
          </w:p>
        </w:tc>
        <w:tc>
          <w:tcPr>
            <w:tcW w:w="25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Rockbank South Sports Reserve (Rockbank South Community Hub</w:t>
            </w:r>
            <w:proofErr w:type="gramStart"/>
            <w:r>
              <w:rPr>
                <w:rStyle w:val="TableBodyBOLD"/>
              </w:rPr>
              <w:t>)</w:t>
            </w:r>
            <w:proofErr w:type="gramEnd"/>
            <w:r>
              <w:rPr>
                <w:rStyle w:val="TableBodyBOLD"/>
              </w:rPr>
              <w:br/>
            </w:r>
            <w:r>
              <w:t>Construction of a sports reserve incorporating playing surfaces and car parks at Rockbank South Community Hub, including all construction works, landscaping and related infrastructure.</w:t>
            </w:r>
          </w:p>
        </w:tc>
        <w:tc>
          <w:tcPr>
            <w:tcW w:w="51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 xml:space="preserve">Residential </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460.38</w:t>
            </w:r>
          </w:p>
        </w:tc>
        <w:tc>
          <w:tcPr>
            <w:tcW w:w="69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When population growth creates the need</w:t>
            </w:r>
          </w:p>
        </w:tc>
        <w:tc>
          <w:tcPr>
            <w:tcW w:w="36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No</w:t>
            </w:r>
          </w:p>
        </w:tc>
      </w:tr>
      <w:tr w:rsidR="003404B2" w:rsidTr="007900B2">
        <w:trPr>
          <w:trHeight w:val="60"/>
        </w:trPr>
        <w:tc>
          <w:tcPr>
            <w:tcW w:w="34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AR05A</w:t>
            </w:r>
          </w:p>
        </w:tc>
        <w:tc>
          <w:tcPr>
            <w:tcW w:w="25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Rockbank Recreation Centre (Rockbank Major Town Centre</w:t>
            </w:r>
            <w:proofErr w:type="gramStart"/>
            <w:r>
              <w:rPr>
                <w:rStyle w:val="TableBodyBOLD"/>
              </w:rPr>
              <w:t>)</w:t>
            </w:r>
            <w:proofErr w:type="gramEnd"/>
            <w:r>
              <w:rPr>
                <w:rStyle w:val="TableBodyBOLD"/>
              </w:rPr>
              <w:br/>
            </w:r>
            <w:r>
              <w:t>Purchase of land to facilitate construction of indoor recreation centre at Rockbank Major Town Centre.</w:t>
            </w:r>
          </w:p>
        </w:tc>
        <w:tc>
          <w:tcPr>
            <w:tcW w:w="51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 xml:space="preserve">Residential </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460.38</w:t>
            </w:r>
          </w:p>
        </w:tc>
        <w:tc>
          <w:tcPr>
            <w:tcW w:w="69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When population growth creates the need</w:t>
            </w:r>
          </w:p>
        </w:tc>
        <w:tc>
          <w:tcPr>
            <w:tcW w:w="36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Yes</w:t>
            </w:r>
          </w:p>
        </w:tc>
      </w:tr>
      <w:tr w:rsidR="003404B2" w:rsidTr="007900B2">
        <w:trPr>
          <w:trHeight w:val="60"/>
        </w:trPr>
        <w:tc>
          <w:tcPr>
            <w:tcW w:w="34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AR06B</w:t>
            </w:r>
          </w:p>
        </w:tc>
        <w:tc>
          <w:tcPr>
            <w:tcW w:w="25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rPr>
                <w:rStyle w:val="TableBodyBOLD"/>
              </w:rPr>
              <w:t>Sporting Club (Rockbank South Precinct Structure Plan</w:t>
            </w:r>
            <w:proofErr w:type="gramStart"/>
            <w:r>
              <w:rPr>
                <w:rStyle w:val="TableBodyBOLD"/>
              </w:rPr>
              <w:t>)</w:t>
            </w:r>
            <w:proofErr w:type="gramEnd"/>
            <w:r>
              <w:rPr>
                <w:rStyle w:val="TableBodyBOLD"/>
              </w:rPr>
              <w:br/>
            </w:r>
            <w:r>
              <w:t>Construction of a sports facility, including 10 hard courts with lighting, clubhouse and parking, including all construction works, landscaping and relating infrastructure.</w:t>
            </w:r>
          </w:p>
        </w:tc>
        <w:tc>
          <w:tcPr>
            <w:tcW w:w="51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 xml:space="preserve">Residential </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460.38</w:t>
            </w:r>
          </w:p>
        </w:tc>
        <w:tc>
          <w:tcPr>
            <w:tcW w:w="69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When population growth creates the need</w:t>
            </w:r>
          </w:p>
        </w:tc>
        <w:tc>
          <w:tcPr>
            <w:tcW w:w="36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No</w:t>
            </w:r>
          </w:p>
        </w:tc>
      </w:tr>
    </w:tbl>
    <w:p w:rsidR="003404B2" w:rsidRDefault="003404B2" w:rsidP="003404B2">
      <w:pPr>
        <w:pStyle w:val="BodyContent"/>
      </w:pPr>
    </w:p>
    <w:p w:rsidR="003404B2" w:rsidRDefault="003404B2" w:rsidP="00A07662">
      <w:pPr>
        <w:pStyle w:val="Heading2"/>
      </w:pPr>
      <w:bookmarkStart w:id="20" w:name="_Toc467676186"/>
      <w:r>
        <w:t>Project timing</w:t>
      </w:r>
      <w:bookmarkEnd w:id="20"/>
    </w:p>
    <w:p w:rsidR="003404B2" w:rsidRDefault="003404B2" w:rsidP="007900B2">
      <w:pPr>
        <w:pStyle w:val="BodyContent"/>
        <w:ind w:left="0"/>
      </w:pPr>
      <w:r>
        <w:t xml:space="preserve">Each item in the DCP has an assumed indicative provision trigger specified in Tables 2–6. The timing of the provision of the items in this DCP is consistent with information available at the time that the DCP was prepared. </w:t>
      </w:r>
    </w:p>
    <w:p w:rsidR="003404B2" w:rsidRDefault="003404B2" w:rsidP="007900B2">
      <w:pPr>
        <w:pStyle w:val="BodyContent"/>
        <w:ind w:left="0"/>
      </w:pPr>
      <w:r>
        <w:t xml:space="preserve">Melton City Council, as the respective development agency as well as the collecting agency, will monitor and assess the required timing for individual items and have regard to its capital works program, development external to the precinct and the indicative provision triggers specified in Tables 2–6. </w:t>
      </w:r>
    </w:p>
    <w:p w:rsidR="003404B2" w:rsidRDefault="003404B2" w:rsidP="007900B2">
      <w:pPr>
        <w:pStyle w:val="BodyContent"/>
        <w:ind w:left="0"/>
      </w:pPr>
      <w:r>
        <w:t>The development agency may seek an amendment to the DCP to adjust indicative provision triggers as part of the five-year review (or earlier if justified). Any adjustment would also need to be consistent with any implementation agreement entered into under section 173 of the Act.</w:t>
      </w:r>
    </w:p>
    <w:p w:rsidR="003404B2" w:rsidRDefault="003404B2" w:rsidP="007900B2">
      <w:pPr>
        <w:pStyle w:val="BodyContent"/>
        <w:ind w:left="0"/>
      </w:pPr>
      <w:r>
        <w:t xml:space="preserve">The collecting agency may consider alternatives to the priority delivery of works or </w:t>
      </w:r>
      <w:r>
        <w:br/>
        <w:t>land where:</w:t>
      </w:r>
    </w:p>
    <w:p w:rsidR="003404B2" w:rsidRDefault="003404B2" w:rsidP="007900B2">
      <w:pPr>
        <w:pStyle w:val="List1bullet"/>
      </w:pPr>
      <w:r>
        <w:t>Infrastructure is to be constructed / provided by development proponents as works or land in kind, as agreed by the collecting agency</w:t>
      </w:r>
    </w:p>
    <w:p w:rsidR="003404B2" w:rsidRDefault="003404B2" w:rsidP="007900B2">
      <w:pPr>
        <w:pStyle w:val="List1bullet"/>
      </w:pPr>
      <w:r>
        <w:t>Network priorities require the delivery of works or land to facilitate broader road network connections</w:t>
      </w:r>
    </w:p>
    <w:p w:rsidR="003404B2" w:rsidRDefault="003404B2" w:rsidP="007900B2">
      <w:pPr>
        <w:pStyle w:val="List1bullet"/>
      </w:pPr>
      <w:r>
        <w:t>Community needs determine the delivery of works or land for community facilities and active recreation projects and open space.</w:t>
      </w:r>
    </w:p>
    <w:p w:rsidR="003404B2" w:rsidRDefault="003404B2" w:rsidP="007900B2">
      <w:pPr>
        <w:pStyle w:val="BodyContent"/>
        <w:ind w:left="0"/>
      </w:pPr>
      <w:r>
        <w:t>All items in the DCP will be provided as soon as is practicable and as soon as sufficient contributions are available, consistent with Section 4.1 and acknowledging the development agency’s capacities to provide the balance of funds not recovered by development contributions.</w:t>
      </w:r>
    </w:p>
    <w:p w:rsidR="003404B2" w:rsidRDefault="003404B2" w:rsidP="00A07662">
      <w:pPr>
        <w:pStyle w:val="Heading2"/>
      </w:pPr>
      <w:bookmarkStart w:id="21" w:name="_Toc467676187"/>
      <w:r>
        <w:t>Distinction betw</w:t>
      </w:r>
      <w:r w:rsidR="007900B2">
        <w:t xml:space="preserve">een development infrastructure </w:t>
      </w:r>
      <w:r>
        <w:t>and community infrastructure</w:t>
      </w:r>
      <w:bookmarkEnd w:id="21"/>
    </w:p>
    <w:p w:rsidR="003404B2" w:rsidRDefault="003404B2" w:rsidP="007900B2">
      <w:pPr>
        <w:pStyle w:val="BodyContent"/>
        <w:ind w:left="0"/>
      </w:pPr>
      <w:r>
        <w:t xml:space="preserve">In accordance with the Act and Ministerial Directions on development contributions plans pursuant to section 46M of the Act, the DCP makes a distinction between ‘development’ and ‘community’ infrastructure. </w:t>
      </w:r>
    </w:p>
    <w:p w:rsidR="003404B2" w:rsidRDefault="003404B2" w:rsidP="007900B2">
      <w:pPr>
        <w:pStyle w:val="BodyContent"/>
        <w:ind w:left="0"/>
      </w:pPr>
      <w:r>
        <w:lastRenderedPageBreak/>
        <w:t>The timing of payment of contributions is linked to the type of infrastructure in question.</w:t>
      </w:r>
    </w:p>
    <w:p w:rsidR="003404B2" w:rsidRDefault="003404B2" w:rsidP="007900B2">
      <w:pPr>
        <w:pStyle w:val="BodyContent"/>
        <w:ind w:left="0"/>
      </w:pPr>
      <w:r>
        <w:t>The community infrastructure levy contributions are made by the home builder at the time of building approval (unless an alternative time is agreed between the collecting agency and a development proponent). Community infrastructure levy contributions will be paid for at a ‘per dwelling’ rate.</w:t>
      </w:r>
    </w:p>
    <w:p w:rsidR="003404B2" w:rsidRDefault="003404B2" w:rsidP="007900B2">
      <w:pPr>
        <w:pStyle w:val="BodyContent"/>
        <w:ind w:left="0"/>
      </w:pPr>
      <w:r>
        <w:t>The Act currently stipulates that the amount that may be contributed under a community infrastructure levy is no more than $1,150 per dwelling. The Governor in Council may from time to time by Order published in the Government Gazette vary the maximum amount that may be collected by the community infrastructure levy.</w:t>
      </w:r>
    </w:p>
    <w:p w:rsidR="003404B2" w:rsidRDefault="003404B2" w:rsidP="007900B2">
      <w:pPr>
        <w:pStyle w:val="BodyContent"/>
        <w:ind w:left="0"/>
      </w:pPr>
      <w:r>
        <w:t>If in the future the community infrastructure levy is amended, then the levy applicable to the release of the remaining dwellings may be adjusted in accordance with the revised legislative and regulatory approach as directed by the Minister for Planning.</w:t>
      </w:r>
    </w:p>
    <w:p w:rsidR="003404B2" w:rsidRDefault="003404B2" w:rsidP="007900B2">
      <w:pPr>
        <w:pStyle w:val="BodyContent"/>
        <w:ind w:left="0"/>
      </w:pPr>
      <w:r>
        <w:t>The projects listed in Table 7 are deemed to be community infrastructure levy projects.</w:t>
      </w:r>
    </w:p>
    <w:p w:rsidR="003404B2" w:rsidRDefault="007900B2" w:rsidP="007900B2">
      <w:pPr>
        <w:pStyle w:val="Caption"/>
      </w:pPr>
      <w:bookmarkStart w:id="22" w:name="_Toc467676222"/>
      <w:r>
        <w:t xml:space="preserve">Table </w:t>
      </w:r>
      <w:fldSimple w:instr=" SEQ Table \* ARABIC ">
        <w:r>
          <w:rPr>
            <w:noProof/>
          </w:rPr>
          <w:t>7</w:t>
        </w:r>
      </w:fldSimple>
      <w:r>
        <w:t xml:space="preserve"> – </w:t>
      </w:r>
      <w:r w:rsidR="003404B2">
        <w:t>Community infrastructure levy (CIL) projects</w:t>
      </w:r>
      <w:bookmarkEnd w:id="22"/>
    </w:p>
    <w:tbl>
      <w:tblPr>
        <w:tblW w:w="5000" w:type="pct"/>
        <w:tblCellMar>
          <w:left w:w="0" w:type="dxa"/>
          <w:right w:w="0" w:type="dxa"/>
        </w:tblCellMar>
        <w:tblLook w:val="0000" w:firstRow="0" w:lastRow="0" w:firstColumn="0" w:lastColumn="0" w:noHBand="0" w:noVBand="0"/>
      </w:tblPr>
      <w:tblGrid>
        <w:gridCol w:w="924"/>
        <w:gridCol w:w="2738"/>
        <w:gridCol w:w="1396"/>
        <w:gridCol w:w="1396"/>
        <w:gridCol w:w="1084"/>
        <w:gridCol w:w="940"/>
      </w:tblGrid>
      <w:tr w:rsidR="003404B2" w:rsidTr="007900B2">
        <w:trPr>
          <w:trHeight w:val="756"/>
          <w:tblHeader/>
        </w:trPr>
        <w:tc>
          <w:tcPr>
            <w:tcW w:w="344" w:type="pct"/>
            <w:tcBorders>
              <w:top w:val="single" w:sz="8" w:space="0" w:color="FFFFFF"/>
              <w:left w:val="single" w:sz="8" w:space="0" w:color="FFFFFF"/>
              <w:bottom w:val="single" w:sz="8" w:space="0" w:color="FFFFFF"/>
              <w:right w:val="single" w:sz="8" w:space="0" w:color="FFFFFF"/>
            </w:tcBorders>
            <w:shd w:val="solid" w:color="514C51" w:fill="auto"/>
            <w:tcMar>
              <w:top w:w="85" w:type="dxa"/>
              <w:left w:w="85" w:type="dxa"/>
              <w:bottom w:w="85" w:type="dxa"/>
              <w:right w:w="85" w:type="dxa"/>
            </w:tcMar>
          </w:tcPr>
          <w:p w:rsidR="003404B2" w:rsidRDefault="003404B2">
            <w:pPr>
              <w:pStyle w:val="TableHEADTables"/>
            </w:pPr>
            <w:r>
              <w:t>DCP project ID</w:t>
            </w:r>
          </w:p>
        </w:tc>
        <w:tc>
          <w:tcPr>
            <w:tcW w:w="2447" w:type="pct"/>
            <w:tcBorders>
              <w:top w:val="single" w:sz="8" w:space="0" w:color="FFFFFF"/>
              <w:left w:val="single" w:sz="8" w:space="0" w:color="FFFFFF"/>
              <w:bottom w:val="single" w:sz="8" w:space="0" w:color="FFFFFF"/>
              <w:right w:val="single" w:sz="8" w:space="0" w:color="FFFFFF"/>
            </w:tcBorders>
            <w:shd w:val="solid" w:color="514C51" w:fill="auto"/>
            <w:tcMar>
              <w:top w:w="85" w:type="dxa"/>
              <w:left w:w="85" w:type="dxa"/>
              <w:bottom w:w="85" w:type="dxa"/>
              <w:right w:w="85" w:type="dxa"/>
            </w:tcMar>
          </w:tcPr>
          <w:p w:rsidR="003404B2" w:rsidRDefault="003404B2">
            <w:pPr>
              <w:pStyle w:val="TableHEADTables"/>
            </w:pPr>
            <w:r>
              <w:t>Project title</w:t>
            </w:r>
            <w:r>
              <w:br/>
              <w:t>Project description</w:t>
            </w:r>
          </w:p>
        </w:tc>
        <w:tc>
          <w:tcPr>
            <w:tcW w:w="561" w:type="pct"/>
            <w:tcBorders>
              <w:top w:val="single" w:sz="8" w:space="0" w:color="FFFFFF"/>
              <w:left w:val="single" w:sz="8" w:space="0" w:color="FFFFFF"/>
              <w:bottom w:val="single" w:sz="8" w:space="0" w:color="FFFFFF"/>
              <w:right w:val="single" w:sz="8" w:space="0" w:color="FFFFFF"/>
            </w:tcBorders>
            <w:shd w:val="solid" w:color="514C51" w:fill="auto"/>
            <w:tcMar>
              <w:top w:w="85" w:type="dxa"/>
              <w:left w:w="85" w:type="dxa"/>
              <w:bottom w:w="85" w:type="dxa"/>
              <w:right w:w="85" w:type="dxa"/>
            </w:tcMar>
          </w:tcPr>
          <w:p w:rsidR="003404B2" w:rsidRDefault="003404B2">
            <w:pPr>
              <w:pStyle w:val="TableHEADTables"/>
            </w:pPr>
            <w:r>
              <w:t>MCA contributing</w:t>
            </w:r>
          </w:p>
        </w:tc>
        <w:tc>
          <w:tcPr>
            <w:tcW w:w="527" w:type="pct"/>
            <w:tcBorders>
              <w:top w:val="single" w:sz="8" w:space="0" w:color="FFFFFF"/>
              <w:left w:val="single" w:sz="8" w:space="0" w:color="FFFFFF"/>
              <w:bottom w:val="single" w:sz="8" w:space="0" w:color="FFFFFF"/>
              <w:right w:val="single" w:sz="8" w:space="0" w:color="FFFFFF"/>
            </w:tcBorders>
            <w:shd w:val="solid" w:color="514C51" w:fill="auto"/>
            <w:tcMar>
              <w:top w:w="85" w:type="dxa"/>
              <w:left w:w="85" w:type="dxa"/>
              <w:bottom w:w="85" w:type="dxa"/>
              <w:right w:w="85" w:type="dxa"/>
            </w:tcMar>
          </w:tcPr>
          <w:p w:rsidR="003404B2" w:rsidRDefault="003404B2">
            <w:pPr>
              <w:pStyle w:val="TableHEADTables"/>
            </w:pPr>
            <w:r>
              <w:t>Hectares contributing</w:t>
            </w:r>
          </w:p>
        </w:tc>
        <w:tc>
          <w:tcPr>
            <w:tcW w:w="713" w:type="pct"/>
            <w:tcBorders>
              <w:top w:val="single" w:sz="8" w:space="0" w:color="FFFFFF"/>
              <w:left w:val="single" w:sz="8" w:space="0" w:color="FFFFFF"/>
              <w:bottom w:val="single" w:sz="8" w:space="0" w:color="FFFFFF"/>
              <w:right w:val="single" w:sz="8" w:space="0" w:color="FFFFFF"/>
            </w:tcBorders>
            <w:shd w:val="solid" w:color="514C51" w:fill="auto"/>
            <w:tcMar>
              <w:top w:w="85" w:type="dxa"/>
              <w:left w:w="85" w:type="dxa"/>
              <w:bottom w:w="85" w:type="dxa"/>
              <w:right w:w="85" w:type="dxa"/>
            </w:tcMar>
          </w:tcPr>
          <w:p w:rsidR="003404B2" w:rsidRDefault="003404B2">
            <w:pPr>
              <w:pStyle w:val="TableHEADTables"/>
            </w:pPr>
            <w:r>
              <w:t>Indicative provision trigger</w:t>
            </w:r>
          </w:p>
        </w:tc>
        <w:tc>
          <w:tcPr>
            <w:tcW w:w="408" w:type="pct"/>
            <w:tcBorders>
              <w:top w:val="single" w:sz="8" w:space="0" w:color="FFFFFF"/>
              <w:left w:val="single" w:sz="8" w:space="0" w:color="FFFFFF"/>
              <w:bottom w:val="single" w:sz="8" w:space="0" w:color="FFFFFF"/>
              <w:right w:val="single" w:sz="8" w:space="0" w:color="FFFFFF"/>
            </w:tcBorders>
            <w:shd w:val="solid" w:color="514C51" w:fill="auto"/>
            <w:tcMar>
              <w:top w:w="85" w:type="dxa"/>
              <w:left w:w="85" w:type="dxa"/>
              <w:bottom w:w="85" w:type="dxa"/>
              <w:right w:w="85" w:type="dxa"/>
            </w:tcMar>
          </w:tcPr>
          <w:p w:rsidR="003404B2" w:rsidRDefault="003404B2">
            <w:pPr>
              <w:pStyle w:val="TableHEADTables"/>
            </w:pPr>
            <w:r>
              <w:t>Suitable as works in kind?</w:t>
            </w:r>
          </w:p>
        </w:tc>
      </w:tr>
      <w:tr w:rsidR="003404B2" w:rsidTr="007900B2">
        <w:trPr>
          <w:trHeight w:val="670"/>
        </w:trPr>
        <w:tc>
          <w:tcPr>
            <w:tcW w:w="344" w:type="pct"/>
            <w:tcBorders>
              <w:top w:val="single" w:sz="8" w:space="0" w:color="FFFFFF"/>
              <w:left w:val="single" w:sz="8" w:space="0" w:color="FFFFFF"/>
              <w:bottom w:val="single" w:sz="8" w:space="0" w:color="FFFFFF"/>
              <w:right w:val="single" w:sz="8" w:space="0" w:color="FFFFFF"/>
            </w:tcBorders>
            <w:shd w:val="solid" w:color="65E5FF" w:fill="auto"/>
            <w:tcMar>
              <w:top w:w="85" w:type="dxa"/>
              <w:left w:w="85" w:type="dxa"/>
              <w:bottom w:w="85" w:type="dxa"/>
              <w:right w:w="85" w:type="dxa"/>
            </w:tcMar>
          </w:tcPr>
          <w:p w:rsidR="003404B2" w:rsidRDefault="003404B2">
            <w:pPr>
              <w:pStyle w:val="TableBodyTables"/>
              <w:jc w:val="center"/>
            </w:pPr>
            <w:r>
              <w:t>AR01C</w:t>
            </w:r>
          </w:p>
        </w:tc>
        <w:tc>
          <w:tcPr>
            <w:tcW w:w="2447" w:type="pct"/>
            <w:tcBorders>
              <w:top w:val="single" w:sz="8" w:space="0" w:color="FFFFFF"/>
              <w:left w:val="single" w:sz="8" w:space="0" w:color="FFFFFF"/>
              <w:bottom w:val="single" w:sz="8" w:space="0" w:color="FFFFFF"/>
              <w:right w:val="single" w:sz="8" w:space="0" w:color="FFFFFF"/>
            </w:tcBorders>
            <w:shd w:val="solid" w:color="65E5FF" w:fill="auto"/>
            <w:tcMar>
              <w:top w:w="85" w:type="dxa"/>
              <w:left w:w="85" w:type="dxa"/>
              <w:bottom w:w="85" w:type="dxa"/>
              <w:right w:w="85" w:type="dxa"/>
            </w:tcMar>
          </w:tcPr>
          <w:p w:rsidR="003404B2" w:rsidRDefault="003404B2">
            <w:pPr>
              <w:pStyle w:val="TableBodyTables"/>
            </w:pPr>
            <w:r>
              <w:rPr>
                <w:rStyle w:val="TableBodyBOLD"/>
              </w:rPr>
              <w:t>Rockbank East Sports Reserve (Rockbank East Community Hub</w:t>
            </w:r>
            <w:proofErr w:type="gramStart"/>
            <w:r>
              <w:rPr>
                <w:rStyle w:val="TableBodyBOLD"/>
              </w:rPr>
              <w:t>)</w:t>
            </w:r>
            <w:proofErr w:type="gramEnd"/>
            <w:r>
              <w:rPr>
                <w:rStyle w:val="TableBodyBOLD"/>
              </w:rPr>
              <w:br/>
            </w:r>
            <w:r>
              <w:t>Construction of a pavilion to serve AR01B, including all building works, landscaping and related infrastructure.</w:t>
            </w:r>
          </w:p>
        </w:tc>
        <w:tc>
          <w:tcPr>
            <w:tcW w:w="561" w:type="pct"/>
            <w:tcBorders>
              <w:top w:val="single" w:sz="8" w:space="0" w:color="FFFFFF"/>
              <w:left w:val="single" w:sz="8" w:space="0" w:color="FFFFFF"/>
              <w:bottom w:val="single" w:sz="8" w:space="0" w:color="FFFFFF"/>
              <w:right w:val="single" w:sz="8" w:space="0" w:color="FFFFFF"/>
            </w:tcBorders>
            <w:shd w:val="solid" w:color="65E5FF" w:fill="auto"/>
            <w:tcMar>
              <w:top w:w="85" w:type="dxa"/>
              <w:left w:w="85" w:type="dxa"/>
              <w:bottom w:w="85" w:type="dxa"/>
              <w:right w:w="85" w:type="dxa"/>
            </w:tcMar>
          </w:tcPr>
          <w:p w:rsidR="003404B2" w:rsidRDefault="003404B2">
            <w:pPr>
              <w:pStyle w:val="TableBodyTables"/>
              <w:jc w:val="center"/>
            </w:pPr>
            <w:r>
              <w:t xml:space="preserve">Residential </w:t>
            </w:r>
          </w:p>
        </w:tc>
        <w:tc>
          <w:tcPr>
            <w:tcW w:w="527" w:type="pct"/>
            <w:tcBorders>
              <w:top w:val="single" w:sz="8" w:space="0" w:color="FFFFFF"/>
              <w:left w:val="single" w:sz="8" w:space="0" w:color="FFFFFF"/>
              <w:bottom w:val="single" w:sz="8" w:space="0" w:color="FFFFFF"/>
              <w:right w:val="single" w:sz="8" w:space="0" w:color="FFFFFF"/>
            </w:tcBorders>
            <w:shd w:val="solid" w:color="65E5FF" w:fill="auto"/>
            <w:tcMar>
              <w:top w:w="85" w:type="dxa"/>
              <w:left w:w="85" w:type="dxa"/>
              <w:bottom w:w="85" w:type="dxa"/>
              <w:right w:w="85" w:type="dxa"/>
            </w:tcMar>
          </w:tcPr>
          <w:p w:rsidR="003404B2" w:rsidRDefault="003404B2">
            <w:pPr>
              <w:pStyle w:val="TableBodyTables"/>
              <w:jc w:val="center"/>
            </w:pPr>
            <w:r>
              <w:t>460.38</w:t>
            </w:r>
          </w:p>
        </w:tc>
        <w:tc>
          <w:tcPr>
            <w:tcW w:w="713" w:type="pct"/>
            <w:tcBorders>
              <w:top w:val="single" w:sz="8" w:space="0" w:color="FFFFFF"/>
              <w:left w:val="single" w:sz="8" w:space="0" w:color="FFFFFF"/>
              <w:bottom w:val="single" w:sz="8" w:space="0" w:color="FFFFFF"/>
              <w:right w:val="single" w:sz="8" w:space="0" w:color="FFFFFF"/>
            </w:tcBorders>
            <w:shd w:val="solid" w:color="65E5FF" w:fill="auto"/>
            <w:tcMar>
              <w:top w:w="85" w:type="dxa"/>
              <w:left w:w="85" w:type="dxa"/>
              <w:bottom w:w="85" w:type="dxa"/>
              <w:right w:w="85" w:type="dxa"/>
            </w:tcMar>
          </w:tcPr>
          <w:p w:rsidR="003404B2" w:rsidRDefault="003404B2">
            <w:pPr>
              <w:pStyle w:val="TableBodyTables"/>
              <w:jc w:val="center"/>
            </w:pPr>
            <w:r>
              <w:t>When population growth creates the need</w:t>
            </w:r>
          </w:p>
        </w:tc>
        <w:tc>
          <w:tcPr>
            <w:tcW w:w="408" w:type="pct"/>
            <w:tcBorders>
              <w:top w:val="single" w:sz="8" w:space="0" w:color="FFFFFF"/>
              <w:left w:val="single" w:sz="8" w:space="0" w:color="FFFFFF"/>
              <w:bottom w:val="single" w:sz="8" w:space="0" w:color="FFFFFF"/>
              <w:right w:val="single" w:sz="8" w:space="0" w:color="FFFFFF"/>
            </w:tcBorders>
            <w:shd w:val="solid" w:color="65E5FF" w:fill="auto"/>
            <w:tcMar>
              <w:top w:w="85" w:type="dxa"/>
              <w:left w:w="85" w:type="dxa"/>
              <w:bottom w:w="85" w:type="dxa"/>
              <w:right w:w="85" w:type="dxa"/>
            </w:tcMar>
          </w:tcPr>
          <w:p w:rsidR="003404B2" w:rsidRDefault="003404B2">
            <w:pPr>
              <w:pStyle w:val="TableBodyTables"/>
              <w:jc w:val="center"/>
            </w:pPr>
            <w:r>
              <w:t>No</w:t>
            </w:r>
          </w:p>
        </w:tc>
      </w:tr>
      <w:tr w:rsidR="003404B2" w:rsidTr="007900B2">
        <w:trPr>
          <w:trHeight w:val="566"/>
        </w:trPr>
        <w:tc>
          <w:tcPr>
            <w:tcW w:w="344" w:type="pct"/>
            <w:tcBorders>
              <w:top w:val="single" w:sz="8" w:space="0" w:color="FFFFFF"/>
              <w:left w:val="single" w:sz="8" w:space="0" w:color="FFFFFF"/>
              <w:bottom w:val="single" w:sz="8" w:space="0" w:color="FFFFFF"/>
              <w:right w:val="single" w:sz="8" w:space="0" w:color="FFFFFF"/>
            </w:tcBorders>
            <w:shd w:val="solid" w:color="65E5FF" w:fill="auto"/>
            <w:tcMar>
              <w:top w:w="85" w:type="dxa"/>
              <w:left w:w="85" w:type="dxa"/>
              <w:bottom w:w="85" w:type="dxa"/>
              <w:right w:w="85" w:type="dxa"/>
            </w:tcMar>
          </w:tcPr>
          <w:p w:rsidR="003404B2" w:rsidRDefault="003404B2">
            <w:pPr>
              <w:pStyle w:val="TableBodyTables"/>
              <w:jc w:val="center"/>
            </w:pPr>
            <w:r>
              <w:t>AR02C</w:t>
            </w:r>
          </w:p>
        </w:tc>
        <w:tc>
          <w:tcPr>
            <w:tcW w:w="2447" w:type="pct"/>
            <w:tcBorders>
              <w:top w:val="single" w:sz="8" w:space="0" w:color="FFFFFF"/>
              <w:left w:val="single" w:sz="8" w:space="0" w:color="FFFFFF"/>
              <w:bottom w:val="single" w:sz="8" w:space="0" w:color="FFFFFF"/>
              <w:right w:val="single" w:sz="8" w:space="0" w:color="FFFFFF"/>
            </w:tcBorders>
            <w:shd w:val="solid" w:color="65E5FF" w:fill="auto"/>
            <w:tcMar>
              <w:top w:w="85" w:type="dxa"/>
              <w:left w:w="85" w:type="dxa"/>
              <w:bottom w:w="85" w:type="dxa"/>
              <w:right w:w="85" w:type="dxa"/>
            </w:tcMar>
          </w:tcPr>
          <w:p w:rsidR="003404B2" w:rsidRDefault="003404B2">
            <w:pPr>
              <w:pStyle w:val="TableBodyTables"/>
            </w:pPr>
            <w:r>
              <w:rPr>
                <w:rStyle w:val="TableBodyBOLD"/>
              </w:rPr>
              <w:t>Rockbank West Sports Reserve (Rockbank West Community Hub</w:t>
            </w:r>
            <w:proofErr w:type="gramStart"/>
            <w:r>
              <w:rPr>
                <w:rStyle w:val="TableBodyBOLD"/>
              </w:rPr>
              <w:t>)</w:t>
            </w:r>
            <w:proofErr w:type="gramEnd"/>
            <w:r>
              <w:rPr>
                <w:rStyle w:val="TableBodyBOLD"/>
              </w:rPr>
              <w:br/>
            </w:r>
            <w:r>
              <w:t>Construction of a pavilion to serve AR02B, including all building works, landscaping and related infrastructure.</w:t>
            </w:r>
          </w:p>
        </w:tc>
        <w:tc>
          <w:tcPr>
            <w:tcW w:w="561" w:type="pct"/>
            <w:tcBorders>
              <w:top w:val="single" w:sz="8" w:space="0" w:color="FFFFFF"/>
              <w:left w:val="single" w:sz="8" w:space="0" w:color="FFFFFF"/>
              <w:bottom w:val="single" w:sz="8" w:space="0" w:color="FFFFFF"/>
              <w:right w:val="single" w:sz="8" w:space="0" w:color="FFFFFF"/>
            </w:tcBorders>
            <w:shd w:val="solid" w:color="65E5FF" w:fill="auto"/>
            <w:tcMar>
              <w:top w:w="85" w:type="dxa"/>
              <w:left w:w="85" w:type="dxa"/>
              <w:bottom w:w="85" w:type="dxa"/>
              <w:right w:w="85" w:type="dxa"/>
            </w:tcMar>
          </w:tcPr>
          <w:p w:rsidR="003404B2" w:rsidRDefault="003404B2">
            <w:pPr>
              <w:pStyle w:val="TableBodyTables"/>
              <w:jc w:val="center"/>
            </w:pPr>
            <w:r>
              <w:t xml:space="preserve">Residential </w:t>
            </w:r>
          </w:p>
        </w:tc>
        <w:tc>
          <w:tcPr>
            <w:tcW w:w="527" w:type="pct"/>
            <w:tcBorders>
              <w:top w:val="single" w:sz="8" w:space="0" w:color="FFFFFF"/>
              <w:left w:val="single" w:sz="8" w:space="0" w:color="FFFFFF"/>
              <w:bottom w:val="single" w:sz="8" w:space="0" w:color="FFFFFF"/>
              <w:right w:val="single" w:sz="8" w:space="0" w:color="FFFFFF"/>
            </w:tcBorders>
            <w:shd w:val="solid" w:color="65E5FF" w:fill="auto"/>
            <w:tcMar>
              <w:top w:w="85" w:type="dxa"/>
              <w:left w:w="85" w:type="dxa"/>
              <w:bottom w:w="85" w:type="dxa"/>
              <w:right w:w="85" w:type="dxa"/>
            </w:tcMar>
          </w:tcPr>
          <w:p w:rsidR="003404B2" w:rsidRDefault="003404B2">
            <w:pPr>
              <w:pStyle w:val="TableBodyTables"/>
              <w:jc w:val="center"/>
            </w:pPr>
            <w:r>
              <w:t>460.38</w:t>
            </w:r>
          </w:p>
        </w:tc>
        <w:tc>
          <w:tcPr>
            <w:tcW w:w="713" w:type="pct"/>
            <w:tcBorders>
              <w:top w:val="single" w:sz="8" w:space="0" w:color="FFFFFF"/>
              <w:left w:val="single" w:sz="8" w:space="0" w:color="FFFFFF"/>
              <w:bottom w:val="single" w:sz="8" w:space="0" w:color="FFFFFF"/>
              <w:right w:val="single" w:sz="8" w:space="0" w:color="FFFFFF"/>
            </w:tcBorders>
            <w:shd w:val="solid" w:color="65E5FF" w:fill="auto"/>
            <w:tcMar>
              <w:top w:w="85" w:type="dxa"/>
              <w:left w:w="85" w:type="dxa"/>
              <w:bottom w:w="85" w:type="dxa"/>
              <w:right w:w="85" w:type="dxa"/>
            </w:tcMar>
          </w:tcPr>
          <w:p w:rsidR="003404B2" w:rsidRDefault="003404B2">
            <w:pPr>
              <w:pStyle w:val="TableBodyTables"/>
              <w:jc w:val="center"/>
            </w:pPr>
            <w:r>
              <w:t>When population growth creates the need</w:t>
            </w:r>
          </w:p>
        </w:tc>
        <w:tc>
          <w:tcPr>
            <w:tcW w:w="408" w:type="pct"/>
            <w:tcBorders>
              <w:top w:val="single" w:sz="8" w:space="0" w:color="FFFFFF"/>
              <w:left w:val="single" w:sz="8" w:space="0" w:color="FFFFFF"/>
              <w:bottom w:val="single" w:sz="8" w:space="0" w:color="FFFFFF"/>
              <w:right w:val="single" w:sz="8" w:space="0" w:color="FFFFFF"/>
            </w:tcBorders>
            <w:shd w:val="solid" w:color="65E5FF" w:fill="auto"/>
            <w:tcMar>
              <w:top w:w="85" w:type="dxa"/>
              <w:left w:w="85" w:type="dxa"/>
              <w:bottom w:w="85" w:type="dxa"/>
              <w:right w:w="85" w:type="dxa"/>
            </w:tcMar>
          </w:tcPr>
          <w:p w:rsidR="003404B2" w:rsidRDefault="003404B2">
            <w:pPr>
              <w:pStyle w:val="TableBodyTables"/>
              <w:jc w:val="center"/>
            </w:pPr>
            <w:r>
              <w:t>No</w:t>
            </w:r>
          </w:p>
        </w:tc>
      </w:tr>
      <w:tr w:rsidR="003404B2" w:rsidTr="007900B2">
        <w:trPr>
          <w:trHeight w:val="566"/>
        </w:trPr>
        <w:tc>
          <w:tcPr>
            <w:tcW w:w="344" w:type="pct"/>
            <w:tcBorders>
              <w:top w:val="single" w:sz="8" w:space="0" w:color="FFFFFF"/>
              <w:left w:val="single" w:sz="8" w:space="0" w:color="FFFFFF"/>
              <w:bottom w:val="single" w:sz="8" w:space="0" w:color="FFFFFF"/>
              <w:right w:val="single" w:sz="8" w:space="0" w:color="FFFFFF"/>
            </w:tcBorders>
            <w:shd w:val="solid" w:color="65E5FF" w:fill="auto"/>
            <w:tcMar>
              <w:top w:w="85" w:type="dxa"/>
              <w:left w:w="85" w:type="dxa"/>
              <w:bottom w:w="85" w:type="dxa"/>
              <w:right w:w="85" w:type="dxa"/>
            </w:tcMar>
          </w:tcPr>
          <w:p w:rsidR="003404B2" w:rsidRDefault="003404B2">
            <w:pPr>
              <w:pStyle w:val="TableBodyTables"/>
              <w:jc w:val="center"/>
            </w:pPr>
            <w:r>
              <w:t>AR03C</w:t>
            </w:r>
          </w:p>
        </w:tc>
        <w:tc>
          <w:tcPr>
            <w:tcW w:w="2447" w:type="pct"/>
            <w:tcBorders>
              <w:top w:val="single" w:sz="8" w:space="0" w:color="FFFFFF"/>
              <w:left w:val="single" w:sz="8" w:space="0" w:color="FFFFFF"/>
              <w:bottom w:val="single" w:sz="8" w:space="0" w:color="FFFFFF"/>
              <w:right w:val="single" w:sz="8" w:space="0" w:color="FFFFFF"/>
            </w:tcBorders>
            <w:shd w:val="solid" w:color="65E5FF" w:fill="auto"/>
            <w:tcMar>
              <w:top w:w="85" w:type="dxa"/>
              <w:left w:w="85" w:type="dxa"/>
              <w:bottom w:w="85" w:type="dxa"/>
              <w:right w:w="85" w:type="dxa"/>
            </w:tcMar>
          </w:tcPr>
          <w:p w:rsidR="003404B2" w:rsidRDefault="003404B2">
            <w:pPr>
              <w:pStyle w:val="TableBodyTables"/>
            </w:pPr>
            <w:r>
              <w:rPr>
                <w:rStyle w:val="TableBodyBOLD"/>
              </w:rPr>
              <w:t>Rockbank North Sports Reserve (Rockbank North Community Hub</w:t>
            </w:r>
            <w:proofErr w:type="gramStart"/>
            <w:r>
              <w:rPr>
                <w:rStyle w:val="TableBodyBOLD"/>
              </w:rPr>
              <w:t>)</w:t>
            </w:r>
            <w:proofErr w:type="gramEnd"/>
            <w:r>
              <w:rPr>
                <w:rStyle w:val="TableBodyBOLD"/>
              </w:rPr>
              <w:br/>
            </w:r>
            <w:r>
              <w:t>Construction of a pavilion to serve AR03B, including all building works, landscaping and related infrastructure.</w:t>
            </w:r>
          </w:p>
        </w:tc>
        <w:tc>
          <w:tcPr>
            <w:tcW w:w="561" w:type="pct"/>
            <w:tcBorders>
              <w:top w:val="single" w:sz="8" w:space="0" w:color="FFFFFF"/>
              <w:left w:val="single" w:sz="8" w:space="0" w:color="FFFFFF"/>
              <w:bottom w:val="single" w:sz="8" w:space="0" w:color="FFFFFF"/>
              <w:right w:val="single" w:sz="8" w:space="0" w:color="FFFFFF"/>
            </w:tcBorders>
            <w:shd w:val="solid" w:color="65E5FF" w:fill="auto"/>
            <w:tcMar>
              <w:top w:w="85" w:type="dxa"/>
              <w:left w:w="85" w:type="dxa"/>
              <w:bottom w:w="85" w:type="dxa"/>
              <w:right w:w="85" w:type="dxa"/>
            </w:tcMar>
          </w:tcPr>
          <w:p w:rsidR="003404B2" w:rsidRDefault="003404B2">
            <w:pPr>
              <w:pStyle w:val="TableBodyTables"/>
              <w:jc w:val="center"/>
            </w:pPr>
            <w:r>
              <w:t xml:space="preserve">Residential </w:t>
            </w:r>
          </w:p>
        </w:tc>
        <w:tc>
          <w:tcPr>
            <w:tcW w:w="527" w:type="pct"/>
            <w:tcBorders>
              <w:top w:val="single" w:sz="8" w:space="0" w:color="FFFFFF"/>
              <w:left w:val="single" w:sz="8" w:space="0" w:color="FFFFFF"/>
              <w:bottom w:val="single" w:sz="8" w:space="0" w:color="FFFFFF"/>
              <w:right w:val="single" w:sz="8" w:space="0" w:color="FFFFFF"/>
            </w:tcBorders>
            <w:shd w:val="solid" w:color="65E5FF" w:fill="auto"/>
            <w:tcMar>
              <w:top w:w="85" w:type="dxa"/>
              <w:left w:w="85" w:type="dxa"/>
              <w:bottom w:w="85" w:type="dxa"/>
              <w:right w:w="85" w:type="dxa"/>
            </w:tcMar>
          </w:tcPr>
          <w:p w:rsidR="003404B2" w:rsidRDefault="003404B2">
            <w:pPr>
              <w:pStyle w:val="TableBodyTables"/>
              <w:jc w:val="center"/>
            </w:pPr>
            <w:r>
              <w:t>460.38</w:t>
            </w:r>
          </w:p>
        </w:tc>
        <w:tc>
          <w:tcPr>
            <w:tcW w:w="713" w:type="pct"/>
            <w:tcBorders>
              <w:top w:val="single" w:sz="8" w:space="0" w:color="FFFFFF"/>
              <w:left w:val="single" w:sz="8" w:space="0" w:color="FFFFFF"/>
              <w:bottom w:val="single" w:sz="8" w:space="0" w:color="FFFFFF"/>
              <w:right w:val="single" w:sz="8" w:space="0" w:color="FFFFFF"/>
            </w:tcBorders>
            <w:shd w:val="solid" w:color="65E5FF" w:fill="auto"/>
            <w:tcMar>
              <w:top w:w="85" w:type="dxa"/>
              <w:left w:w="85" w:type="dxa"/>
              <w:bottom w:w="85" w:type="dxa"/>
              <w:right w:w="85" w:type="dxa"/>
            </w:tcMar>
          </w:tcPr>
          <w:p w:rsidR="003404B2" w:rsidRDefault="003404B2">
            <w:pPr>
              <w:pStyle w:val="TableBodyTables"/>
              <w:jc w:val="center"/>
            </w:pPr>
            <w:r>
              <w:t>When population growth creates the need</w:t>
            </w:r>
          </w:p>
        </w:tc>
        <w:tc>
          <w:tcPr>
            <w:tcW w:w="408" w:type="pct"/>
            <w:tcBorders>
              <w:top w:val="single" w:sz="8" w:space="0" w:color="FFFFFF"/>
              <w:left w:val="single" w:sz="8" w:space="0" w:color="FFFFFF"/>
              <w:bottom w:val="single" w:sz="8" w:space="0" w:color="FFFFFF"/>
              <w:right w:val="single" w:sz="8" w:space="0" w:color="FFFFFF"/>
            </w:tcBorders>
            <w:shd w:val="solid" w:color="65E5FF" w:fill="auto"/>
            <w:tcMar>
              <w:top w:w="85" w:type="dxa"/>
              <w:left w:w="85" w:type="dxa"/>
              <w:bottom w:w="85" w:type="dxa"/>
              <w:right w:w="85" w:type="dxa"/>
            </w:tcMar>
          </w:tcPr>
          <w:p w:rsidR="003404B2" w:rsidRDefault="003404B2">
            <w:pPr>
              <w:pStyle w:val="TableBodyTables"/>
              <w:jc w:val="center"/>
            </w:pPr>
            <w:r>
              <w:t>No</w:t>
            </w:r>
          </w:p>
        </w:tc>
      </w:tr>
      <w:tr w:rsidR="003404B2" w:rsidTr="007900B2">
        <w:trPr>
          <w:trHeight w:val="566"/>
        </w:trPr>
        <w:tc>
          <w:tcPr>
            <w:tcW w:w="344" w:type="pct"/>
            <w:tcBorders>
              <w:top w:val="single" w:sz="8" w:space="0" w:color="FFFFFF"/>
              <w:left w:val="single" w:sz="8" w:space="0" w:color="FFFFFF"/>
              <w:bottom w:val="single" w:sz="8" w:space="0" w:color="FFFFFF"/>
              <w:right w:val="single" w:sz="8" w:space="0" w:color="FFFFFF"/>
            </w:tcBorders>
            <w:shd w:val="solid" w:color="65E5FF" w:fill="auto"/>
            <w:tcMar>
              <w:top w:w="85" w:type="dxa"/>
              <w:left w:w="85" w:type="dxa"/>
              <w:bottom w:w="85" w:type="dxa"/>
              <w:right w:w="85" w:type="dxa"/>
            </w:tcMar>
          </w:tcPr>
          <w:p w:rsidR="003404B2" w:rsidRDefault="003404B2">
            <w:pPr>
              <w:pStyle w:val="TableBodyTables"/>
              <w:jc w:val="center"/>
            </w:pPr>
            <w:r>
              <w:t>AR04C</w:t>
            </w:r>
          </w:p>
        </w:tc>
        <w:tc>
          <w:tcPr>
            <w:tcW w:w="2447" w:type="pct"/>
            <w:tcBorders>
              <w:top w:val="single" w:sz="8" w:space="0" w:color="FFFFFF"/>
              <w:left w:val="single" w:sz="8" w:space="0" w:color="FFFFFF"/>
              <w:bottom w:val="single" w:sz="8" w:space="0" w:color="FFFFFF"/>
              <w:right w:val="single" w:sz="8" w:space="0" w:color="FFFFFF"/>
            </w:tcBorders>
            <w:shd w:val="solid" w:color="65E5FF" w:fill="auto"/>
            <w:tcMar>
              <w:top w:w="85" w:type="dxa"/>
              <w:left w:w="85" w:type="dxa"/>
              <w:bottom w:w="85" w:type="dxa"/>
              <w:right w:w="85" w:type="dxa"/>
            </w:tcMar>
          </w:tcPr>
          <w:p w:rsidR="003404B2" w:rsidRDefault="003404B2">
            <w:pPr>
              <w:pStyle w:val="TableBodyTables"/>
            </w:pPr>
            <w:r>
              <w:rPr>
                <w:rStyle w:val="TableBodyBOLD"/>
              </w:rPr>
              <w:t>Rockbank South Sports Reserve (Rockbank South Community Hub</w:t>
            </w:r>
            <w:proofErr w:type="gramStart"/>
            <w:r>
              <w:rPr>
                <w:rStyle w:val="TableBodyBOLD"/>
              </w:rPr>
              <w:t>)</w:t>
            </w:r>
            <w:proofErr w:type="gramEnd"/>
            <w:r>
              <w:rPr>
                <w:rStyle w:val="TableBodyBOLD"/>
              </w:rPr>
              <w:br/>
            </w:r>
            <w:r>
              <w:t>Construction of a pavilion to serve AR04B, including all building works, landscaping and related infrastructure.</w:t>
            </w:r>
          </w:p>
        </w:tc>
        <w:tc>
          <w:tcPr>
            <w:tcW w:w="561" w:type="pct"/>
            <w:tcBorders>
              <w:top w:val="single" w:sz="8" w:space="0" w:color="FFFFFF"/>
              <w:left w:val="single" w:sz="8" w:space="0" w:color="FFFFFF"/>
              <w:bottom w:val="single" w:sz="8" w:space="0" w:color="FFFFFF"/>
              <w:right w:val="single" w:sz="8" w:space="0" w:color="FFFFFF"/>
            </w:tcBorders>
            <w:shd w:val="solid" w:color="65E5FF" w:fill="auto"/>
            <w:tcMar>
              <w:top w:w="85" w:type="dxa"/>
              <w:left w:w="85" w:type="dxa"/>
              <w:bottom w:w="85" w:type="dxa"/>
              <w:right w:w="85" w:type="dxa"/>
            </w:tcMar>
          </w:tcPr>
          <w:p w:rsidR="003404B2" w:rsidRDefault="003404B2">
            <w:pPr>
              <w:pStyle w:val="TableBodyTables"/>
              <w:jc w:val="center"/>
            </w:pPr>
            <w:r>
              <w:t xml:space="preserve">Residential </w:t>
            </w:r>
          </w:p>
        </w:tc>
        <w:tc>
          <w:tcPr>
            <w:tcW w:w="527" w:type="pct"/>
            <w:tcBorders>
              <w:top w:val="single" w:sz="8" w:space="0" w:color="FFFFFF"/>
              <w:left w:val="single" w:sz="8" w:space="0" w:color="FFFFFF"/>
              <w:bottom w:val="single" w:sz="8" w:space="0" w:color="FFFFFF"/>
              <w:right w:val="single" w:sz="8" w:space="0" w:color="FFFFFF"/>
            </w:tcBorders>
            <w:shd w:val="solid" w:color="65E5FF" w:fill="auto"/>
            <w:tcMar>
              <w:top w:w="85" w:type="dxa"/>
              <w:left w:w="85" w:type="dxa"/>
              <w:bottom w:w="85" w:type="dxa"/>
              <w:right w:w="85" w:type="dxa"/>
            </w:tcMar>
          </w:tcPr>
          <w:p w:rsidR="003404B2" w:rsidRDefault="003404B2">
            <w:pPr>
              <w:pStyle w:val="TableBodyTables"/>
              <w:jc w:val="center"/>
            </w:pPr>
            <w:r>
              <w:t>460.38</w:t>
            </w:r>
          </w:p>
        </w:tc>
        <w:tc>
          <w:tcPr>
            <w:tcW w:w="713" w:type="pct"/>
            <w:tcBorders>
              <w:top w:val="single" w:sz="8" w:space="0" w:color="FFFFFF"/>
              <w:left w:val="single" w:sz="8" w:space="0" w:color="FFFFFF"/>
              <w:bottom w:val="single" w:sz="8" w:space="0" w:color="FFFFFF"/>
              <w:right w:val="single" w:sz="8" w:space="0" w:color="FFFFFF"/>
            </w:tcBorders>
            <w:shd w:val="solid" w:color="65E5FF" w:fill="auto"/>
            <w:tcMar>
              <w:top w:w="85" w:type="dxa"/>
              <w:left w:w="85" w:type="dxa"/>
              <w:bottom w:w="85" w:type="dxa"/>
              <w:right w:w="85" w:type="dxa"/>
            </w:tcMar>
          </w:tcPr>
          <w:p w:rsidR="003404B2" w:rsidRDefault="003404B2">
            <w:pPr>
              <w:pStyle w:val="TableBodyTables"/>
              <w:jc w:val="center"/>
            </w:pPr>
            <w:r>
              <w:t>When population growth creates the need</w:t>
            </w:r>
          </w:p>
        </w:tc>
        <w:tc>
          <w:tcPr>
            <w:tcW w:w="408" w:type="pct"/>
            <w:tcBorders>
              <w:top w:val="single" w:sz="8" w:space="0" w:color="FFFFFF"/>
              <w:left w:val="single" w:sz="8" w:space="0" w:color="FFFFFF"/>
              <w:bottom w:val="single" w:sz="8" w:space="0" w:color="FFFFFF"/>
              <w:right w:val="single" w:sz="8" w:space="0" w:color="FFFFFF"/>
            </w:tcBorders>
            <w:shd w:val="solid" w:color="65E5FF" w:fill="auto"/>
            <w:tcMar>
              <w:top w:w="85" w:type="dxa"/>
              <w:left w:w="85" w:type="dxa"/>
              <w:bottom w:w="85" w:type="dxa"/>
              <w:right w:w="85" w:type="dxa"/>
            </w:tcMar>
          </w:tcPr>
          <w:p w:rsidR="003404B2" w:rsidRDefault="003404B2">
            <w:pPr>
              <w:pStyle w:val="TableBodyTables"/>
              <w:jc w:val="center"/>
            </w:pPr>
            <w:r>
              <w:t>No</w:t>
            </w:r>
          </w:p>
        </w:tc>
      </w:tr>
    </w:tbl>
    <w:p w:rsidR="003404B2" w:rsidRDefault="003404B2" w:rsidP="003404B2">
      <w:pPr>
        <w:pStyle w:val="BodyContent"/>
      </w:pPr>
    </w:p>
    <w:p w:rsidR="003404B2" w:rsidRDefault="003404B2" w:rsidP="007900B2">
      <w:pPr>
        <w:pStyle w:val="BodyContent"/>
        <w:ind w:left="0"/>
      </w:pPr>
      <w:r>
        <w:t>All other infrastructure projects are classified as development infrastructure projects.</w:t>
      </w:r>
    </w:p>
    <w:p w:rsidR="003404B2" w:rsidRDefault="003404B2" w:rsidP="007900B2">
      <w:pPr>
        <w:pStyle w:val="BodyContent"/>
        <w:ind w:left="0"/>
      </w:pPr>
      <w:r>
        <w:t>Contributions relating to the development infrastructure levy are to be made by developers at the time of subdivision. If subdivision is not applicable payments must be made prior to construction of buildings and works (refer to Section 4.1).</w:t>
      </w:r>
    </w:p>
    <w:p w:rsidR="003404B2" w:rsidRDefault="003404B2" w:rsidP="007900B2">
      <w:pPr>
        <w:pStyle w:val="Heading1"/>
      </w:pPr>
      <w:bookmarkStart w:id="23" w:name="_Toc467676188"/>
      <w:r>
        <w:lastRenderedPageBreak/>
        <w:t>CALCULATION OF CONTRIBUTIONS</w:t>
      </w:r>
      <w:bookmarkEnd w:id="23"/>
    </w:p>
    <w:p w:rsidR="003404B2" w:rsidRDefault="003404B2" w:rsidP="007900B2">
      <w:pPr>
        <w:pStyle w:val="BodyContent"/>
        <w:ind w:left="0"/>
      </w:pPr>
      <w:r>
        <w:t>The general cost apportionment method includes the following steps:</w:t>
      </w:r>
    </w:p>
    <w:p w:rsidR="003404B2" w:rsidRPr="007900B2" w:rsidRDefault="003404B2" w:rsidP="007900B2">
      <w:pPr>
        <w:pStyle w:val="List1bullet"/>
        <w:rPr>
          <w:sz w:val="17"/>
          <w:szCs w:val="17"/>
        </w:rPr>
      </w:pPr>
      <w:r w:rsidRPr="007900B2">
        <w:rPr>
          <w:sz w:val="17"/>
          <w:szCs w:val="17"/>
        </w:rPr>
        <w:t>Calculation of the net developable area and demand units (refer to Table 8)</w:t>
      </w:r>
    </w:p>
    <w:p w:rsidR="003404B2" w:rsidRPr="007900B2" w:rsidRDefault="003404B2" w:rsidP="007900B2">
      <w:pPr>
        <w:pStyle w:val="List1bullet"/>
        <w:rPr>
          <w:sz w:val="17"/>
          <w:szCs w:val="17"/>
        </w:rPr>
      </w:pPr>
      <w:r w:rsidRPr="007900B2">
        <w:rPr>
          <w:sz w:val="17"/>
          <w:szCs w:val="17"/>
        </w:rPr>
        <w:t>Calculation of project costs (refer to Tables 10–11)</w:t>
      </w:r>
    </w:p>
    <w:p w:rsidR="003404B2" w:rsidRPr="007900B2" w:rsidRDefault="003404B2" w:rsidP="007900B2">
      <w:pPr>
        <w:pStyle w:val="List1bullet"/>
        <w:rPr>
          <w:sz w:val="17"/>
          <w:szCs w:val="17"/>
        </w:rPr>
      </w:pPr>
      <w:r w:rsidRPr="007900B2">
        <w:rPr>
          <w:sz w:val="17"/>
          <w:szCs w:val="17"/>
        </w:rPr>
        <w:t>Identification and allowance for external use (refer to Tables 10–12)</w:t>
      </w:r>
    </w:p>
    <w:p w:rsidR="003404B2" w:rsidRPr="007900B2" w:rsidRDefault="003404B2" w:rsidP="007900B2">
      <w:pPr>
        <w:pStyle w:val="List1bullet"/>
        <w:rPr>
          <w:sz w:val="17"/>
          <w:szCs w:val="17"/>
        </w:rPr>
      </w:pPr>
      <w:r w:rsidRPr="007900B2">
        <w:rPr>
          <w:sz w:val="17"/>
          <w:szCs w:val="17"/>
        </w:rPr>
        <w:t>Cost apportionment and catchments (refer to Tables 9–11)</w:t>
      </w:r>
    </w:p>
    <w:p w:rsidR="003404B2" w:rsidRPr="007900B2" w:rsidRDefault="003404B2" w:rsidP="007900B2">
      <w:pPr>
        <w:pStyle w:val="List1bullet"/>
        <w:rPr>
          <w:sz w:val="17"/>
          <w:szCs w:val="17"/>
        </w:rPr>
      </w:pPr>
      <w:r w:rsidRPr="007900B2">
        <w:rPr>
          <w:spacing w:val="-1"/>
          <w:sz w:val="17"/>
          <w:szCs w:val="17"/>
        </w:rPr>
        <w:t>Identification of development types required to pay the levy (refer to Tables 10–11)</w:t>
      </w:r>
    </w:p>
    <w:p w:rsidR="003404B2" w:rsidRPr="007900B2" w:rsidRDefault="003404B2" w:rsidP="007900B2">
      <w:pPr>
        <w:pStyle w:val="List1bullet"/>
        <w:rPr>
          <w:sz w:val="17"/>
          <w:szCs w:val="17"/>
        </w:rPr>
      </w:pPr>
      <w:r w:rsidRPr="007900B2">
        <w:rPr>
          <w:sz w:val="17"/>
          <w:szCs w:val="17"/>
        </w:rPr>
        <w:t>Summary of costs payable for each infrastructure project (refer Tables 10–11)</w:t>
      </w:r>
    </w:p>
    <w:p w:rsidR="003404B2" w:rsidRPr="007900B2" w:rsidRDefault="003404B2" w:rsidP="007900B2">
      <w:pPr>
        <w:pStyle w:val="List1bullet"/>
        <w:rPr>
          <w:sz w:val="17"/>
          <w:szCs w:val="17"/>
        </w:rPr>
      </w:pPr>
      <w:r w:rsidRPr="007900B2">
        <w:rPr>
          <w:sz w:val="17"/>
          <w:szCs w:val="17"/>
        </w:rPr>
        <w:t>The development infrastructure levy per net developable hectare for each development type (Table 10) and the community infrastructure levy per dwelling (Table 11)</w:t>
      </w:r>
    </w:p>
    <w:p w:rsidR="003404B2" w:rsidRPr="007900B2" w:rsidRDefault="003404B2" w:rsidP="007900B2">
      <w:pPr>
        <w:pStyle w:val="List1bullet"/>
        <w:rPr>
          <w:sz w:val="17"/>
          <w:szCs w:val="17"/>
        </w:rPr>
      </w:pPr>
      <w:r w:rsidRPr="007900B2">
        <w:rPr>
          <w:sz w:val="17"/>
          <w:szCs w:val="17"/>
        </w:rPr>
        <w:t>Alternative funding sources for infrastructure projects an identified external use (Table 12).</w:t>
      </w:r>
    </w:p>
    <w:p w:rsidR="003404B2" w:rsidRDefault="003404B2" w:rsidP="00A07662">
      <w:pPr>
        <w:pStyle w:val="Heading2"/>
      </w:pPr>
      <w:bookmarkStart w:id="24" w:name="_Toc467676189"/>
      <w:r>
        <w:t>Calculation of net developable area and demand units</w:t>
      </w:r>
      <w:bookmarkEnd w:id="24"/>
    </w:p>
    <w:p w:rsidR="003404B2" w:rsidRDefault="003404B2" w:rsidP="007900B2">
      <w:pPr>
        <w:pStyle w:val="BodyContent"/>
        <w:ind w:left="0"/>
      </w:pPr>
      <w:r>
        <w:t xml:space="preserve">The following section sets out how the net developable area (NDA) is calculated and outlines the development projections anticipated in the precinct. </w:t>
      </w:r>
    </w:p>
    <w:p w:rsidR="003404B2" w:rsidRDefault="003404B2" w:rsidP="00A07662">
      <w:pPr>
        <w:pStyle w:val="Heading2"/>
      </w:pPr>
      <w:bookmarkStart w:id="25" w:name="_Toc467676190"/>
      <w:r>
        <w:t>Net developable area</w:t>
      </w:r>
      <w:bookmarkEnd w:id="25"/>
    </w:p>
    <w:p w:rsidR="003404B2" w:rsidRDefault="003404B2" w:rsidP="007900B2">
      <w:pPr>
        <w:pStyle w:val="BodyContent"/>
        <w:ind w:left="0"/>
      </w:pPr>
      <w:r>
        <w:t xml:space="preserve">In the DCP, all development infrastructure contributions are payable on the net developable area of land on any given development site. </w:t>
      </w:r>
    </w:p>
    <w:p w:rsidR="003404B2" w:rsidRDefault="003404B2" w:rsidP="007900B2">
      <w:pPr>
        <w:pStyle w:val="BodyContent"/>
        <w:ind w:left="0"/>
      </w:pPr>
      <w:r>
        <w:t>For the purposes of the DCP, the NDA is defined as the total amount of land within the area of the PSP that is made available for the development of employment buildings, including lots, all connector and local streets. It is the gross developable area of the precinct minus land for community facilities, schools, educational facilities, open space, encumbered land and arterial roads. Any additional small local parks defined at the subdivision stage are included in the NDA.</w:t>
      </w:r>
    </w:p>
    <w:p w:rsidR="003404B2" w:rsidRDefault="003404B2" w:rsidP="007900B2">
      <w:pPr>
        <w:pStyle w:val="BodyContent"/>
        <w:ind w:left="0"/>
      </w:pPr>
      <w:r>
        <w:t>The NDA for the DCP is outlined in Table 8. The contributions ‘per net developable hectare’ must not and will not be amended to respond to minor changes to the land budget that may result from the subdivision process. In other words, the DCP is permanently linked to the calculation of the NDA set out in Table 8 and Appendix A.</w:t>
      </w:r>
    </w:p>
    <w:p w:rsidR="003404B2" w:rsidRDefault="003404B2" w:rsidP="007900B2">
      <w:pPr>
        <w:pStyle w:val="BodyContent"/>
        <w:ind w:left="0"/>
      </w:pPr>
      <w:r>
        <w:t>The NDA may only change if the collecting agency agrees to a variation to the summary land budget (Table 8) and the detailed property-specific land budget (Appendix A) and associated tables.</w:t>
      </w:r>
    </w:p>
    <w:p w:rsidR="00CB4476" w:rsidRDefault="00CB4476" w:rsidP="007900B2">
      <w:pPr>
        <w:pStyle w:val="Caption"/>
      </w:pPr>
      <w:bookmarkStart w:id="26" w:name="_Toc467676215"/>
      <w:r>
        <w:t xml:space="preserve">Plan </w:t>
      </w:r>
      <w:fldSimple w:instr=" SEQ Plan \* ARABIC ">
        <w:r>
          <w:rPr>
            <w:noProof/>
          </w:rPr>
          <w:t>6</w:t>
        </w:r>
      </w:fldSimple>
      <w:r>
        <w:t xml:space="preserve"> – Land Use Budget</w:t>
      </w:r>
      <w:bookmarkEnd w:id="26"/>
    </w:p>
    <w:p w:rsidR="003404B2" w:rsidRDefault="007900B2" w:rsidP="007900B2">
      <w:pPr>
        <w:pStyle w:val="Caption"/>
      </w:pPr>
      <w:bookmarkStart w:id="27" w:name="_Toc467676223"/>
      <w:r>
        <w:t xml:space="preserve">Table </w:t>
      </w:r>
      <w:fldSimple w:instr=" SEQ Table \* ARABIC ">
        <w:r>
          <w:rPr>
            <w:noProof/>
          </w:rPr>
          <w:t>8</w:t>
        </w:r>
      </w:fldSimple>
      <w:r>
        <w:t xml:space="preserve"> – </w:t>
      </w:r>
      <w:r w:rsidR="003404B2">
        <w:t>Summary land use budget</w:t>
      </w:r>
      <w:bookmarkEnd w:id="27"/>
    </w:p>
    <w:tbl>
      <w:tblPr>
        <w:tblW w:w="0" w:type="auto"/>
        <w:tblInd w:w="-10" w:type="dxa"/>
        <w:tblLayout w:type="fixed"/>
        <w:tblCellMar>
          <w:left w:w="0" w:type="dxa"/>
          <w:right w:w="0" w:type="dxa"/>
        </w:tblCellMar>
        <w:tblLook w:val="0000" w:firstRow="0" w:lastRow="0" w:firstColumn="0" w:lastColumn="0" w:noHBand="0" w:noVBand="0"/>
      </w:tblPr>
      <w:tblGrid>
        <w:gridCol w:w="4763"/>
        <w:gridCol w:w="1035"/>
        <w:gridCol w:w="680"/>
        <w:gridCol w:w="680"/>
      </w:tblGrid>
      <w:tr w:rsidR="003404B2">
        <w:trPr>
          <w:trHeight w:val="60"/>
          <w:tblHeader/>
        </w:trPr>
        <w:tc>
          <w:tcPr>
            <w:tcW w:w="4763" w:type="dxa"/>
            <w:vMerge w:val="restart"/>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vAlign w:val="center"/>
          </w:tcPr>
          <w:p w:rsidR="003404B2" w:rsidRDefault="003404B2">
            <w:pPr>
              <w:pStyle w:val="LandBudgetHeadRevCTablesSummarylandbudget"/>
            </w:pPr>
            <w:r>
              <w:rPr>
                <w:rFonts w:ascii="VIC" w:hAnsi="VIC" w:cs="VIC"/>
              </w:rPr>
              <w:t>Description</w:t>
            </w:r>
          </w:p>
        </w:tc>
        <w:tc>
          <w:tcPr>
            <w:tcW w:w="2395" w:type="dxa"/>
            <w:gridSpan w:val="3"/>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vAlign w:val="center"/>
          </w:tcPr>
          <w:p w:rsidR="003404B2" w:rsidRDefault="003404B2">
            <w:pPr>
              <w:pStyle w:val="LandBudgetHeadRevCTablesSummarylandbudget"/>
            </w:pPr>
            <w:r>
              <w:rPr>
                <w:rFonts w:ascii="VIC" w:hAnsi="VIC" w:cs="VIC"/>
              </w:rPr>
              <w:t>ROCKBANK PSP</w:t>
            </w:r>
          </w:p>
        </w:tc>
      </w:tr>
      <w:tr w:rsidR="003404B2">
        <w:trPr>
          <w:trHeight w:val="60"/>
          <w:tblHeader/>
        </w:trPr>
        <w:tc>
          <w:tcPr>
            <w:tcW w:w="4763" w:type="dxa"/>
            <w:vMerge/>
            <w:tcBorders>
              <w:top w:val="single" w:sz="8" w:space="0" w:color="FFFFFF"/>
              <w:left w:val="single" w:sz="8" w:space="0" w:color="FFFFFF"/>
              <w:bottom w:val="single" w:sz="8" w:space="0" w:color="FFFFFF"/>
              <w:right w:val="single" w:sz="8" w:space="0" w:color="FFFFFF"/>
            </w:tcBorders>
          </w:tcPr>
          <w:p w:rsidR="003404B2" w:rsidRDefault="003404B2">
            <w:pPr>
              <w:pStyle w:val="NoParagraphStyle"/>
              <w:spacing w:line="240" w:lineRule="auto"/>
              <w:textAlignment w:val="auto"/>
              <w:rPr>
                <w:rFonts w:ascii="Arial" w:hAnsi="Arial" w:cs="Arial"/>
                <w:color w:val="auto"/>
                <w:lang w:val="en-AU"/>
              </w:rPr>
            </w:pPr>
          </w:p>
        </w:tc>
        <w:tc>
          <w:tcPr>
            <w:tcW w:w="1035" w:type="dxa"/>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vAlign w:val="center"/>
          </w:tcPr>
          <w:p w:rsidR="003404B2" w:rsidRDefault="003404B2">
            <w:pPr>
              <w:pStyle w:val="LandBudgetHeadRevCTablesSummarylandbudget"/>
            </w:pPr>
            <w:r>
              <w:rPr>
                <w:rFonts w:ascii="VIC" w:hAnsi="VIC" w:cs="VIC"/>
              </w:rPr>
              <w:t>AREA</w:t>
            </w:r>
            <w:r>
              <w:rPr>
                <w:rFonts w:ascii="VIC" w:hAnsi="VIC" w:cs="VIC"/>
              </w:rPr>
              <w:br/>
            </w:r>
            <w:r>
              <w:rPr>
                <w:rFonts w:ascii="VIC" w:hAnsi="VIC" w:cs="VIC"/>
                <w:spacing w:val="-1"/>
              </w:rPr>
              <w:t>(HECTARES)</w:t>
            </w:r>
          </w:p>
        </w:tc>
        <w:tc>
          <w:tcPr>
            <w:tcW w:w="680" w:type="dxa"/>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vAlign w:val="center"/>
          </w:tcPr>
          <w:p w:rsidR="003404B2" w:rsidRDefault="003404B2">
            <w:pPr>
              <w:pStyle w:val="LandBudgetHeadRevCTablesSummarylandbudget"/>
            </w:pPr>
            <w:r>
              <w:rPr>
                <w:rFonts w:ascii="VIC" w:hAnsi="VIC" w:cs="VIC"/>
              </w:rPr>
              <w:t>% OF GDA</w:t>
            </w:r>
          </w:p>
        </w:tc>
        <w:tc>
          <w:tcPr>
            <w:tcW w:w="680" w:type="dxa"/>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vAlign w:val="center"/>
          </w:tcPr>
          <w:p w:rsidR="003404B2" w:rsidRDefault="003404B2">
            <w:pPr>
              <w:pStyle w:val="LandBudgetHeadRevCTablesSummarylandbudget"/>
            </w:pPr>
            <w:r>
              <w:rPr>
                <w:rFonts w:ascii="VIC" w:hAnsi="VIC" w:cs="VIC"/>
              </w:rPr>
              <w:t>% OF NDA</w:t>
            </w:r>
          </w:p>
        </w:tc>
      </w:tr>
      <w:tr w:rsidR="003404B2">
        <w:trPr>
          <w:trHeight w:val="60"/>
        </w:trPr>
        <w:tc>
          <w:tcPr>
            <w:tcW w:w="4763"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3404B2" w:rsidRDefault="003404B2">
            <w:pPr>
              <w:pStyle w:val="LandBudgetHeadLBlackTOTALSTablesSummarylandbudget"/>
            </w:pPr>
            <w:r>
              <w:rPr>
                <w:rFonts w:ascii="VIC" w:hAnsi="VIC" w:cs="VIC"/>
              </w:rPr>
              <w:t>GROSS DEVELOPABLE AREA (ha)</w:t>
            </w:r>
          </w:p>
        </w:tc>
        <w:tc>
          <w:tcPr>
            <w:tcW w:w="1035"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3404B2" w:rsidRDefault="003404B2">
            <w:pPr>
              <w:pStyle w:val="LandBudgetHeadRBlackNosTablesSummarylandbudget"/>
            </w:pPr>
            <w:r>
              <w:t>751.83</w:t>
            </w:r>
          </w:p>
        </w:tc>
        <w:tc>
          <w:tcPr>
            <w:tcW w:w="1360" w:type="dxa"/>
            <w:gridSpan w:val="2"/>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3404B2" w:rsidRDefault="003404B2">
            <w:pPr>
              <w:pStyle w:val="NoParagraphStyle"/>
              <w:spacing w:line="240" w:lineRule="auto"/>
              <w:textAlignment w:val="auto"/>
              <w:rPr>
                <w:rFonts w:ascii="Arial" w:hAnsi="Arial" w:cs="Arial"/>
                <w:color w:val="auto"/>
                <w:lang w:val="en-AU"/>
              </w:rPr>
            </w:pPr>
          </w:p>
        </w:tc>
      </w:tr>
      <w:tr w:rsidR="003404B2">
        <w:trPr>
          <w:trHeight w:val="60"/>
        </w:trPr>
        <w:tc>
          <w:tcPr>
            <w:tcW w:w="7158" w:type="dxa"/>
            <w:gridSpan w:val="4"/>
            <w:tcBorders>
              <w:top w:val="single" w:sz="8" w:space="0" w:color="FFFFFF"/>
              <w:left w:val="single" w:sz="8" w:space="0" w:color="FFFFFF"/>
              <w:bottom w:val="single" w:sz="8" w:space="0" w:color="FFFFFF"/>
              <w:right w:val="single" w:sz="8" w:space="0" w:color="FFFFFF"/>
            </w:tcBorders>
            <w:shd w:val="solid" w:color="0059D8" w:fill="auto"/>
            <w:tcMar>
              <w:top w:w="77" w:type="dxa"/>
              <w:left w:w="77" w:type="dxa"/>
              <w:bottom w:w="77" w:type="dxa"/>
              <w:right w:w="77" w:type="dxa"/>
            </w:tcMar>
            <w:vAlign w:val="center"/>
          </w:tcPr>
          <w:p w:rsidR="003404B2" w:rsidRDefault="003404B2">
            <w:pPr>
              <w:pStyle w:val="LandBudgetHeadRevLTablesSummarylandbudget"/>
            </w:pPr>
            <w:r>
              <w:t>Transport</w:t>
            </w:r>
          </w:p>
        </w:tc>
      </w:tr>
      <w:tr w:rsidR="003404B2">
        <w:trPr>
          <w:trHeight w:val="60"/>
        </w:trPr>
        <w:tc>
          <w:tcPr>
            <w:tcW w:w="47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pPr>
            <w:r>
              <w:rPr>
                <w:rFonts w:ascii="Arial" w:hAnsi="Arial" w:cs="Arial"/>
                <w:sz w:val="15"/>
                <w:szCs w:val="15"/>
              </w:rPr>
              <w:t>Arterial Road - Existing Road Reserve</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z w:val="15"/>
                <w:szCs w:val="15"/>
              </w:rPr>
              <w:t>19.18</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z w:val="15"/>
                <w:szCs w:val="15"/>
              </w:rPr>
              <w:t>2.55%</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z w:val="15"/>
                <w:szCs w:val="15"/>
              </w:rPr>
              <w:t>4.14%</w:t>
            </w:r>
          </w:p>
        </w:tc>
      </w:tr>
      <w:tr w:rsidR="003404B2">
        <w:trPr>
          <w:trHeight w:val="60"/>
        </w:trPr>
        <w:tc>
          <w:tcPr>
            <w:tcW w:w="47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pPr>
            <w:r>
              <w:rPr>
                <w:rFonts w:ascii="Arial" w:hAnsi="Arial" w:cs="Arial"/>
                <w:sz w:val="15"/>
                <w:szCs w:val="15"/>
              </w:rPr>
              <w:t>Arterial Road - Existing Road Reserve (Potential Commercial Development)</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z w:val="15"/>
                <w:szCs w:val="15"/>
              </w:rPr>
              <w:t>6.70</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z w:val="15"/>
                <w:szCs w:val="15"/>
              </w:rPr>
              <w:t>0.89%</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z w:val="15"/>
                <w:szCs w:val="15"/>
              </w:rPr>
              <w:t>1.45%</w:t>
            </w:r>
          </w:p>
        </w:tc>
      </w:tr>
      <w:tr w:rsidR="003404B2">
        <w:trPr>
          <w:trHeight w:val="60"/>
        </w:trPr>
        <w:tc>
          <w:tcPr>
            <w:tcW w:w="47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pPr>
            <w:r>
              <w:rPr>
                <w:rFonts w:ascii="Arial" w:hAnsi="Arial" w:cs="Arial"/>
                <w:sz w:val="15"/>
                <w:szCs w:val="15"/>
              </w:rPr>
              <w:t>Arterial Road - Public Acquisition Overlay</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z w:val="15"/>
                <w:szCs w:val="15"/>
              </w:rPr>
              <w:t>20.59</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z w:val="15"/>
                <w:szCs w:val="15"/>
              </w:rPr>
              <w:t>2.74%</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z w:val="15"/>
                <w:szCs w:val="15"/>
              </w:rPr>
              <w:t>4.45%</w:t>
            </w:r>
          </w:p>
        </w:tc>
      </w:tr>
      <w:tr w:rsidR="003404B2">
        <w:trPr>
          <w:trHeight w:val="60"/>
        </w:trPr>
        <w:tc>
          <w:tcPr>
            <w:tcW w:w="47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pPr>
            <w:r>
              <w:rPr>
                <w:rFonts w:ascii="Arial" w:hAnsi="Arial" w:cs="Arial"/>
                <w:sz w:val="15"/>
                <w:szCs w:val="15"/>
              </w:rPr>
              <w:t>Arterial Road - Widening and Intersection Flaring (DCP land)</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z w:val="15"/>
                <w:szCs w:val="15"/>
              </w:rPr>
              <w:t>23.47</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z w:val="15"/>
                <w:szCs w:val="15"/>
              </w:rPr>
              <w:t>3.12%</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z w:val="15"/>
                <w:szCs w:val="15"/>
              </w:rPr>
              <w:t>5.07%</w:t>
            </w:r>
          </w:p>
        </w:tc>
      </w:tr>
      <w:tr w:rsidR="003404B2">
        <w:trPr>
          <w:trHeight w:val="60"/>
        </w:trPr>
        <w:tc>
          <w:tcPr>
            <w:tcW w:w="47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pPr>
            <w:r>
              <w:rPr>
                <w:rFonts w:ascii="Arial" w:hAnsi="Arial" w:cs="Arial"/>
                <w:sz w:val="15"/>
                <w:szCs w:val="15"/>
              </w:rPr>
              <w:lastRenderedPageBreak/>
              <w:t>Non-Arterial Road - Existing Road Reserve</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z w:val="15"/>
                <w:szCs w:val="15"/>
              </w:rPr>
              <w:t>11.42</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z w:val="15"/>
                <w:szCs w:val="15"/>
              </w:rPr>
              <w:t>1.52%</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z w:val="15"/>
                <w:szCs w:val="15"/>
              </w:rPr>
              <w:t>2.47%</w:t>
            </w:r>
          </w:p>
        </w:tc>
      </w:tr>
      <w:tr w:rsidR="003404B2">
        <w:trPr>
          <w:trHeight w:val="60"/>
        </w:trPr>
        <w:tc>
          <w:tcPr>
            <w:tcW w:w="47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pPr>
            <w:r>
              <w:rPr>
                <w:rFonts w:ascii="Arial" w:hAnsi="Arial" w:cs="Arial"/>
                <w:spacing w:val="2"/>
                <w:sz w:val="15"/>
                <w:szCs w:val="15"/>
              </w:rPr>
              <w:t>Public Transport Facilities / Reserve</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pacing w:val="2"/>
                <w:sz w:val="15"/>
                <w:szCs w:val="15"/>
              </w:rPr>
              <w:t>25.30</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pacing w:val="2"/>
                <w:sz w:val="15"/>
                <w:szCs w:val="15"/>
              </w:rPr>
              <w:t>3.36%</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pacing w:val="2"/>
                <w:sz w:val="15"/>
                <w:szCs w:val="15"/>
              </w:rPr>
              <w:t>5.46%</w:t>
            </w:r>
          </w:p>
        </w:tc>
      </w:tr>
      <w:tr w:rsidR="003404B2">
        <w:trPr>
          <w:trHeight w:val="60"/>
        </w:trPr>
        <w:tc>
          <w:tcPr>
            <w:tcW w:w="4763"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3404B2" w:rsidRDefault="003404B2">
            <w:pPr>
              <w:pStyle w:val="LandBudgetHeadLBlackTOTALSTablesSummarylandbudget"/>
            </w:pPr>
            <w:r>
              <w:rPr>
                <w:rFonts w:ascii="VIC SemiBold" w:hAnsi="VIC SemiBold" w:cs="VIC SemiBold"/>
              </w:rPr>
              <w:t>Sub-total Transport</w:t>
            </w:r>
          </w:p>
        </w:tc>
        <w:tc>
          <w:tcPr>
            <w:tcW w:w="1035"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3404B2" w:rsidRDefault="003404B2">
            <w:pPr>
              <w:pStyle w:val="LandBudgetHeadRBlackNosTablesSummarylandbudget"/>
            </w:pPr>
            <w:r>
              <w:t>106.66</w:t>
            </w:r>
          </w:p>
        </w:tc>
        <w:tc>
          <w:tcPr>
            <w:tcW w:w="680"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3404B2" w:rsidRDefault="003404B2">
            <w:pPr>
              <w:pStyle w:val="LandBudgetHeadRBlackNosTablesSummarylandbudget"/>
            </w:pPr>
            <w:r>
              <w:t>14.19%</w:t>
            </w:r>
          </w:p>
        </w:tc>
        <w:tc>
          <w:tcPr>
            <w:tcW w:w="680"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3404B2" w:rsidRDefault="003404B2">
            <w:pPr>
              <w:pStyle w:val="LandBudgetHeadRBlackNosTablesSummarylandbudget"/>
            </w:pPr>
            <w:r>
              <w:t>23.03%</w:t>
            </w:r>
          </w:p>
        </w:tc>
      </w:tr>
      <w:tr w:rsidR="003404B2">
        <w:trPr>
          <w:trHeight w:val="60"/>
        </w:trPr>
        <w:tc>
          <w:tcPr>
            <w:tcW w:w="7158" w:type="dxa"/>
            <w:gridSpan w:val="4"/>
            <w:tcBorders>
              <w:top w:val="single" w:sz="8" w:space="0" w:color="FFFFFF"/>
              <w:left w:val="single" w:sz="8" w:space="0" w:color="FFFFFF"/>
              <w:bottom w:val="single" w:sz="8" w:space="0" w:color="FFFFFF"/>
              <w:right w:val="single" w:sz="8" w:space="0" w:color="FFFFFF"/>
            </w:tcBorders>
            <w:shd w:val="solid" w:color="0059D8" w:fill="auto"/>
            <w:tcMar>
              <w:top w:w="77" w:type="dxa"/>
              <w:left w:w="77" w:type="dxa"/>
              <w:bottom w:w="77" w:type="dxa"/>
              <w:right w:w="77" w:type="dxa"/>
            </w:tcMar>
          </w:tcPr>
          <w:p w:rsidR="003404B2" w:rsidRDefault="003404B2">
            <w:pPr>
              <w:pStyle w:val="LandBudgetHeadRevLTablesSummarylandbudget"/>
            </w:pPr>
            <w:r>
              <w:t>Community &amp; Education</w:t>
            </w:r>
          </w:p>
        </w:tc>
      </w:tr>
      <w:tr w:rsidR="003404B2">
        <w:trPr>
          <w:trHeight w:val="60"/>
        </w:trPr>
        <w:tc>
          <w:tcPr>
            <w:tcW w:w="47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pPr>
            <w:r>
              <w:rPr>
                <w:rFonts w:ascii="Arial" w:hAnsi="Arial" w:cs="Arial"/>
                <w:sz w:val="15"/>
                <w:szCs w:val="15"/>
              </w:rPr>
              <w:t>Existing Government School</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z w:val="15"/>
                <w:szCs w:val="15"/>
              </w:rPr>
              <w:t>1.66</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z w:val="15"/>
                <w:szCs w:val="15"/>
              </w:rPr>
              <w:t>0.22%</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z w:val="15"/>
                <w:szCs w:val="15"/>
              </w:rPr>
              <w:t>0.36%</w:t>
            </w:r>
          </w:p>
        </w:tc>
      </w:tr>
      <w:tr w:rsidR="003404B2">
        <w:trPr>
          <w:trHeight w:val="60"/>
        </w:trPr>
        <w:tc>
          <w:tcPr>
            <w:tcW w:w="47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pPr>
            <w:r>
              <w:rPr>
                <w:rFonts w:ascii="Arial" w:hAnsi="Arial" w:cs="Arial"/>
                <w:sz w:val="15"/>
                <w:szCs w:val="15"/>
              </w:rPr>
              <w:t>Potential Government School</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z w:val="15"/>
                <w:szCs w:val="15"/>
              </w:rPr>
              <w:t>18.90</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z w:val="15"/>
                <w:szCs w:val="15"/>
              </w:rPr>
              <w:t>2.51%</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z w:val="15"/>
                <w:szCs w:val="15"/>
              </w:rPr>
              <w:t>4.08%</w:t>
            </w:r>
          </w:p>
        </w:tc>
      </w:tr>
      <w:tr w:rsidR="003404B2">
        <w:trPr>
          <w:cantSplit/>
          <w:trHeight w:val="60"/>
        </w:trPr>
        <w:tc>
          <w:tcPr>
            <w:tcW w:w="47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pPr>
            <w:r>
              <w:rPr>
                <w:rFonts w:ascii="Arial" w:hAnsi="Arial" w:cs="Arial"/>
                <w:sz w:val="15"/>
                <w:szCs w:val="15"/>
              </w:rPr>
              <w:t>Potential Non-Government School</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z w:val="15"/>
                <w:szCs w:val="15"/>
              </w:rPr>
              <w:t>2.60</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z w:val="15"/>
                <w:szCs w:val="15"/>
              </w:rPr>
              <w:t>0.35%</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z w:val="15"/>
                <w:szCs w:val="15"/>
              </w:rPr>
              <w:t>0.56%</w:t>
            </w:r>
          </w:p>
        </w:tc>
      </w:tr>
      <w:tr w:rsidR="003404B2">
        <w:trPr>
          <w:cantSplit/>
          <w:trHeight w:val="60"/>
        </w:trPr>
        <w:tc>
          <w:tcPr>
            <w:tcW w:w="47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pPr>
            <w:r>
              <w:rPr>
                <w:rFonts w:ascii="Arial" w:hAnsi="Arial" w:cs="Arial"/>
                <w:sz w:val="15"/>
                <w:szCs w:val="15"/>
              </w:rPr>
              <w:t>Local Community Facility (DCP land)</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z w:val="15"/>
                <w:szCs w:val="15"/>
              </w:rPr>
              <w:t>3.50</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z w:val="15"/>
                <w:szCs w:val="15"/>
              </w:rPr>
              <w:t>0.47%</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z w:val="15"/>
                <w:szCs w:val="15"/>
              </w:rPr>
              <w:t>0.76%</w:t>
            </w:r>
          </w:p>
        </w:tc>
      </w:tr>
      <w:tr w:rsidR="003404B2">
        <w:trPr>
          <w:cantSplit/>
          <w:trHeight w:val="60"/>
        </w:trPr>
        <w:tc>
          <w:tcPr>
            <w:tcW w:w="47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pPr>
            <w:r>
              <w:rPr>
                <w:rFonts w:ascii="Arial" w:hAnsi="Arial" w:cs="Arial"/>
                <w:sz w:val="15"/>
                <w:szCs w:val="15"/>
              </w:rPr>
              <w:t>Local Indoor Recreation (DCP land)</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z w:val="15"/>
                <w:szCs w:val="15"/>
              </w:rPr>
              <w:t>2.00</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z w:val="15"/>
                <w:szCs w:val="15"/>
              </w:rPr>
              <w:t>0.27%</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z w:val="15"/>
                <w:szCs w:val="15"/>
              </w:rPr>
              <w:t>0.43%</w:t>
            </w:r>
          </w:p>
        </w:tc>
      </w:tr>
      <w:tr w:rsidR="003404B2">
        <w:trPr>
          <w:cantSplit/>
          <w:trHeight w:val="60"/>
        </w:trPr>
        <w:tc>
          <w:tcPr>
            <w:tcW w:w="47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pPr>
            <w:r>
              <w:rPr>
                <w:rFonts w:ascii="Arial" w:hAnsi="Arial" w:cs="Arial"/>
                <w:sz w:val="15"/>
                <w:szCs w:val="15"/>
              </w:rPr>
              <w:t>Existing State Government Facility (Fire Services)</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z w:val="15"/>
                <w:szCs w:val="15"/>
              </w:rPr>
              <w:t>0.20</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z w:val="15"/>
                <w:szCs w:val="15"/>
              </w:rPr>
              <w:t>0.03%</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z w:val="15"/>
                <w:szCs w:val="15"/>
              </w:rPr>
              <w:t>0.04%</w:t>
            </w:r>
          </w:p>
        </w:tc>
      </w:tr>
      <w:tr w:rsidR="003404B2">
        <w:trPr>
          <w:cantSplit/>
          <w:trHeight w:val="60"/>
        </w:trPr>
        <w:tc>
          <w:tcPr>
            <w:tcW w:w="4763"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3404B2" w:rsidRDefault="003404B2">
            <w:pPr>
              <w:pStyle w:val="LandBudgetHeadLBlackTOTALSTablesSummarylandbudget"/>
            </w:pPr>
            <w:r>
              <w:rPr>
                <w:rFonts w:ascii="VIC SemiBold" w:hAnsi="VIC SemiBold" w:cs="VIC SemiBold"/>
              </w:rPr>
              <w:t>Sub-total Community &amp; Education</w:t>
            </w:r>
          </w:p>
        </w:tc>
        <w:tc>
          <w:tcPr>
            <w:tcW w:w="1035"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3404B2" w:rsidRDefault="003404B2">
            <w:pPr>
              <w:pStyle w:val="LandBudgetHeadRBlackNosTablesSummarylandbudget"/>
            </w:pPr>
            <w:r>
              <w:t>28.86</w:t>
            </w:r>
          </w:p>
        </w:tc>
        <w:tc>
          <w:tcPr>
            <w:tcW w:w="680"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3404B2" w:rsidRDefault="003404B2">
            <w:pPr>
              <w:pStyle w:val="LandBudgetHeadRBlackNosTablesSummarylandbudget"/>
            </w:pPr>
            <w:r>
              <w:t>3.84%</w:t>
            </w:r>
          </w:p>
        </w:tc>
        <w:tc>
          <w:tcPr>
            <w:tcW w:w="680"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3404B2" w:rsidRDefault="003404B2">
            <w:pPr>
              <w:pStyle w:val="LandBudgetHeadRBlackNosTablesSummarylandbudget"/>
            </w:pPr>
            <w:r>
              <w:t>6.23%</w:t>
            </w:r>
          </w:p>
        </w:tc>
      </w:tr>
      <w:tr w:rsidR="003404B2">
        <w:trPr>
          <w:cantSplit/>
          <w:trHeight w:val="60"/>
        </w:trPr>
        <w:tc>
          <w:tcPr>
            <w:tcW w:w="7158" w:type="dxa"/>
            <w:gridSpan w:val="4"/>
            <w:tcBorders>
              <w:top w:val="single" w:sz="8" w:space="0" w:color="FFFFFF"/>
              <w:left w:val="single" w:sz="8" w:space="0" w:color="FFFFFF"/>
              <w:bottom w:val="single" w:sz="8" w:space="0" w:color="FFFFFF"/>
              <w:right w:val="single" w:sz="8" w:space="0" w:color="FFFFFF"/>
            </w:tcBorders>
            <w:shd w:val="solid" w:color="0059D8" w:fill="auto"/>
            <w:tcMar>
              <w:top w:w="77" w:type="dxa"/>
              <w:left w:w="77" w:type="dxa"/>
              <w:bottom w:w="77" w:type="dxa"/>
              <w:right w:w="77" w:type="dxa"/>
            </w:tcMar>
            <w:vAlign w:val="center"/>
          </w:tcPr>
          <w:p w:rsidR="003404B2" w:rsidRDefault="003404B2">
            <w:pPr>
              <w:pStyle w:val="LandBudgetHeadRevLTablesSummarylandbudget"/>
            </w:pPr>
            <w:r>
              <w:t>Open Space</w:t>
            </w:r>
          </w:p>
        </w:tc>
      </w:tr>
      <w:tr w:rsidR="003404B2">
        <w:trPr>
          <w:trHeight w:val="60"/>
        </w:trPr>
        <w:tc>
          <w:tcPr>
            <w:tcW w:w="7158" w:type="dxa"/>
            <w:gridSpan w:val="4"/>
            <w:tcBorders>
              <w:top w:val="single" w:sz="8" w:space="0" w:color="FFFFFF"/>
              <w:left w:val="single" w:sz="8" w:space="0" w:color="FFFFFF"/>
              <w:bottom w:val="single" w:sz="8" w:space="0" w:color="FFFFFF"/>
              <w:right w:val="single" w:sz="8" w:space="0" w:color="FFFFFF"/>
            </w:tcBorders>
            <w:shd w:val="solid" w:color="00CBFF" w:fill="auto"/>
            <w:tcMar>
              <w:top w:w="77" w:type="dxa"/>
              <w:left w:w="77" w:type="dxa"/>
              <w:bottom w:w="77" w:type="dxa"/>
              <w:right w:w="77" w:type="dxa"/>
            </w:tcMar>
            <w:vAlign w:val="center"/>
          </w:tcPr>
          <w:p w:rsidR="003404B2" w:rsidRDefault="003404B2">
            <w:pPr>
              <w:pStyle w:val="LandBudgetHeadRevLTablesSummarylandbudget"/>
            </w:pPr>
            <w:r>
              <w:t>Service Open Space</w:t>
            </w:r>
          </w:p>
        </w:tc>
      </w:tr>
      <w:tr w:rsidR="003404B2">
        <w:trPr>
          <w:trHeight w:val="60"/>
        </w:trPr>
        <w:tc>
          <w:tcPr>
            <w:tcW w:w="47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pPr>
            <w:r>
              <w:rPr>
                <w:rFonts w:ascii="Arial" w:hAnsi="Arial" w:cs="Arial"/>
                <w:sz w:val="15"/>
                <w:szCs w:val="15"/>
              </w:rPr>
              <w:t>Conservation Reserve</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z w:val="15"/>
                <w:szCs w:val="15"/>
              </w:rPr>
              <w:t>9.19</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z w:val="15"/>
                <w:szCs w:val="15"/>
              </w:rPr>
              <w:t>1.22%</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z w:val="15"/>
                <w:szCs w:val="15"/>
              </w:rPr>
              <w:t>1.98%</w:t>
            </w:r>
          </w:p>
        </w:tc>
      </w:tr>
      <w:tr w:rsidR="003404B2">
        <w:trPr>
          <w:trHeight w:val="60"/>
        </w:trPr>
        <w:tc>
          <w:tcPr>
            <w:tcW w:w="47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pPr>
            <w:r>
              <w:rPr>
                <w:rFonts w:ascii="Arial" w:hAnsi="Arial" w:cs="Arial"/>
                <w:sz w:val="15"/>
                <w:szCs w:val="15"/>
              </w:rPr>
              <w:t>Waterway and Drainage Reserve</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z w:val="15"/>
                <w:szCs w:val="15"/>
              </w:rPr>
              <w:t>65.64</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z w:val="15"/>
                <w:szCs w:val="15"/>
              </w:rPr>
              <w:t>8.73%</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z w:val="15"/>
                <w:szCs w:val="15"/>
              </w:rPr>
              <w:t>14.17%</w:t>
            </w:r>
          </w:p>
        </w:tc>
      </w:tr>
      <w:tr w:rsidR="003404B2">
        <w:trPr>
          <w:trHeight w:val="60"/>
        </w:trPr>
        <w:tc>
          <w:tcPr>
            <w:tcW w:w="47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pPr>
            <w:r>
              <w:rPr>
                <w:rFonts w:ascii="Arial" w:hAnsi="Arial" w:cs="Arial"/>
                <w:spacing w:val="2"/>
                <w:sz w:val="15"/>
                <w:szCs w:val="15"/>
              </w:rPr>
              <w:t>Landscape Buffer adjoining road</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pacing w:val="2"/>
                <w:sz w:val="15"/>
                <w:szCs w:val="15"/>
              </w:rPr>
              <w:t>12.13</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pacing w:val="2"/>
                <w:sz w:val="15"/>
                <w:szCs w:val="15"/>
              </w:rPr>
              <w:t>1.61%</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pacing w:val="2"/>
                <w:sz w:val="15"/>
                <w:szCs w:val="15"/>
              </w:rPr>
              <w:t>2.62%</w:t>
            </w:r>
          </w:p>
        </w:tc>
      </w:tr>
      <w:tr w:rsidR="003404B2">
        <w:trPr>
          <w:trHeight w:val="60"/>
        </w:trPr>
        <w:tc>
          <w:tcPr>
            <w:tcW w:w="4763"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3404B2" w:rsidRDefault="003404B2">
            <w:pPr>
              <w:pStyle w:val="LandBudgetHeadLBlackTOTALSTablesSummarylandbudget"/>
            </w:pPr>
            <w:r>
              <w:rPr>
                <w:rFonts w:ascii="VIC SemiBold" w:hAnsi="VIC SemiBold" w:cs="VIC SemiBold"/>
              </w:rPr>
              <w:t>Sub-total Service Open Space</w:t>
            </w:r>
          </w:p>
        </w:tc>
        <w:tc>
          <w:tcPr>
            <w:tcW w:w="1035"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3404B2" w:rsidRDefault="003404B2">
            <w:pPr>
              <w:pStyle w:val="LandBudgetHeadRBlackNosTablesSummarylandbudget"/>
            </w:pPr>
            <w:r>
              <w:t>86.95</w:t>
            </w:r>
          </w:p>
        </w:tc>
        <w:tc>
          <w:tcPr>
            <w:tcW w:w="680"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3404B2" w:rsidRDefault="003404B2">
            <w:pPr>
              <w:pStyle w:val="LandBudgetHeadRBlackNosTablesSummarylandbudget"/>
            </w:pPr>
            <w:r>
              <w:t>11.57%</w:t>
            </w:r>
          </w:p>
        </w:tc>
        <w:tc>
          <w:tcPr>
            <w:tcW w:w="680"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3404B2" w:rsidRDefault="003404B2">
            <w:pPr>
              <w:pStyle w:val="LandBudgetHeadRBlackNosTablesSummarylandbudget"/>
            </w:pPr>
            <w:r>
              <w:t>18.78%</w:t>
            </w:r>
          </w:p>
        </w:tc>
      </w:tr>
      <w:tr w:rsidR="003404B2">
        <w:trPr>
          <w:cantSplit/>
          <w:trHeight w:val="60"/>
        </w:trPr>
        <w:tc>
          <w:tcPr>
            <w:tcW w:w="7158" w:type="dxa"/>
            <w:gridSpan w:val="4"/>
            <w:tcBorders>
              <w:top w:val="single" w:sz="8" w:space="0" w:color="FFFFFF"/>
              <w:left w:val="single" w:sz="8" w:space="0" w:color="FFFFFF"/>
              <w:bottom w:val="single" w:sz="8" w:space="0" w:color="FFFFFF"/>
              <w:right w:val="single" w:sz="8" w:space="0" w:color="FFFFFF"/>
            </w:tcBorders>
            <w:shd w:val="solid" w:color="00CBFF" w:fill="auto"/>
            <w:tcMar>
              <w:top w:w="77" w:type="dxa"/>
              <w:left w:w="77" w:type="dxa"/>
              <w:bottom w:w="77" w:type="dxa"/>
              <w:right w:w="77" w:type="dxa"/>
            </w:tcMar>
            <w:vAlign w:val="center"/>
          </w:tcPr>
          <w:p w:rsidR="003404B2" w:rsidRDefault="003404B2">
            <w:pPr>
              <w:pStyle w:val="LandBudgetHeadRevLTablesSummarylandbudget"/>
            </w:pPr>
            <w:r>
              <w:t>Credited Open Space</w:t>
            </w:r>
          </w:p>
        </w:tc>
      </w:tr>
      <w:tr w:rsidR="003404B2">
        <w:trPr>
          <w:cantSplit/>
          <w:trHeight w:val="60"/>
        </w:trPr>
        <w:tc>
          <w:tcPr>
            <w:tcW w:w="47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pPr>
            <w:r>
              <w:rPr>
                <w:rFonts w:ascii="Arial" w:hAnsi="Arial" w:cs="Arial"/>
                <w:sz w:val="15"/>
                <w:szCs w:val="15"/>
              </w:rPr>
              <w:t>Local Sports Reserve (DCP land)</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z w:val="15"/>
                <w:szCs w:val="15"/>
              </w:rPr>
              <w:t>29.90</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z w:val="15"/>
                <w:szCs w:val="15"/>
              </w:rPr>
              <w:t>3.98%</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z w:val="15"/>
                <w:szCs w:val="15"/>
              </w:rPr>
              <w:t>6.46%</w:t>
            </w:r>
          </w:p>
        </w:tc>
      </w:tr>
      <w:tr w:rsidR="003404B2">
        <w:trPr>
          <w:cantSplit/>
          <w:trHeight w:val="60"/>
        </w:trPr>
        <w:tc>
          <w:tcPr>
            <w:tcW w:w="47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pPr>
            <w:r>
              <w:rPr>
                <w:rFonts w:ascii="Arial" w:hAnsi="Arial" w:cs="Arial"/>
                <w:sz w:val="15"/>
                <w:szCs w:val="15"/>
              </w:rPr>
              <w:t>Town Centre Urban Plaza (DCP Land)</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z w:val="15"/>
                <w:szCs w:val="15"/>
              </w:rPr>
              <w:t>0.67</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z w:val="15"/>
                <w:szCs w:val="15"/>
              </w:rPr>
              <w:t>0.09%</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z w:val="15"/>
                <w:szCs w:val="15"/>
              </w:rPr>
              <w:t>0.14%</w:t>
            </w:r>
          </w:p>
        </w:tc>
      </w:tr>
      <w:tr w:rsidR="003404B2">
        <w:trPr>
          <w:cantSplit/>
          <w:trHeight w:val="60"/>
        </w:trPr>
        <w:tc>
          <w:tcPr>
            <w:tcW w:w="47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pPr>
            <w:r>
              <w:rPr>
                <w:rFonts w:ascii="Arial" w:hAnsi="Arial" w:cs="Arial"/>
                <w:spacing w:val="2"/>
                <w:sz w:val="15"/>
                <w:szCs w:val="15"/>
              </w:rPr>
              <w:t>Local Network Park (via Cl 52.01)</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pacing w:val="2"/>
                <w:sz w:val="15"/>
                <w:szCs w:val="15"/>
              </w:rPr>
              <w:t>13.40</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pacing w:val="2"/>
                <w:sz w:val="15"/>
                <w:szCs w:val="15"/>
              </w:rPr>
              <w:t>1.78%</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pacing w:val="2"/>
                <w:sz w:val="15"/>
                <w:szCs w:val="15"/>
              </w:rPr>
              <w:t>2.89%</w:t>
            </w:r>
          </w:p>
        </w:tc>
      </w:tr>
      <w:tr w:rsidR="003404B2">
        <w:trPr>
          <w:cantSplit/>
          <w:trHeight w:val="60"/>
        </w:trPr>
        <w:tc>
          <w:tcPr>
            <w:tcW w:w="4763"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3404B2" w:rsidRDefault="003404B2">
            <w:pPr>
              <w:pStyle w:val="LandBudgetHeadLBlackTOTALSTablesSummarylandbudget"/>
            </w:pPr>
            <w:r>
              <w:rPr>
                <w:rFonts w:ascii="VIC SemiBold" w:hAnsi="VIC SemiBold" w:cs="VIC SemiBold"/>
              </w:rPr>
              <w:t>Sub-total Credited Open Space</w:t>
            </w:r>
          </w:p>
        </w:tc>
        <w:tc>
          <w:tcPr>
            <w:tcW w:w="1035"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3404B2" w:rsidRDefault="003404B2">
            <w:pPr>
              <w:pStyle w:val="LandBudgetHeadRBlackNosTablesSummarylandbudget"/>
            </w:pPr>
            <w:r>
              <w:t>43.97</w:t>
            </w:r>
          </w:p>
        </w:tc>
        <w:tc>
          <w:tcPr>
            <w:tcW w:w="680"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3404B2" w:rsidRDefault="003404B2">
            <w:pPr>
              <w:pStyle w:val="LandBudgetHeadRBlackNosTablesSummarylandbudget"/>
            </w:pPr>
            <w:r>
              <w:t>5.85%</w:t>
            </w:r>
          </w:p>
        </w:tc>
        <w:tc>
          <w:tcPr>
            <w:tcW w:w="680"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3404B2" w:rsidRDefault="003404B2">
            <w:pPr>
              <w:pStyle w:val="LandBudgetHeadRBlackNosTablesSummarylandbudget"/>
            </w:pPr>
            <w:r>
              <w:t>9.49%</w:t>
            </w:r>
          </w:p>
        </w:tc>
      </w:tr>
      <w:tr w:rsidR="003404B2">
        <w:trPr>
          <w:trHeight w:val="60"/>
        </w:trPr>
        <w:tc>
          <w:tcPr>
            <w:tcW w:w="7158" w:type="dxa"/>
            <w:gridSpan w:val="4"/>
            <w:tcBorders>
              <w:top w:val="single" w:sz="8" w:space="0" w:color="FFFFFF"/>
              <w:left w:val="single" w:sz="8" w:space="0" w:color="FFFFFF"/>
              <w:bottom w:val="single" w:sz="8" w:space="0" w:color="FFFFFF"/>
              <w:right w:val="single" w:sz="8" w:space="0" w:color="FFFFFF"/>
            </w:tcBorders>
            <w:shd w:val="solid" w:color="00CBFF" w:fill="auto"/>
            <w:tcMar>
              <w:top w:w="77" w:type="dxa"/>
              <w:left w:w="77" w:type="dxa"/>
              <w:bottom w:w="77" w:type="dxa"/>
              <w:right w:w="77" w:type="dxa"/>
            </w:tcMar>
            <w:vAlign w:val="center"/>
          </w:tcPr>
          <w:p w:rsidR="003404B2" w:rsidRDefault="003404B2">
            <w:pPr>
              <w:pStyle w:val="LandBudgetHeadRevLTablesSummarylandbudget"/>
            </w:pPr>
            <w:r>
              <w:t>Regional Open Space</w:t>
            </w:r>
          </w:p>
        </w:tc>
      </w:tr>
      <w:tr w:rsidR="003404B2">
        <w:trPr>
          <w:trHeight w:val="60"/>
        </w:trPr>
        <w:tc>
          <w:tcPr>
            <w:tcW w:w="47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pPr>
            <w:r>
              <w:rPr>
                <w:rFonts w:ascii="Arial" w:hAnsi="Arial" w:cs="Arial"/>
                <w:spacing w:val="2"/>
                <w:sz w:val="15"/>
                <w:szCs w:val="15"/>
              </w:rPr>
              <w:t>Municipal Regional Sports Reserve (council funded)</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pacing w:val="2"/>
                <w:sz w:val="15"/>
                <w:szCs w:val="15"/>
              </w:rPr>
              <w:t>16.58</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pacing w:val="2"/>
                <w:sz w:val="15"/>
                <w:szCs w:val="15"/>
              </w:rPr>
              <w:t>2.20%</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pacing w:val="2"/>
                <w:sz w:val="15"/>
                <w:szCs w:val="15"/>
              </w:rPr>
              <w:t>3.58%</w:t>
            </w:r>
          </w:p>
        </w:tc>
      </w:tr>
      <w:tr w:rsidR="003404B2">
        <w:trPr>
          <w:trHeight w:val="60"/>
        </w:trPr>
        <w:tc>
          <w:tcPr>
            <w:tcW w:w="4763"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3404B2" w:rsidRDefault="003404B2">
            <w:pPr>
              <w:pStyle w:val="LandBudgetHeadLBlackTOTALSTablesSummarylandbudget"/>
            </w:pPr>
            <w:r>
              <w:rPr>
                <w:rFonts w:ascii="VIC SemiBold" w:hAnsi="VIC SemiBold" w:cs="VIC SemiBold"/>
              </w:rPr>
              <w:t>Sub-total Regional Open Space</w:t>
            </w:r>
          </w:p>
        </w:tc>
        <w:tc>
          <w:tcPr>
            <w:tcW w:w="1035"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3404B2" w:rsidRDefault="003404B2">
            <w:pPr>
              <w:pStyle w:val="LandBudgetHeadRBlackNosTablesSummarylandbudget"/>
            </w:pPr>
            <w:r>
              <w:rPr>
                <w:spacing w:val="2"/>
              </w:rPr>
              <w:t>16.58</w:t>
            </w:r>
          </w:p>
        </w:tc>
        <w:tc>
          <w:tcPr>
            <w:tcW w:w="680"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3404B2" w:rsidRDefault="003404B2">
            <w:pPr>
              <w:pStyle w:val="LandBudgetHeadRBlackNosTablesSummarylandbudget"/>
            </w:pPr>
            <w:r>
              <w:rPr>
                <w:spacing w:val="2"/>
              </w:rPr>
              <w:t>2.20%</w:t>
            </w:r>
          </w:p>
        </w:tc>
        <w:tc>
          <w:tcPr>
            <w:tcW w:w="680"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3404B2" w:rsidRDefault="003404B2">
            <w:pPr>
              <w:pStyle w:val="LandBudgetHeadRBlackNosTablesSummarylandbudget"/>
            </w:pPr>
            <w:r>
              <w:rPr>
                <w:spacing w:val="2"/>
              </w:rPr>
              <w:t>3.58%</w:t>
            </w:r>
          </w:p>
        </w:tc>
      </w:tr>
      <w:tr w:rsidR="003404B2">
        <w:trPr>
          <w:trHeight w:val="60"/>
        </w:trPr>
        <w:tc>
          <w:tcPr>
            <w:tcW w:w="4763"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3404B2" w:rsidRDefault="003404B2">
            <w:pPr>
              <w:pStyle w:val="LandBudgetHeadLBlackTOTALSTablesSummarylandbudget"/>
            </w:pPr>
            <w:r>
              <w:rPr>
                <w:rFonts w:ascii="VIC SemiBold" w:hAnsi="VIC SemiBold" w:cs="VIC SemiBold"/>
              </w:rPr>
              <w:t>Total All Open Space</w:t>
            </w:r>
          </w:p>
        </w:tc>
        <w:tc>
          <w:tcPr>
            <w:tcW w:w="1035"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3404B2" w:rsidRDefault="003404B2">
            <w:pPr>
              <w:pStyle w:val="LandBudgetHeadRBlackNosTablesSummarylandbudget"/>
            </w:pPr>
            <w:r>
              <w:t>147.50</w:t>
            </w:r>
          </w:p>
        </w:tc>
        <w:tc>
          <w:tcPr>
            <w:tcW w:w="680"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3404B2" w:rsidRDefault="003404B2">
            <w:pPr>
              <w:pStyle w:val="LandBudgetHeadRBlackNosTablesSummarylandbudget"/>
            </w:pPr>
            <w:r>
              <w:t>19.62%</w:t>
            </w:r>
          </w:p>
        </w:tc>
        <w:tc>
          <w:tcPr>
            <w:tcW w:w="680"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3404B2" w:rsidRDefault="003404B2">
            <w:pPr>
              <w:pStyle w:val="LandBudgetHeadRBlackNosTablesSummarylandbudget"/>
            </w:pPr>
            <w:r>
              <w:t>31.85%</w:t>
            </w:r>
          </w:p>
        </w:tc>
      </w:tr>
      <w:tr w:rsidR="003404B2">
        <w:trPr>
          <w:trHeight w:val="60"/>
        </w:trPr>
        <w:tc>
          <w:tcPr>
            <w:tcW w:w="7158" w:type="dxa"/>
            <w:gridSpan w:val="4"/>
            <w:tcBorders>
              <w:top w:val="single" w:sz="8" w:space="0" w:color="FFFFFF"/>
              <w:left w:val="single" w:sz="8" w:space="0" w:color="FFFFFF"/>
              <w:bottom w:val="single" w:sz="8" w:space="0" w:color="FFFFFF"/>
              <w:right w:val="single" w:sz="8" w:space="0" w:color="FFFFFF"/>
            </w:tcBorders>
            <w:shd w:val="solid" w:color="0059D8" w:fill="auto"/>
            <w:tcMar>
              <w:top w:w="77" w:type="dxa"/>
              <w:left w:w="77" w:type="dxa"/>
              <w:bottom w:w="77" w:type="dxa"/>
              <w:right w:w="77" w:type="dxa"/>
            </w:tcMar>
            <w:vAlign w:val="center"/>
          </w:tcPr>
          <w:p w:rsidR="003404B2" w:rsidRDefault="003404B2">
            <w:pPr>
              <w:pStyle w:val="LandBudgetHeadRevLTablesSummarylandbudget"/>
            </w:pPr>
            <w:r>
              <w:t>Other</w:t>
            </w:r>
          </w:p>
        </w:tc>
      </w:tr>
      <w:tr w:rsidR="003404B2">
        <w:trPr>
          <w:trHeight w:val="60"/>
        </w:trPr>
        <w:tc>
          <w:tcPr>
            <w:tcW w:w="47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pPr>
            <w:r>
              <w:rPr>
                <w:rFonts w:ascii="Arial" w:hAnsi="Arial" w:cs="Arial"/>
                <w:sz w:val="15"/>
                <w:szCs w:val="15"/>
              </w:rPr>
              <w:t>Utilities - Servicing</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z w:val="15"/>
                <w:szCs w:val="15"/>
              </w:rPr>
              <w:t>1.48</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z w:val="15"/>
                <w:szCs w:val="15"/>
              </w:rPr>
              <w:t>0.20%</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z w:val="15"/>
                <w:szCs w:val="15"/>
              </w:rPr>
              <w:t>0.32%</w:t>
            </w:r>
          </w:p>
        </w:tc>
      </w:tr>
      <w:tr w:rsidR="003404B2">
        <w:trPr>
          <w:trHeight w:val="60"/>
        </w:trPr>
        <w:tc>
          <w:tcPr>
            <w:tcW w:w="47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pPr>
            <w:r>
              <w:rPr>
                <w:rFonts w:ascii="Arial" w:hAnsi="Arial" w:cs="Arial"/>
                <w:spacing w:val="2"/>
                <w:sz w:val="15"/>
                <w:szCs w:val="15"/>
              </w:rPr>
              <w:t>Existing Sports Reserve</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pacing w:val="2"/>
                <w:sz w:val="15"/>
                <w:szCs w:val="15"/>
              </w:rPr>
              <w:t>4.20</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pacing w:val="2"/>
                <w:sz w:val="15"/>
                <w:szCs w:val="15"/>
              </w:rPr>
              <w:t>0.56%</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3404B2" w:rsidRDefault="003404B2">
            <w:pPr>
              <w:pStyle w:val="tablebasic"/>
              <w:jc w:val="right"/>
            </w:pPr>
            <w:r>
              <w:rPr>
                <w:rFonts w:ascii="Arial" w:hAnsi="Arial" w:cs="Arial"/>
                <w:spacing w:val="2"/>
                <w:sz w:val="15"/>
                <w:szCs w:val="15"/>
              </w:rPr>
              <w:t>0.91%</w:t>
            </w:r>
          </w:p>
        </w:tc>
      </w:tr>
      <w:tr w:rsidR="003404B2">
        <w:trPr>
          <w:trHeight w:val="60"/>
        </w:trPr>
        <w:tc>
          <w:tcPr>
            <w:tcW w:w="4763"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3404B2" w:rsidRDefault="003404B2">
            <w:pPr>
              <w:pStyle w:val="LandBudgetHeadLBlackTOTALSTablesSummarylandbudget"/>
            </w:pPr>
            <w:r>
              <w:rPr>
                <w:rFonts w:ascii="VIC SemiBold" w:hAnsi="VIC SemiBold" w:cs="VIC SemiBold"/>
              </w:rPr>
              <w:lastRenderedPageBreak/>
              <w:t>Sub-total</w:t>
            </w:r>
          </w:p>
        </w:tc>
        <w:tc>
          <w:tcPr>
            <w:tcW w:w="1035"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3404B2" w:rsidRDefault="003404B2">
            <w:pPr>
              <w:pStyle w:val="LandBudgetHeadRBlackNosTablesSummarylandbudget"/>
            </w:pPr>
            <w:r>
              <w:t>5.68</w:t>
            </w:r>
          </w:p>
        </w:tc>
        <w:tc>
          <w:tcPr>
            <w:tcW w:w="680"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3404B2" w:rsidRDefault="003404B2">
            <w:pPr>
              <w:pStyle w:val="LandBudgetHeadRBlackNosTablesSummarylandbudget"/>
            </w:pPr>
            <w:r>
              <w:t>0.76%</w:t>
            </w:r>
          </w:p>
        </w:tc>
        <w:tc>
          <w:tcPr>
            <w:tcW w:w="680"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3404B2" w:rsidRDefault="003404B2">
            <w:pPr>
              <w:pStyle w:val="LandBudgetHeadRBlackNosTablesSummarylandbudget"/>
            </w:pPr>
            <w:r>
              <w:t>1.23%</w:t>
            </w:r>
          </w:p>
        </w:tc>
      </w:tr>
      <w:tr w:rsidR="003404B2">
        <w:trPr>
          <w:trHeight w:val="60"/>
        </w:trPr>
        <w:tc>
          <w:tcPr>
            <w:tcW w:w="7158" w:type="dxa"/>
            <w:gridSpan w:val="4"/>
            <w:tcBorders>
              <w:top w:val="single" w:sz="8" w:space="0" w:color="FFFFFF"/>
              <w:left w:val="single" w:sz="8" w:space="0" w:color="FFFFFF"/>
              <w:bottom w:val="single" w:sz="8" w:space="0" w:color="FFFFFF"/>
              <w:right w:val="single" w:sz="8" w:space="0" w:color="FFFFFF"/>
            </w:tcBorders>
            <w:shd w:val="solid" w:color="FFFFFF" w:fill="auto"/>
            <w:tcMar>
              <w:top w:w="77" w:type="dxa"/>
              <w:left w:w="77" w:type="dxa"/>
              <w:bottom w:w="77" w:type="dxa"/>
              <w:right w:w="77" w:type="dxa"/>
            </w:tcMar>
            <w:vAlign w:val="center"/>
          </w:tcPr>
          <w:p w:rsidR="003404B2" w:rsidRDefault="003404B2">
            <w:pPr>
              <w:pStyle w:val="NoParagraphStyle"/>
              <w:spacing w:line="240" w:lineRule="auto"/>
              <w:textAlignment w:val="auto"/>
              <w:rPr>
                <w:rFonts w:ascii="Arial" w:hAnsi="Arial" w:cs="Arial"/>
                <w:color w:val="auto"/>
                <w:lang w:val="en-AU"/>
              </w:rPr>
            </w:pPr>
          </w:p>
        </w:tc>
      </w:tr>
      <w:tr w:rsidR="003404B2">
        <w:trPr>
          <w:trHeight w:val="60"/>
        </w:trPr>
        <w:tc>
          <w:tcPr>
            <w:tcW w:w="4763" w:type="dxa"/>
            <w:tcBorders>
              <w:top w:val="single" w:sz="8" w:space="0" w:color="FFFFFF"/>
              <w:left w:val="single" w:sz="8" w:space="0" w:color="FFFFFF"/>
              <w:bottom w:val="single" w:sz="8" w:space="0" w:color="FFFFFF"/>
              <w:right w:val="single" w:sz="8" w:space="0" w:color="FFFFFF"/>
            </w:tcBorders>
            <w:shd w:val="solid" w:color="000098" w:fill="auto"/>
            <w:tcMar>
              <w:top w:w="77" w:type="dxa"/>
              <w:left w:w="77" w:type="dxa"/>
              <w:bottom w:w="77" w:type="dxa"/>
              <w:right w:w="77" w:type="dxa"/>
            </w:tcMar>
            <w:vAlign w:val="center"/>
          </w:tcPr>
          <w:p w:rsidR="003404B2" w:rsidRDefault="003404B2">
            <w:pPr>
              <w:pStyle w:val="LandBudgetHeadLREVTOTALSTablesSummarylandbudget"/>
            </w:pPr>
            <w:r>
              <w:rPr>
                <w:rFonts w:ascii="VIC" w:hAnsi="VIC" w:cs="VIC"/>
              </w:rPr>
              <w:t>TOTAL NET DEVELOPABLE AREA -  (NDA) Ha</w:t>
            </w:r>
          </w:p>
        </w:tc>
        <w:tc>
          <w:tcPr>
            <w:tcW w:w="1035" w:type="dxa"/>
            <w:tcBorders>
              <w:top w:val="single" w:sz="8" w:space="0" w:color="FFFFFF"/>
              <w:left w:val="single" w:sz="8" w:space="0" w:color="FFFFFF"/>
              <w:bottom w:val="single" w:sz="8" w:space="0" w:color="FFFFFF"/>
              <w:right w:val="single" w:sz="8" w:space="0" w:color="FFFFFF"/>
            </w:tcBorders>
            <w:shd w:val="solid" w:color="000098" w:fill="auto"/>
            <w:tcMar>
              <w:top w:w="77" w:type="dxa"/>
              <w:left w:w="77" w:type="dxa"/>
              <w:bottom w:w="77" w:type="dxa"/>
              <w:right w:w="77" w:type="dxa"/>
            </w:tcMar>
            <w:vAlign w:val="center"/>
          </w:tcPr>
          <w:p w:rsidR="003404B2" w:rsidRDefault="003404B2">
            <w:pPr>
              <w:pStyle w:val="tablebasic"/>
              <w:jc w:val="right"/>
            </w:pPr>
            <w:r w:rsidRPr="003404B2">
              <w:rPr>
                <w:rFonts w:ascii="Arial" w:hAnsi="Arial" w:cs="Arial"/>
                <w:b/>
                <w:bCs/>
                <w:outline/>
                <w:sz w:val="15"/>
                <w:szCs w:val="15"/>
                <w14:textOutline w14:w="9525" w14:cap="flat" w14:cmpd="sng" w14:algn="ctr">
                  <w14:solidFill>
                    <w14:srgbClr w14:val="000000"/>
                  </w14:solidFill>
                  <w14:prstDash w14:val="solid"/>
                  <w14:round/>
                </w14:textOutline>
                <w14:textFill>
                  <w14:noFill/>
                </w14:textFill>
              </w:rPr>
              <w:t>463.13</w:t>
            </w:r>
          </w:p>
        </w:tc>
        <w:tc>
          <w:tcPr>
            <w:tcW w:w="680" w:type="dxa"/>
            <w:tcBorders>
              <w:top w:val="single" w:sz="8" w:space="0" w:color="FFFFFF"/>
              <w:left w:val="single" w:sz="8" w:space="0" w:color="FFFFFF"/>
              <w:bottom w:val="single" w:sz="8" w:space="0" w:color="FFFFFF"/>
              <w:right w:val="single" w:sz="8" w:space="0" w:color="FFFFFF"/>
            </w:tcBorders>
            <w:shd w:val="solid" w:color="000098" w:fill="auto"/>
            <w:tcMar>
              <w:top w:w="77" w:type="dxa"/>
              <w:left w:w="77" w:type="dxa"/>
              <w:bottom w:w="77" w:type="dxa"/>
              <w:right w:w="77" w:type="dxa"/>
            </w:tcMar>
            <w:vAlign w:val="center"/>
          </w:tcPr>
          <w:p w:rsidR="003404B2" w:rsidRDefault="003404B2">
            <w:pPr>
              <w:pStyle w:val="tablebasic"/>
              <w:jc w:val="right"/>
            </w:pPr>
            <w:r w:rsidRPr="003404B2">
              <w:rPr>
                <w:rFonts w:ascii="Arial" w:hAnsi="Arial" w:cs="Arial"/>
                <w:b/>
                <w:bCs/>
                <w:outline/>
                <w:sz w:val="15"/>
                <w:szCs w:val="15"/>
                <w14:textOutline w14:w="9525" w14:cap="flat" w14:cmpd="sng" w14:algn="ctr">
                  <w14:solidFill>
                    <w14:srgbClr w14:val="000000"/>
                  </w14:solidFill>
                  <w14:prstDash w14:val="solid"/>
                  <w14:round/>
                </w14:textOutline>
                <w14:textFill>
                  <w14:noFill/>
                </w14:textFill>
              </w:rPr>
              <w:t>61.60%</w:t>
            </w:r>
          </w:p>
        </w:tc>
        <w:tc>
          <w:tcPr>
            <w:tcW w:w="680" w:type="dxa"/>
            <w:tcBorders>
              <w:top w:val="single" w:sz="8" w:space="0" w:color="FFFFFF"/>
              <w:left w:val="single" w:sz="8" w:space="0" w:color="FFFFFF"/>
              <w:bottom w:val="single" w:sz="8" w:space="0" w:color="FFFFFF"/>
              <w:right w:val="single" w:sz="8" w:space="0" w:color="FFFFFF"/>
            </w:tcBorders>
            <w:shd w:val="solid" w:color="FFFFFF" w:fill="auto"/>
            <w:tcMar>
              <w:top w:w="77" w:type="dxa"/>
              <w:left w:w="77" w:type="dxa"/>
              <w:bottom w:w="77" w:type="dxa"/>
              <w:right w:w="77" w:type="dxa"/>
            </w:tcMar>
            <w:vAlign w:val="center"/>
          </w:tcPr>
          <w:p w:rsidR="003404B2" w:rsidRDefault="003404B2">
            <w:pPr>
              <w:pStyle w:val="NoParagraphStyle"/>
              <w:spacing w:line="240" w:lineRule="auto"/>
              <w:textAlignment w:val="auto"/>
              <w:rPr>
                <w:rFonts w:ascii="Arial" w:hAnsi="Arial" w:cs="Arial"/>
                <w:color w:val="auto"/>
                <w:lang w:val="en-AU"/>
              </w:rPr>
            </w:pPr>
          </w:p>
        </w:tc>
      </w:tr>
      <w:tr w:rsidR="003404B2">
        <w:trPr>
          <w:trHeight w:val="60"/>
        </w:trPr>
        <w:tc>
          <w:tcPr>
            <w:tcW w:w="4763" w:type="dxa"/>
            <w:tcBorders>
              <w:top w:val="single" w:sz="8" w:space="0" w:color="FFFFFF"/>
              <w:left w:val="single" w:sz="8" w:space="0" w:color="FFFFFF"/>
              <w:bottom w:val="single" w:sz="8" w:space="0" w:color="FFFFFF"/>
              <w:right w:val="single" w:sz="8" w:space="0" w:color="FFFFFF"/>
            </w:tcBorders>
            <w:shd w:val="solid" w:color="000098" w:fill="auto"/>
            <w:tcMar>
              <w:top w:w="77" w:type="dxa"/>
              <w:left w:w="77" w:type="dxa"/>
              <w:bottom w:w="77" w:type="dxa"/>
              <w:right w:w="77" w:type="dxa"/>
            </w:tcMar>
            <w:vAlign w:val="center"/>
          </w:tcPr>
          <w:p w:rsidR="003404B2" w:rsidRDefault="003404B2">
            <w:pPr>
              <w:pStyle w:val="LandBudgetHeadLREVTOTALSTablesSummarylandbudget"/>
            </w:pPr>
            <w:r>
              <w:rPr>
                <w:rFonts w:ascii="VIC" w:hAnsi="VIC" w:cs="VIC"/>
              </w:rPr>
              <w:t>NET DEVELOPABLE AREA - RESIDENTIAL (NDAR) Ha</w:t>
            </w:r>
          </w:p>
        </w:tc>
        <w:tc>
          <w:tcPr>
            <w:tcW w:w="1035" w:type="dxa"/>
            <w:tcBorders>
              <w:top w:val="single" w:sz="8" w:space="0" w:color="FFFFFF"/>
              <w:left w:val="single" w:sz="8" w:space="0" w:color="FFFFFF"/>
              <w:bottom w:val="single" w:sz="8" w:space="0" w:color="FFFFFF"/>
              <w:right w:val="single" w:sz="8" w:space="0" w:color="FFFFFF"/>
            </w:tcBorders>
            <w:shd w:val="solid" w:color="000098" w:fill="auto"/>
            <w:tcMar>
              <w:top w:w="77" w:type="dxa"/>
              <w:left w:w="77" w:type="dxa"/>
              <w:bottom w:w="77" w:type="dxa"/>
              <w:right w:w="77" w:type="dxa"/>
            </w:tcMar>
            <w:vAlign w:val="center"/>
          </w:tcPr>
          <w:p w:rsidR="003404B2" w:rsidRDefault="003404B2">
            <w:pPr>
              <w:pStyle w:val="tablebasic"/>
              <w:jc w:val="right"/>
            </w:pPr>
            <w:r w:rsidRPr="003404B2">
              <w:rPr>
                <w:rFonts w:ascii="Arial" w:hAnsi="Arial" w:cs="Arial"/>
                <w:b/>
                <w:bCs/>
                <w:outline/>
                <w:sz w:val="15"/>
                <w:szCs w:val="15"/>
                <w14:textOutline w14:w="9525" w14:cap="flat" w14:cmpd="sng" w14:algn="ctr">
                  <w14:solidFill>
                    <w14:srgbClr w14:val="000000"/>
                  </w14:solidFill>
                  <w14:prstDash w14:val="solid"/>
                  <w14:round/>
                </w14:textOutline>
                <w14:textFill>
                  <w14:noFill/>
                </w14:textFill>
              </w:rPr>
              <w:t>460.38</w:t>
            </w:r>
          </w:p>
        </w:tc>
        <w:tc>
          <w:tcPr>
            <w:tcW w:w="680" w:type="dxa"/>
            <w:tcBorders>
              <w:top w:val="single" w:sz="8" w:space="0" w:color="FFFFFF"/>
              <w:left w:val="single" w:sz="8" w:space="0" w:color="FFFFFF"/>
              <w:bottom w:val="single" w:sz="8" w:space="0" w:color="FFFFFF"/>
              <w:right w:val="single" w:sz="8" w:space="0" w:color="FFFFFF"/>
            </w:tcBorders>
            <w:shd w:val="solid" w:color="000098" w:fill="auto"/>
            <w:tcMar>
              <w:top w:w="77" w:type="dxa"/>
              <w:left w:w="77" w:type="dxa"/>
              <w:bottom w:w="77" w:type="dxa"/>
              <w:right w:w="77" w:type="dxa"/>
            </w:tcMar>
            <w:vAlign w:val="center"/>
          </w:tcPr>
          <w:p w:rsidR="003404B2" w:rsidRDefault="003404B2">
            <w:pPr>
              <w:pStyle w:val="tablebasic"/>
              <w:jc w:val="right"/>
            </w:pPr>
            <w:r w:rsidRPr="003404B2">
              <w:rPr>
                <w:rFonts w:ascii="Arial" w:hAnsi="Arial" w:cs="Arial"/>
                <w:b/>
                <w:bCs/>
                <w:outline/>
                <w:sz w:val="15"/>
                <w:szCs w:val="15"/>
                <w14:textOutline w14:w="9525" w14:cap="flat" w14:cmpd="sng" w14:algn="ctr">
                  <w14:solidFill>
                    <w14:srgbClr w14:val="000000"/>
                  </w14:solidFill>
                  <w14:prstDash w14:val="solid"/>
                  <w14:round/>
                </w14:textOutline>
                <w14:textFill>
                  <w14:noFill/>
                </w14:textFill>
              </w:rPr>
              <w:t>61.23%</w:t>
            </w:r>
          </w:p>
        </w:tc>
        <w:tc>
          <w:tcPr>
            <w:tcW w:w="680" w:type="dxa"/>
            <w:tcBorders>
              <w:top w:val="single" w:sz="8" w:space="0" w:color="FFFFFF"/>
              <w:left w:val="single" w:sz="8" w:space="0" w:color="FFFFFF"/>
              <w:bottom w:val="single" w:sz="8" w:space="0" w:color="FFFFFF"/>
              <w:right w:val="single" w:sz="8" w:space="0" w:color="FFFFFF"/>
            </w:tcBorders>
            <w:shd w:val="solid" w:color="FFFFFF" w:fill="auto"/>
            <w:tcMar>
              <w:top w:w="77" w:type="dxa"/>
              <w:left w:w="77" w:type="dxa"/>
              <w:bottom w:w="77" w:type="dxa"/>
              <w:right w:w="77" w:type="dxa"/>
            </w:tcMar>
            <w:vAlign w:val="center"/>
          </w:tcPr>
          <w:p w:rsidR="003404B2" w:rsidRDefault="003404B2">
            <w:pPr>
              <w:pStyle w:val="NoParagraphStyle"/>
              <w:spacing w:line="240" w:lineRule="auto"/>
              <w:textAlignment w:val="auto"/>
              <w:rPr>
                <w:rFonts w:ascii="Arial" w:hAnsi="Arial" w:cs="Arial"/>
                <w:color w:val="auto"/>
                <w:lang w:val="en-AU"/>
              </w:rPr>
            </w:pPr>
          </w:p>
        </w:tc>
      </w:tr>
      <w:tr w:rsidR="003404B2">
        <w:trPr>
          <w:trHeight w:val="60"/>
        </w:trPr>
        <w:tc>
          <w:tcPr>
            <w:tcW w:w="4763" w:type="dxa"/>
            <w:tcBorders>
              <w:top w:val="single" w:sz="8" w:space="0" w:color="FFFFFF"/>
              <w:left w:val="single" w:sz="8" w:space="0" w:color="FFFFFF"/>
              <w:bottom w:val="single" w:sz="8" w:space="0" w:color="FFFFFF"/>
              <w:right w:val="single" w:sz="8" w:space="0" w:color="FFFFFF"/>
            </w:tcBorders>
            <w:shd w:val="solid" w:color="000098" w:fill="auto"/>
            <w:tcMar>
              <w:top w:w="77" w:type="dxa"/>
              <w:left w:w="77" w:type="dxa"/>
              <w:bottom w:w="77" w:type="dxa"/>
              <w:right w:w="77" w:type="dxa"/>
            </w:tcMar>
            <w:vAlign w:val="center"/>
          </w:tcPr>
          <w:p w:rsidR="003404B2" w:rsidRDefault="003404B2">
            <w:pPr>
              <w:pStyle w:val="LandBudgetHeadLREVTOTALSTablesSummarylandbudget"/>
            </w:pPr>
            <w:r>
              <w:rPr>
                <w:rFonts w:ascii="VIC" w:hAnsi="VIC" w:cs="VIC"/>
              </w:rPr>
              <w:t>NET DEVELOPABLE AREA - EMPLOYMENT (NDAE) Ha</w:t>
            </w:r>
          </w:p>
        </w:tc>
        <w:tc>
          <w:tcPr>
            <w:tcW w:w="1035" w:type="dxa"/>
            <w:tcBorders>
              <w:top w:val="single" w:sz="8" w:space="0" w:color="FFFFFF"/>
              <w:left w:val="single" w:sz="8" w:space="0" w:color="FFFFFF"/>
              <w:bottom w:val="single" w:sz="8" w:space="0" w:color="FFFFFF"/>
              <w:right w:val="single" w:sz="8" w:space="0" w:color="FFFFFF"/>
            </w:tcBorders>
            <w:shd w:val="solid" w:color="000098" w:fill="auto"/>
            <w:tcMar>
              <w:top w:w="77" w:type="dxa"/>
              <w:left w:w="77" w:type="dxa"/>
              <w:bottom w:w="77" w:type="dxa"/>
              <w:right w:w="77" w:type="dxa"/>
            </w:tcMar>
            <w:vAlign w:val="center"/>
          </w:tcPr>
          <w:p w:rsidR="003404B2" w:rsidRDefault="003404B2">
            <w:pPr>
              <w:pStyle w:val="tablebasic"/>
              <w:jc w:val="right"/>
            </w:pPr>
            <w:r w:rsidRPr="003404B2">
              <w:rPr>
                <w:rFonts w:ascii="Arial" w:hAnsi="Arial" w:cs="Arial"/>
                <w:b/>
                <w:bCs/>
                <w:outline/>
                <w:sz w:val="15"/>
                <w:szCs w:val="15"/>
                <w14:textOutline w14:w="9525" w14:cap="flat" w14:cmpd="sng" w14:algn="ctr">
                  <w14:solidFill>
                    <w14:srgbClr w14:val="000000"/>
                  </w14:solidFill>
                  <w14:prstDash w14:val="solid"/>
                  <w14:round/>
                </w14:textOutline>
                <w14:textFill>
                  <w14:noFill/>
                </w14:textFill>
              </w:rPr>
              <w:t>2.75</w:t>
            </w:r>
          </w:p>
        </w:tc>
        <w:tc>
          <w:tcPr>
            <w:tcW w:w="680" w:type="dxa"/>
            <w:tcBorders>
              <w:top w:val="single" w:sz="8" w:space="0" w:color="FFFFFF"/>
              <w:left w:val="single" w:sz="8" w:space="0" w:color="FFFFFF"/>
              <w:bottom w:val="single" w:sz="8" w:space="0" w:color="FFFFFF"/>
              <w:right w:val="single" w:sz="8" w:space="0" w:color="FFFFFF"/>
            </w:tcBorders>
            <w:shd w:val="solid" w:color="000098" w:fill="auto"/>
            <w:tcMar>
              <w:top w:w="77" w:type="dxa"/>
              <w:left w:w="77" w:type="dxa"/>
              <w:bottom w:w="77" w:type="dxa"/>
              <w:right w:w="77" w:type="dxa"/>
            </w:tcMar>
            <w:vAlign w:val="center"/>
          </w:tcPr>
          <w:p w:rsidR="003404B2" w:rsidRDefault="003404B2">
            <w:pPr>
              <w:pStyle w:val="tablebasic"/>
              <w:jc w:val="right"/>
            </w:pPr>
            <w:r w:rsidRPr="003404B2">
              <w:rPr>
                <w:rFonts w:ascii="Arial" w:hAnsi="Arial" w:cs="Arial"/>
                <w:b/>
                <w:bCs/>
                <w:outline/>
                <w:sz w:val="15"/>
                <w:szCs w:val="15"/>
                <w14:textOutline w14:w="9525" w14:cap="flat" w14:cmpd="sng" w14:algn="ctr">
                  <w14:solidFill>
                    <w14:srgbClr w14:val="000000"/>
                  </w14:solidFill>
                  <w14:prstDash w14:val="solid"/>
                  <w14:round/>
                </w14:textOutline>
                <w14:textFill>
                  <w14:noFill/>
                </w14:textFill>
              </w:rPr>
              <w:t>0.37%</w:t>
            </w:r>
          </w:p>
        </w:tc>
        <w:tc>
          <w:tcPr>
            <w:tcW w:w="680" w:type="dxa"/>
            <w:tcBorders>
              <w:top w:val="single" w:sz="8" w:space="0" w:color="FFFFFF"/>
              <w:left w:val="single" w:sz="8" w:space="0" w:color="FFFFFF"/>
              <w:bottom w:val="single" w:sz="8" w:space="0" w:color="FFFFFF"/>
              <w:right w:val="single" w:sz="8" w:space="0" w:color="FFFFFF"/>
            </w:tcBorders>
            <w:shd w:val="solid" w:color="FFFFFF" w:fill="auto"/>
            <w:tcMar>
              <w:top w:w="77" w:type="dxa"/>
              <w:left w:w="77" w:type="dxa"/>
              <w:bottom w:w="77" w:type="dxa"/>
              <w:right w:w="77" w:type="dxa"/>
            </w:tcMar>
            <w:vAlign w:val="center"/>
          </w:tcPr>
          <w:p w:rsidR="003404B2" w:rsidRDefault="003404B2">
            <w:pPr>
              <w:pStyle w:val="NoParagraphStyle"/>
              <w:spacing w:line="240" w:lineRule="auto"/>
              <w:textAlignment w:val="auto"/>
              <w:rPr>
                <w:rFonts w:ascii="Arial" w:hAnsi="Arial" w:cs="Arial"/>
                <w:color w:val="auto"/>
                <w:lang w:val="en-AU"/>
              </w:rPr>
            </w:pPr>
          </w:p>
        </w:tc>
      </w:tr>
    </w:tbl>
    <w:p w:rsidR="003404B2" w:rsidRDefault="003404B2" w:rsidP="003404B2">
      <w:pPr>
        <w:pStyle w:val="BodyContent"/>
        <w:ind w:left="0"/>
        <w:rPr>
          <w:color w:val="FF00FF"/>
        </w:rPr>
      </w:pPr>
    </w:p>
    <w:p w:rsidR="003404B2" w:rsidRDefault="003404B2" w:rsidP="00A07662">
      <w:pPr>
        <w:pStyle w:val="Heading2"/>
      </w:pPr>
      <w:bookmarkStart w:id="28" w:name="_Toc467676191"/>
      <w:r>
        <w:t>Land budget and demand units</w:t>
      </w:r>
      <w:bookmarkEnd w:id="28"/>
    </w:p>
    <w:p w:rsidR="003404B2" w:rsidRDefault="003404B2" w:rsidP="007900B2">
      <w:pPr>
        <w:pStyle w:val="BodyContent"/>
        <w:ind w:left="0"/>
      </w:pPr>
      <w:r>
        <w:t>The ‘net developable hectare’ is the demand unit for the DCP.</w:t>
      </w:r>
    </w:p>
    <w:p w:rsidR="003404B2" w:rsidRDefault="003404B2" w:rsidP="007900B2">
      <w:pPr>
        <w:pStyle w:val="BodyContent"/>
        <w:ind w:left="0"/>
      </w:pPr>
      <w:r>
        <w:t xml:space="preserve">The DCP identifies two development types: ‘residential’ and ‘employment’. </w:t>
      </w:r>
    </w:p>
    <w:p w:rsidR="003404B2" w:rsidRDefault="003404B2" w:rsidP="007900B2">
      <w:pPr>
        <w:pStyle w:val="BodyContent"/>
        <w:ind w:left="0"/>
      </w:pPr>
      <w:r>
        <w:t xml:space="preserve">‘Residential’ development is defined broadly to include forms of development that support a residential land use, including residential subdivision and development within town </w:t>
      </w:r>
      <w:proofErr w:type="spellStart"/>
      <w:r>
        <w:t>centres</w:t>
      </w:r>
      <w:proofErr w:type="spellEnd"/>
      <w:r>
        <w:t xml:space="preserve">, local convenience </w:t>
      </w:r>
      <w:proofErr w:type="spellStart"/>
      <w:r>
        <w:t>centres</w:t>
      </w:r>
      <w:proofErr w:type="spellEnd"/>
      <w:r>
        <w:t xml:space="preserve"> and mixed use. </w:t>
      </w:r>
    </w:p>
    <w:p w:rsidR="003404B2" w:rsidRDefault="003404B2" w:rsidP="007900B2">
      <w:pPr>
        <w:pStyle w:val="BodyContent"/>
        <w:ind w:left="0"/>
      </w:pPr>
      <w:r>
        <w:t>‘Residential’ development also includes any non-residential uses within the residential area such as a place of worship, education centre, retirement village, nursing home, child care centre, medical centre, convenience store or any other approved use.</w:t>
      </w:r>
    </w:p>
    <w:p w:rsidR="003404B2" w:rsidRDefault="003404B2" w:rsidP="007900B2">
      <w:pPr>
        <w:pStyle w:val="BodyContent"/>
        <w:ind w:left="0"/>
      </w:pPr>
      <w:r>
        <w:t>‘Residential’ development is attributed to 460.38 net developable hectares within the precinct.</w:t>
      </w:r>
    </w:p>
    <w:p w:rsidR="003404B2" w:rsidRDefault="003404B2" w:rsidP="007900B2">
      <w:pPr>
        <w:pStyle w:val="BodyContent"/>
        <w:ind w:left="0"/>
      </w:pPr>
      <w:r>
        <w:t>‘Employment’ development refers to the commercial area within Rockbank Mixed Commercial Precinct and is defined broadly to include commercial uses such as office, appropriate manufacturing and industrial and limited retail.</w:t>
      </w:r>
    </w:p>
    <w:p w:rsidR="003404B2" w:rsidRDefault="003404B2" w:rsidP="007900B2">
      <w:pPr>
        <w:pStyle w:val="BodyContent"/>
        <w:ind w:left="0"/>
      </w:pPr>
      <w:r>
        <w:t xml:space="preserve">‘Employment’ development is attributed to 2.75 net developable hectares within the precinct. </w:t>
      </w:r>
    </w:p>
    <w:p w:rsidR="003404B2" w:rsidRDefault="003404B2" w:rsidP="007900B2">
      <w:pPr>
        <w:pStyle w:val="BodyContent"/>
        <w:ind w:left="0"/>
      </w:pPr>
      <w:r>
        <w:t>The DCP contains a total of 463.13 net developable hectares.</w:t>
      </w:r>
    </w:p>
    <w:p w:rsidR="003404B2" w:rsidRDefault="003404B2" w:rsidP="00A07662">
      <w:pPr>
        <w:pStyle w:val="Heading2"/>
      </w:pPr>
      <w:bookmarkStart w:id="29" w:name="_Toc467676192"/>
      <w:r>
        <w:t>Property-specific calculations</w:t>
      </w:r>
      <w:bookmarkEnd w:id="29"/>
    </w:p>
    <w:p w:rsidR="003404B2" w:rsidRDefault="003404B2" w:rsidP="007900B2">
      <w:pPr>
        <w:pStyle w:val="BodyContent"/>
        <w:ind w:left="0"/>
      </w:pPr>
      <w:r>
        <w:t>The NDA used to calculate the contributions associated with the DCP is based on an assessment of individual properties. The NDA for each property is listed in the property-specific land budget located in Appendix A. The property-specific NDA and rates listed in this DCP determine the total contribution for each property.</w:t>
      </w:r>
    </w:p>
    <w:p w:rsidR="003404B2" w:rsidRDefault="003404B2" w:rsidP="00A07662">
      <w:pPr>
        <w:pStyle w:val="Heading2"/>
      </w:pPr>
      <w:bookmarkStart w:id="30" w:name="_Toc467676193"/>
      <w:r>
        <w:t>Calculation of contributions charges</w:t>
      </w:r>
      <w:bookmarkEnd w:id="30"/>
    </w:p>
    <w:p w:rsidR="003404B2" w:rsidRDefault="003404B2" w:rsidP="00A07662">
      <w:pPr>
        <w:pStyle w:val="Heading3"/>
      </w:pPr>
      <w:r>
        <w:t>Calculation of costs</w:t>
      </w:r>
    </w:p>
    <w:p w:rsidR="003404B2" w:rsidRDefault="003404B2" w:rsidP="007900B2">
      <w:pPr>
        <w:pStyle w:val="BodyContent"/>
        <w:ind w:left="0"/>
      </w:pPr>
      <w:r>
        <w:t>Each infrastructure project has been assigned a land and/or construction cost. These costs are listed in Tables 10 and 11. The costs are expressed in 2016 dollars and will be adjusted annually in accordance with the method specified in Section 4.3.</w:t>
      </w:r>
    </w:p>
    <w:p w:rsidR="003404B2" w:rsidRDefault="003404B2" w:rsidP="007900B2">
      <w:pPr>
        <w:pStyle w:val="BodyContent"/>
        <w:ind w:left="0"/>
      </w:pPr>
      <w:r>
        <w:t>Road and intersection construction costs have been determined by SMEC (refer to Appendix B for road, intersection and bridge cost sheets).</w:t>
      </w:r>
    </w:p>
    <w:p w:rsidR="003404B2" w:rsidRDefault="003404B2" w:rsidP="007900B2">
      <w:pPr>
        <w:pStyle w:val="BodyContent"/>
        <w:ind w:left="0"/>
      </w:pPr>
      <w:r>
        <w:t>Community facilities and active recreation project costs have been determined by Melton City Council in conjunction with the VPA (refer to Appendix C for community facilities and active recreation cost sheets).</w:t>
      </w:r>
    </w:p>
    <w:p w:rsidR="003404B2" w:rsidRDefault="003404B2" w:rsidP="00A07662">
      <w:pPr>
        <w:pStyle w:val="Heading3"/>
      </w:pPr>
      <w:r>
        <w:t>Valuation of land</w:t>
      </w:r>
    </w:p>
    <w:p w:rsidR="003404B2" w:rsidRDefault="003404B2" w:rsidP="007900B2">
      <w:pPr>
        <w:pStyle w:val="BodyContent"/>
        <w:ind w:left="0"/>
        <w:rPr>
          <w:rStyle w:val="bodyBOLD"/>
        </w:rPr>
      </w:pPr>
      <w:r>
        <w:rPr>
          <w:rStyle w:val="bodyBOLD"/>
        </w:rPr>
        <w:t>Estimates of land value methodology</w:t>
      </w:r>
    </w:p>
    <w:p w:rsidR="003404B2" w:rsidRDefault="003404B2" w:rsidP="007900B2">
      <w:pPr>
        <w:pStyle w:val="BodyContent"/>
        <w:ind w:left="0"/>
      </w:pPr>
      <w:r>
        <w:lastRenderedPageBreak/>
        <w:t xml:space="preserve">The area of land to be acquired for each DCP project on each property is identified from the detailed property-specific land budget prepared for the PSP. A description of the land was provided to Charter Keck Cramer as a registered </w:t>
      </w:r>
      <w:proofErr w:type="spellStart"/>
      <w:r>
        <w:t>valuer</w:t>
      </w:r>
      <w:proofErr w:type="spellEnd"/>
      <w:r>
        <w:t xml:space="preserve"> to prepare an estimate of value; this in turn determines the value for each project requiring land identified in the DCP.</w:t>
      </w:r>
    </w:p>
    <w:p w:rsidR="003404B2" w:rsidRDefault="003404B2" w:rsidP="007900B2">
      <w:pPr>
        <w:pStyle w:val="BodyContent"/>
        <w:ind w:left="0"/>
      </w:pPr>
      <w:r>
        <w:t xml:space="preserve">The estimates of value were prepared using the Public Land </w:t>
      </w:r>
      <w:proofErr w:type="spellStart"/>
      <w:r>
        <w:t>Equalisation</w:t>
      </w:r>
      <w:proofErr w:type="spellEnd"/>
      <w:r>
        <w:t xml:space="preserve"> Method (PLEM). The PLEM calculates the average public land contribution required for the PSP (expressed as a percentage of NDA). The land required for each property is also calculated and compared against the average percentage of NDA.</w:t>
      </w:r>
    </w:p>
    <w:p w:rsidR="003404B2" w:rsidRDefault="003404B2" w:rsidP="007900B2">
      <w:pPr>
        <w:pStyle w:val="BodyContent"/>
        <w:ind w:left="0"/>
      </w:pPr>
      <w:r>
        <w:t>Public land contributions on a property that are less than or equal to the precinct average have an estimate of value using a per-property broad hectare method. Any component of public land contributions that exceed the precinct average have an estimate of value using a site-specific method. The properties that have a greater than average contribution are identified in Appendix D.</w:t>
      </w:r>
    </w:p>
    <w:p w:rsidR="003404B2" w:rsidRDefault="003404B2" w:rsidP="007900B2">
      <w:pPr>
        <w:pStyle w:val="BodyContent"/>
        <w:ind w:left="0"/>
        <w:rPr>
          <w:rStyle w:val="BodyBOLDITALICS"/>
        </w:rPr>
      </w:pPr>
      <w:r>
        <w:rPr>
          <w:rStyle w:val="BodyBOLDITALICS"/>
        </w:rPr>
        <w:t>Per-property broad hectare value estimate</w:t>
      </w:r>
    </w:p>
    <w:p w:rsidR="003404B2" w:rsidRDefault="003404B2" w:rsidP="007900B2">
      <w:pPr>
        <w:pStyle w:val="BodyContent"/>
        <w:ind w:left="0"/>
      </w:pPr>
      <w:r>
        <w:t>The ‘per-property’ broad hectare estimate of value prepared for each individual property assumes the unencumbered, highest-and-best use as indicated by the PSP.</w:t>
      </w:r>
    </w:p>
    <w:p w:rsidR="003404B2" w:rsidRDefault="003404B2" w:rsidP="007900B2">
      <w:pPr>
        <w:pStyle w:val="BodyContent"/>
        <w:ind w:left="0"/>
      </w:pPr>
      <w:r>
        <w:t>The estimates of value are prepared on a ‘before and after’ basis where:</w:t>
      </w:r>
    </w:p>
    <w:p w:rsidR="003404B2" w:rsidRDefault="003404B2" w:rsidP="007900B2">
      <w:pPr>
        <w:pStyle w:val="List1bullet"/>
      </w:pPr>
      <w:r>
        <w:t>The ‘before’ assessment is based on the total developable area of each property, and ignores the land and infrastructure items to be provided by the DCP. Any development that occurs subsequent to the approval of the DCP is ignored for the purpose of the valuation</w:t>
      </w:r>
    </w:p>
    <w:p w:rsidR="003404B2" w:rsidRDefault="003404B2" w:rsidP="007900B2">
      <w:pPr>
        <w:pStyle w:val="List1bullet"/>
      </w:pPr>
      <w:r>
        <w:t>The ‘after’ assessment comprises the remaining portion of each property after all land required by the DCP has been provided. Severance or enhancement, disturbance, special value, etc. are ignored for the purpose of the ‘after’ valuation.</w:t>
      </w:r>
    </w:p>
    <w:p w:rsidR="003404B2" w:rsidRDefault="003404B2" w:rsidP="007900B2">
      <w:pPr>
        <w:pStyle w:val="BodyContent"/>
        <w:ind w:left="0"/>
        <w:rPr>
          <w:rStyle w:val="BodyBOLDITALICS"/>
        </w:rPr>
      </w:pPr>
      <w:r>
        <w:rPr>
          <w:rStyle w:val="BodyBOLDITALICS"/>
        </w:rPr>
        <w:t>Site-specific value estimate</w:t>
      </w:r>
    </w:p>
    <w:p w:rsidR="003404B2" w:rsidRDefault="003404B2" w:rsidP="007900B2">
      <w:pPr>
        <w:pStyle w:val="BodyContent"/>
        <w:ind w:left="0"/>
      </w:pPr>
      <w:r>
        <w:t>The ‘site-specific’ approach prepares an estimate of value for each separate infrastructure item. For example, if a landowner has land identified for a road widening, a community centre and a local sports reserve, a site specific estimate of value would be prepared for all three items separately.</w:t>
      </w:r>
    </w:p>
    <w:p w:rsidR="003404B2" w:rsidRDefault="003404B2" w:rsidP="007900B2">
      <w:pPr>
        <w:pStyle w:val="BodyContent"/>
        <w:ind w:left="0"/>
      </w:pPr>
      <w:r>
        <w:t>Site-specific estimates of value generally assume that the land identified can be sold as serviced development lots, i.e. street frontages, etc. have already been constructed, therefore the land has a lower expected development cost.</w:t>
      </w:r>
    </w:p>
    <w:p w:rsidR="003404B2" w:rsidRDefault="003404B2" w:rsidP="00A07662">
      <w:pPr>
        <w:pStyle w:val="Heading3"/>
      </w:pPr>
      <w:r>
        <w:t>Cost apportionment</w:t>
      </w:r>
    </w:p>
    <w:p w:rsidR="003404B2" w:rsidRDefault="003404B2" w:rsidP="007900B2">
      <w:pPr>
        <w:pStyle w:val="BodyContent"/>
        <w:ind w:left="0"/>
      </w:pPr>
      <w:r>
        <w:rPr>
          <w:spacing w:val="-1"/>
        </w:rPr>
        <w:t>This DCP apportions a charge to new development according to its projected share of use of an identified infrastructure item. Since development contributions charges are levied ‘up-front’, a measure of actual use by individual development sites is not possible. Therefore costs must be shared in accordance with the estimated share of use.</w:t>
      </w:r>
    </w:p>
    <w:p w:rsidR="003404B2" w:rsidRDefault="003404B2" w:rsidP="007900B2">
      <w:pPr>
        <w:pStyle w:val="BodyContent"/>
        <w:ind w:left="0"/>
      </w:pPr>
      <w:r>
        <w:t xml:space="preserve">This DCP calculates what each new development should pay towards provision of the identified infrastructure item; this is the total cost of the item (after deducting other funding sources and making allowance for any external demand) divided by total demand units within the main catchment area. </w:t>
      </w:r>
    </w:p>
    <w:p w:rsidR="003404B2" w:rsidRDefault="003404B2" w:rsidP="007900B2">
      <w:pPr>
        <w:pStyle w:val="BodyContent"/>
        <w:ind w:left="0"/>
        <w:rPr>
          <w:spacing w:val="-1"/>
        </w:rPr>
      </w:pPr>
      <w:r>
        <w:rPr>
          <w:spacing w:val="-1"/>
        </w:rPr>
        <w:t>In selecting items, consideration has been given to ensure they are not already wholly funded through another contribution mechanism, such as a mandatory infrastructure construction requirement as set out in the PSP, an existing DCP, an agreement under section 173 of the Act, or as a condition on an existing planning permit. The balance of the cost of the items not recovered under the DCP will be funded by alternative sources.</w:t>
      </w:r>
    </w:p>
    <w:p w:rsidR="003404B2" w:rsidRDefault="003404B2" w:rsidP="00A07662">
      <w:pPr>
        <w:pStyle w:val="Heading3"/>
      </w:pPr>
      <w:r>
        <w:t>Main catchment area</w:t>
      </w:r>
    </w:p>
    <w:p w:rsidR="003404B2" w:rsidRDefault="003404B2" w:rsidP="007900B2">
      <w:pPr>
        <w:pStyle w:val="BodyContent"/>
        <w:ind w:left="0"/>
      </w:pPr>
      <w:r>
        <w:t xml:space="preserve">The main catchment area (MCA) is the geographic area from which a given item of infrastructure will draw most of its use. </w:t>
      </w:r>
    </w:p>
    <w:p w:rsidR="003404B2" w:rsidRDefault="003404B2" w:rsidP="007900B2">
      <w:pPr>
        <w:pStyle w:val="BodyContent"/>
        <w:ind w:left="0"/>
      </w:pPr>
      <w:r>
        <w:t xml:space="preserve">The DCP includes two main catchment areas, ‘residential’ and ‘employment’; the attributes for each MCA are consistent with the development types outlined in Section 3.1.2 and each land area is outlined in Table 9 and illustrated on Plan 3. </w:t>
      </w:r>
    </w:p>
    <w:p w:rsidR="003404B2" w:rsidRDefault="003404B2" w:rsidP="007900B2">
      <w:pPr>
        <w:pStyle w:val="BodyContent"/>
        <w:ind w:left="0"/>
      </w:pPr>
      <w:r>
        <w:t xml:space="preserve">It is important to note that the number of net developable hectares (that is the demand units) in the MCA is based on the land budgets in Table 8 and Appendix A. </w:t>
      </w:r>
    </w:p>
    <w:p w:rsidR="003404B2" w:rsidRDefault="007900B2" w:rsidP="007900B2">
      <w:pPr>
        <w:pStyle w:val="Caption"/>
      </w:pPr>
      <w:bookmarkStart w:id="31" w:name="_Toc467676224"/>
      <w:r>
        <w:lastRenderedPageBreak/>
        <w:t xml:space="preserve">Table </w:t>
      </w:r>
      <w:fldSimple w:instr=" SEQ Table \* ARABIC ">
        <w:r>
          <w:rPr>
            <w:noProof/>
          </w:rPr>
          <w:t>9</w:t>
        </w:r>
      </w:fldSimple>
      <w:r>
        <w:t xml:space="preserve"> – </w:t>
      </w:r>
      <w:r w:rsidR="003404B2">
        <w:t>Main catchment area</w:t>
      </w:r>
      <w:bookmarkEnd w:id="31"/>
    </w:p>
    <w:tbl>
      <w:tblPr>
        <w:tblW w:w="0" w:type="auto"/>
        <w:tblInd w:w="-10" w:type="dxa"/>
        <w:tblLayout w:type="fixed"/>
        <w:tblCellMar>
          <w:left w:w="0" w:type="dxa"/>
          <w:right w:w="0" w:type="dxa"/>
        </w:tblCellMar>
        <w:tblLook w:val="0000" w:firstRow="0" w:lastRow="0" w:firstColumn="0" w:lastColumn="0" w:noHBand="0" w:noVBand="0"/>
      </w:tblPr>
      <w:tblGrid>
        <w:gridCol w:w="3005"/>
        <w:gridCol w:w="2664"/>
      </w:tblGrid>
      <w:tr w:rsidR="003404B2">
        <w:trPr>
          <w:trHeight w:val="60"/>
        </w:trPr>
        <w:tc>
          <w:tcPr>
            <w:tcW w:w="3005" w:type="dxa"/>
            <w:tcBorders>
              <w:top w:val="single" w:sz="8" w:space="0" w:color="FFFFFF"/>
              <w:left w:val="single" w:sz="8" w:space="0" w:color="FFFFFF"/>
              <w:bottom w:val="single" w:sz="8" w:space="0" w:color="FFFFFF"/>
              <w:right w:val="single" w:sz="8" w:space="0" w:color="FFFFFF"/>
            </w:tcBorders>
            <w:shd w:val="solid" w:color="000000" w:fill="auto"/>
            <w:tcMar>
              <w:top w:w="113" w:type="dxa"/>
              <w:left w:w="113" w:type="dxa"/>
              <w:bottom w:w="113" w:type="dxa"/>
              <w:right w:w="113" w:type="dxa"/>
            </w:tcMar>
          </w:tcPr>
          <w:p w:rsidR="003404B2" w:rsidRDefault="003404B2">
            <w:pPr>
              <w:pStyle w:val="BodyContent"/>
              <w:ind w:left="0"/>
              <w:jc w:val="center"/>
            </w:pPr>
            <w:r w:rsidRPr="003404B2">
              <w:rPr>
                <w:rFonts w:ascii="VIC" w:hAnsi="VIC" w:cs="VIC"/>
                <w:caps/>
                <w:outline/>
                <w:sz w:val="16"/>
                <w:szCs w:val="16"/>
                <w14:textOutline w14:w="9525" w14:cap="flat" w14:cmpd="sng" w14:algn="ctr">
                  <w14:solidFill>
                    <w14:srgbClr w14:val="000000"/>
                  </w14:solidFill>
                  <w14:prstDash w14:val="solid"/>
                  <w14:round/>
                </w14:textOutline>
                <w14:textFill>
                  <w14:noFill/>
                </w14:textFill>
              </w:rPr>
              <w:t>Main Catchment Area (MCA)</w:t>
            </w:r>
          </w:p>
        </w:tc>
        <w:tc>
          <w:tcPr>
            <w:tcW w:w="2664" w:type="dxa"/>
            <w:tcBorders>
              <w:top w:val="single" w:sz="8" w:space="0" w:color="FFFFFF"/>
              <w:left w:val="single" w:sz="8" w:space="0" w:color="FFFFFF"/>
              <w:bottom w:val="single" w:sz="8" w:space="0" w:color="FFFFFF"/>
              <w:right w:val="single" w:sz="8" w:space="0" w:color="FFFFFF"/>
            </w:tcBorders>
            <w:shd w:val="solid" w:color="000000" w:fill="auto"/>
            <w:tcMar>
              <w:top w:w="113" w:type="dxa"/>
              <w:left w:w="113" w:type="dxa"/>
              <w:bottom w:w="113" w:type="dxa"/>
              <w:right w:w="113" w:type="dxa"/>
            </w:tcMar>
          </w:tcPr>
          <w:p w:rsidR="003404B2" w:rsidRDefault="003404B2">
            <w:pPr>
              <w:pStyle w:val="BodyContent"/>
              <w:ind w:left="0"/>
              <w:jc w:val="center"/>
            </w:pPr>
            <w:r w:rsidRPr="003404B2">
              <w:rPr>
                <w:rFonts w:ascii="VIC" w:hAnsi="VIC" w:cs="VIC"/>
                <w:caps/>
                <w:outline/>
                <w:sz w:val="16"/>
                <w:szCs w:val="16"/>
                <w14:textOutline w14:w="9525" w14:cap="flat" w14:cmpd="sng" w14:algn="ctr">
                  <w14:solidFill>
                    <w14:srgbClr w14:val="000000"/>
                  </w14:solidFill>
                  <w14:prstDash w14:val="solid"/>
                  <w14:round/>
                </w14:textOutline>
                <w14:textFill>
                  <w14:noFill/>
                </w14:textFill>
              </w:rPr>
              <w:t>Area (Ha)</w:t>
            </w:r>
          </w:p>
        </w:tc>
      </w:tr>
      <w:tr w:rsidR="003404B2">
        <w:trPr>
          <w:trHeight w:val="60"/>
        </w:trPr>
        <w:tc>
          <w:tcPr>
            <w:tcW w:w="3005" w:type="dxa"/>
            <w:tcBorders>
              <w:top w:val="single" w:sz="8" w:space="0" w:color="FFFFFF"/>
              <w:left w:val="single" w:sz="8" w:space="0" w:color="FFFFFF"/>
              <w:bottom w:val="single" w:sz="8" w:space="0" w:color="FFFFFF"/>
              <w:right w:val="single" w:sz="8" w:space="0" w:color="FFFFFF"/>
            </w:tcBorders>
            <w:shd w:val="solid" w:color="65E5FF" w:fill="auto"/>
            <w:tcMar>
              <w:top w:w="113" w:type="dxa"/>
              <w:left w:w="170" w:type="dxa"/>
              <w:bottom w:w="113" w:type="dxa"/>
              <w:right w:w="113" w:type="dxa"/>
            </w:tcMar>
          </w:tcPr>
          <w:p w:rsidR="003404B2" w:rsidRDefault="003404B2">
            <w:pPr>
              <w:pStyle w:val="BodyContent"/>
              <w:ind w:left="0"/>
            </w:pPr>
            <w:r>
              <w:t xml:space="preserve">Residential </w:t>
            </w:r>
          </w:p>
        </w:tc>
        <w:tc>
          <w:tcPr>
            <w:tcW w:w="2664" w:type="dxa"/>
            <w:tcBorders>
              <w:top w:val="single" w:sz="8" w:space="0" w:color="FFFFFF"/>
              <w:left w:val="single" w:sz="8" w:space="0" w:color="FFFFFF"/>
              <w:bottom w:val="single" w:sz="8" w:space="0" w:color="FFFFFF"/>
              <w:right w:val="single" w:sz="8" w:space="0" w:color="FFFFFF"/>
            </w:tcBorders>
            <w:shd w:val="solid" w:color="65E5FF" w:fill="auto"/>
            <w:tcMar>
              <w:top w:w="113" w:type="dxa"/>
              <w:left w:w="113" w:type="dxa"/>
              <w:bottom w:w="113" w:type="dxa"/>
              <w:right w:w="1020" w:type="dxa"/>
            </w:tcMar>
          </w:tcPr>
          <w:p w:rsidR="003404B2" w:rsidRDefault="003404B2">
            <w:pPr>
              <w:pStyle w:val="BodyContent"/>
              <w:ind w:left="0"/>
              <w:jc w:val="right"/>
            </w:pPr>
            <w:r>
              <w:t>460.38</w:t>
            </w:r>
          </w:p>
        </w:tc>
      </w:tr>
      <w:tr w:rsidR="003404B2">
        <w:trPr>
          <w:trHeight w:val="283"/>
        </w:trPr>
        <w:tc>
          <w:tcPr>
            <w:tcW w:w="3005" w:type="dxa"/>
            <w:tcBorders>
              <w:top w:val="single" w:sz="8" w:space="0" w:color="FFFFFF"/>
              <w:left w:val="single" w:sz="8" w:space="0" w:color="FFFFFF"/>
              <w:bottom w:val="single" w:sz="8" w:space="0" w:color="FFFFFF"/>
              <w:right w:val="single" w:sz="8" w:space="0" w:color="FFFFFF"/>
            </w:tcBorders>
            <w:shd w:val="solid" w:color="009600" w:fill="auto"/>
            <w:tcMar>
              <w:top w:w="113" w:type="dxa"/>
              <w:left w:w="170" w:type="dxa"/>
              <w:bottom w:w="113" w:type="dxa"/>
              <w:right w:w="113" w:type="dxa"/>
            </w:tcMar>
          </w:tcPr>
          <w:p w:rsidR="003404B2" w:rsidRDefault="003404B2">
            <w:pPr>
              <w:pStyle w:val="BodyContent"/>
              <w:ind w:left="0"/>
            </w:pPr>
            <w:r>
              <w:t>Employment</w:t>
            </w:r>
          </w:p>
        </w:tc>
        <w:tc>
          <w:tcPr>
            <w:tcW w:w="2664" w:type="dxa"/>
            <w:tcBorders>
              <w:top w:val="single" w:sz="8" w:space="0" w:color="FFFFFF"/>
              <w:left w:val="single" w:sz="8" w:space="0" w:color="FFFFFF"/>
              <w:bottom w:val="single" w:sz="8" w:space="0" w:color="FFFFFF"/>
              <w:right w:val="single" w:sz="8" w:space="0" w:color="FFFFFF"/>
            </w:tcBorders>
            <w:shd w:val="solid" w:color="009600" w:fill="auto"/>
            <w:tcMar>
              <w:top w:w="113" w:type="dxa"/>
              <w:left w:w="113" w:type="dxa"/>
              <w:bottom w:w="113" w:type="dxa"/>
              <w:right w:w="1020" w:type="dxa"/>
            </w:tcMar>
          </w:tcPr>
          <w:p w:rsidR="003404B2" w:rsidRDefault="003404B2">
            <w:pPr>
              <w:pStyle w:val="BodyContent"/>
              <w:ind w:left="0"/>
              <w:jc w:val="right"/>
            </w:pPr>
            <w:r>
              <w:t>2.75</w:t>
            </w:r>
          </w:p>
        </w:tc>
      </w:tr>
      <w:tr w:rsidR="003404B2">
        <w:trPr>
          <w:trHeight w:val="283"/>
        </w:trPr>
        <w:tc>
          <w:tcPr>
            <w:tcW w:w="3005" w:type="dxa"/>
            <w:tcBorders>
              <w:top w:val="single" w:sz="8" w:space="0" w:color="FFFFFF"/>
              <w:left w:val="single" w:sz="8" w:space="0" w:color="FFFFFF"/>
              <w:bottom w:val="single" w:sz="8" w:space="0" w:color="FFFFFF"/>
              <w:right w:val="single" w:sz="8" w:space="0" w:color="FFFFFF"/>
            </w:tcBorders>
            <w:shd w:val="solid" w:color="7FFF00" w:fill="auto"/>
            <w:tcMar>
              <w:top w:w="113" w:type="dxa"/>
              <w:left w:w="170" w:type="dxa"/>
              <w:bottom w:w="113" w:type="dxa"/>
              <w:right w:w="113" w:type="dxa"/>
            </w:tcMar>
          </w:tcPr>
          <w:p w:rsidR="003404B2" w:rsidRDefault="003404B2">
            <w:pPr>
              <w:pStyle w:val="BodyContent"/>
              <w:ind w:left="0"/>
            </w:pPr>
            <w:r>
              <w:rPr>
                <w:b/>
                <w:bCs/>
              </w:rPr>
              <w:t>Residential &amp; Employment</w:t>
            </w:r>
          </w:p>
        </w:tc>
        <w:tc>
          <w:tcPr>
            <w:tcW w:w="2664" w:type="dxa"/>
            <w:tcBorders>
              <w:top w:val="single" w:sz="8" w:space="0" w:color="FFFFFF"/>
              <w:left w:val="single" w:sz="8" w:space="0" w:color="FFFFFF"/>
              <w:bottom w:val="single" w:sz="8" w:space="0" w:color="FFFFFF"/>
              <w:right w:val="single" w:sz="8" w:space="0" w:color="FFFFFF"/>
            </w:tcBorders>
            <w:shd w:val="solid" w:color="7FFF00" w:fill="auto"/>
            <w:tcMar>
              <w:top w:w="113" w:type="dxa"/>
              <w:left w:w="113" w:type="dxa"/>
              <w:bottom w:w="113" w:type="dxa"/>
              <w:right w:w="1020" w:type="dxa"/>
            </w:tcMar>
          </w:tcPr>
          <w:p w:rsidR="003404B2" w:rsidRDefault="003404B2">
            <w:pPr>
              <w:pStyle w:val="BodyContent"/>
              <w:ind w:left="0"/>
              <w:jc w:val="right"/>
            </w:pPr>
            <w:r>
              <w:rPr>
                <w:b/>
                <w:bCs/>
              </w:rPr>
              <w:t>463.13</w:t>
            </w:r>
          </w:p>
        </w:tc>
      </w:tr>
    </w:tbl>
    <w:p w:rsidR="003404B2" w:rsidRDefault="003404B2" w:rsidP="003404B2">
      <w:pPr>
        <w:pStyle w:val="BodyContent"/>
      </w:pPr>
    </w:p>
    <w:p w:rsidR="003404B2" w:rsidRDefault="003404B2" w:rsidP="00A07662">
      <w:pPr>
        <w:pStyle w:val="Heading3"/>
      </w:pPr>
      <w:r>
        <w:t>External use</w:t>
      </w:r>
    </w:p>
    <w:p w:rsidR="003404B2" w:rsidRDefault="003404B2" w:rsidP="007900B2">
      <w:pPr>
        <w:pStyle w:val="BodyContent"/>
        <w:ind w:left="0"/>
        <w:rPr>
          <w:spacing w:val="-1"/>
        </w:rPr>
      </w:pPr>
      <w:r>
        <w:rPr>
          <w:spacing w:val="-1"/>
        </w:rPr>
        <w:t>An allowance has been made for other use external to the MCAs for specific projects; that is, use that does not solely emanate from the Rockbank PSP area. Tables 10 and 11 quantify any external demand (as a percentage) for each infrastructure project. Where an external demand has been assessed, a percentage discount has been made to the dollar amount that would otherwise be recovered in relation to the DCP.</w:t>
      </w:r>
    </w:p>
    <w:p w:rsidR="003404B2" w:rsidRDefault="003404B2" w:rsidP="007900B2">
      <w:pPr>
        <w:pStyle w:val="BodyContent"/>
        <w:ind w:left="0"/>
        <w:rPr>
          <w:spacing w:val="-1"/>
        </w:rPr>
      </w:pPr>
      <w:r>
        <w:rPr>
          <w:spacing w:val="-1"/>
        </w:rPr>
        <w:t>Where external use of an infrastructure project has been calculated in Tables 10 and 11, alternative funding sources for infrastructure projects have been identified in Table 12.</w:t>
      </w:r>
    </w:p>
    <w:p w:rsidR="003404B2" w:rsidRDefault="003404B2" w:rsidP="00A07662">
      <w:pPr>
        <w:pStyle w:val="Heading3"/>
      </w:pPr>
      <w:r>
        <w:t>Non-Government schools</w:t>
      </w:r>
    </w:p>
    <w:p w:rsidR="003404B2" w:rsidRDefault="003404B2" w:rsidP="007900B2">
      <w:pPr>
        <w:pStyle w:val="BodyContent"/>
        <w:ind w:left="0"/>
      </w:pPr>
      <w:r>
        <w:t xml:space="preserve">The development of land for a non-government school is exempt from the requirement to pay a development infrastructure levy and a community infrastructure levy under </w:t>
      </w:r>
      <w:r>
        <w:br/>
        <w:t>the DCP.</w:t>
      </w:r>
    </w:p>
    <w:p w:rsidR="003404B2" w:rsidRDefault="003404B2" w:rsidP="00A07662">
      <w:pPr>
        <w:pStyle w:val="Heading3"/>
      </w:pPr>
      <w:r>
        <w:t>Schedule of costs</w:t>
      </w:r>
    </w:p>
    <w:p w:rsidR="003404B2" w:rsidRDefault="003404B2" w:rsidP="007900B2">
      <w:pPr>
        <w:pStyle w:val="BodyContent"/>
        <w:ind w:left="0"/>
      </w:pPr>
      <w:r>
        <w:t>Tables 10 and 11 calculate the amount of contributions payable by the MCA for each infrastructure category.</w:t>
      </w:r>
    </w:p>
    <w:p w:rsidR="003404B2" w:rsidRDefault="003404B2" w:rsidP="00A07662">
      <w:pPr>
        <w:pStyle w:val="Heading3"/>
      </w:pPr>
      <w:r>
        <w:t>Summary of charges per hectare</w:t>
      </w:r>
    </w:p>
    <w:p w:rsidR="003404B2" w:rsidRDefault="003404B2" w:rsidP="007900B2">
      <w:pPr>
        <w:pStyle w:val="BodyContent"/>
        <w:ind w:left="0"/>
      </w:pPr>
      <w:r>
        <w:t>Tables 10 and 11 show the quantum of funds to be contributed by the MCA toward each infrastructure project. The total adds up to the total amount of funds recoverable under the DCP.</w:t>
      </w:r>
    </w:p>
    <w:p w:rsidR="003404B2" w:rsidRDefault="007900B2" w:rsidP="007900B2">
      <w:pPr>
        <w:pStyle w:val="Caption"/>
      </w:pPr>
      <w:bookmarkStart w:id="32" w:name="_Toc467676225"/>
      <w:r>
        <w:t xml:space="preserve">Table </w:t>
      </w:r>
      <w:fldSimple w:instr=" SEQ Table \* ARABIC ">
        <w:r>
          <w:rPr>
            <w:noProof/>
          </w:rPr>
          <w:t>10</w:t>
        </w:r>
      </w:fldSimple>
      <w:r>
        <w:t xml:space="preserve"> – </w:t>
      </w:r>
      <w:r w:rsidR="00EB06F8">
        <w:t>Infrastructure project timing &amp; c</w:t>
      </w:r>
      <w:r w:rsidR="003404B2">
        <w:t>alculation of costs – Development infrastructure levy (DIL)</w:t>
      </w:r>
      <w:bookmarkEnd w:id="32"/>
    </w:p>
    <w:tbl>
      <w:tblPr>
        <w:tblW w:w="16681" w:type="dxa"/>
        <w:tblInd w:w="-861" w:type="dxa"/>
        <w:tblLayout w:type="fixed"/>
        <w:tblCellMar>
          <w:left w:w="0" w:type="dxa"/>
          <w:right w:w="0" w:type="dxa"/>
        </w:tblCellMar>
        <w:tblLook w:val="0000" w:firstRow="0" w:lastRow="0" w:firstColumn="0" w:lastColumn="0" w:noHBand="0" w:noVBand="0"/>
      </w:tblPr>
      <w:tblGrid>
        <w:gridCol w:w="1663"/>
        <w:gridCol w:w="2598"/>
        <w:gridCol w:w="1441"/>
        <w:gridCol w:w="624"/>
        <w:gridCol w:w="959"/>
        <w:gridCol w:w="1290"/>
        <w:gridCol w:w="1263"/>
        <w:gridCol w:w="1160"/>
        <w:gridCol w:w="1035"/>
        <w:gridCol w:w="1063"/>
        <w:gridCol w:w="1118"/>
        <w:gridCol w:w="1210"/>
        <w:gridCol w:w="1257"/>
      </w:tblGrid>
      <w:tr w:rsidR="003404B2" w:rsidTr="00850F80">
        <w:trPr>
          <w:trHeight w:val="1003"/>
          <w:tblHeader/>
        </w:trPr>
        <w:tc>
          <w:tcPr>
            <w:tcW w:w="1663" w:type="dxa"/>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tcPr>
          <w:p w:rsidR="003404B2" w:rsidRDefault="003404B2">
            <w:pPr>
              <w:pStyle w:val="CalcofCostsTables"/>
            </w:pPr>
            <w:r>
              <w:rPr>
                <w:rFonts w:ascii="VIC SemiBold" w:hAnsi="VIC SemiBold" w:cs="VIC SemiBold"/>
              </w:rPr>
              <w:t>DCP project ID</w:t>
            </w:r>
          </w:p>
        </w:tc>
        <w:tc>
          <w:tcPr>
            <w:tcW w:w="2598" w:type="dxa"/>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tcPr>
          <w:p w:rsidR="003404B2" w:rsidRDefault="003404B2">
            <w:pPr>
              <w:pStyle w:val="CalcofCostsTables"/>
            </w:pPr>
            <w:r>
              <w:rPr>
                <w:rFonts w:ascii="VIC SemiBold" w:hAnsi="VIC SemiBold" w:cs="VIC SemiBold"/>
              </w:rPr>
              <w:t>Project</w:t>
            </w:r>
          </w:p>
        </w:tc>
        <w:tc>
          <w:tcPr>
            <w:tcW w:w="1441" w:type="dxa"/>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tcPr>
          <w:p w:rsidR="003404B2" w:rsidRDefault="003404B2">
            <w:pPr>
              <w:pStyle w:val="CalcofCostsTables"/>
            </w:pPr>
            <w:r>
              <w:rPr>
                <w:rFonts w:ascii="VIC SemiBold" w:hAnsi="VIC SemiBold" w:cs="VIC SemiBold"/>
              </w:rPr>
              <w:t>Infrastructure Category</w:t>
            </w:r>
          </w:p>
        </w:tc>
        <w:tc>
          <w:tcPr>
            <w:tcW w:w="624" w:type="dxa"/>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tcPr>
          <w:p w:rsidR="003404B2" w:rsidRDefault="003404B2">
            <w:pPr>
              <w:pStyle w:val="CalcofCostsTables"/>
            </w:pPr>
            <w:r>
              <w:rPr>
                <w:rFonts w:ascii="VIC SemiBold" w:hAnsi="VIC SemiBold" w:cs="VIC SemiBold"/>
              </w:rPr>
              <w:t>Land Area Ha</w:t>
            </w:r>
          </w:p>
        </w:tc>
        <w:tc>
          <w:tcPr>
            <w:tcW w:w="959" w:type="dxa"/>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tcPr>
          <w:p w:rsidR="003404B2" w:rsidRDefault="003404B2">
            <w:pPr>
              <w:pStyle w:val="CalcofCostsTables"/>
            </w:pPr>
            <w:r>
              <w:rPr>
                <w:rFonts w:ascii="VIC SemiBold" w:hAnsi="VIC SemiBold" w:cs="VIC SemiBold"/>
              </w:rPr>
              <w:t xml:space="preserve">Estimated Project Cost: Land </w:t>
            </w:r>
          </w:p>
        </w:tc>
        <w:tc>
          <w:tcPr>
            <w:tcW w:w="1290" w:type="dxa"/>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tcPr>
          <w:p w:rsidR="003404B2" w:rsidRDefault="003404B2">
            <w:pPr>
              <w:pStyle w:val="CalcofCostsTables"/>
            </w:pPr>
            <w:r>
              <w:rPr>
                <w:rFonts w:ascii="VIC SemiBold" w:hAnsi="VIC SemiBold" w:cs="VIC SemiBold"/>
              </w:rPr>
              <w:t xml:space="preserve"> Estimated Project Cost: Construction </w:t>
            </w:r>
          </w:p>
        </w:tc>
        <w:tc>
          <w:tcPr>
            <w:tcW w:w="1263" w:type="dxa"/>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tcPr>
          <w:p w:rsidR="003404B2" w:rsidRDefault="003404B2">
            <w:pPr>
              <w:pStyle w:val="CalcofCostsTables"/>
            </w:pPr>
            <w:r>
              <w:rPr>
                <w:rFonts w:ascii="VIC SemiBold" w:hAnsi="VIC SemiBold" w:cs="VIC SemiBold"/>
              </w:rPr>
              <w:t xml:space="preserve"> Total Estimated Project Cost: Land &amp; Construction </w:t>
            </w:r>
          </w:p>
        </w:tc>
        <w:tc>
          <w:tcPr>
            <w:tcW w:w="1160" w:type="dxa"/>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tcPr>
          <w:p w:rsidR="003404B2" w:rsidRDefault="003404B2">
            <w:pPr>
              <w:pStyle w:val="CalcofCostsTables"/>
            </w:pPr>
            <w:r>
              <w:rPr>
                <w:rFonts w:ascii="VIC SemiBold" w:hAnsi="VIC SemiBold" w:cs="VIC SemiBold"/>
              </w:rPr>
              <w:t>% Apportioned to DCP (Internal Use)</w:t>
            </w:r>
          </w:p>
        </w:tc>
        <w:tc>
          <w:tcPr>
            <w:tcW w:w="1035" w:type="dxa"/>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tcPr>
          <w:p w:rsidR="003404B2" w:rsidRDefault="003404B2">
            <w:pPr>
              <w:pStyle w:val="CalcofCostsTables"/>
            </w:pPr>
            <w:r>
              <w:rPr>
                <w:rFonts w:ascii="VIC SemiBold" w:hAnsi="VIC SemiBold" w:cs="VIC SemiBold"/>
              </w:rPr>
              <w:t xml:space="preserve"> Total cost recovered by DCP </w:t>
            </w:r>
          </w:p>
        </w:tc>
        <w:tc>
          <w:tcPr>
            <w:tcW w:w="1063" w:type="dxa"/>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tcPr>
          <w:p w:rsidR="003404B2" w:rsidRDefault="003404B2">
            <w:pPr>
              <w:pStyle w:val="CalcofCostsTables"/>
            </w:pPr>
            <w:r>
              <w:rPr>
                <w:rFonts w:ascii="VIC SemiBold" w:hAnsi="VIC SemiBold" w:cs="VIC SemiBold"/>
              </w:rPr>
              <w:t xml:space="preserve">Residential - Cost recovered by DCP </w:t>
            </w:r>
          </w:p>
        </w:tc>
        <w:tc>
          <w:tcPr>
            <w:tcW w:w="1118" w:type="dxa"/>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tcPr>
          <w:p w:rsidR="003404B2" w:rsidRDefault="003404B2">
            <w:pPr>
              <w:pStyle w:val="CalcofCostsTables"/>
            </w:pPr>
            <w:r>
              <w:rPr>
                <w:rFonts w:ascii="VIC SemiBold" w:hAnsi="VIC SemiBold" w:cs="VIC SemiBold"/>
              </w:rPr>
              <w:t xml:space="preserve">Employment - Cost recovered by DCP </w:t>
            </w:r>
          </w:p>
        </w:tc>
        <w:tc>
          <w:tcPr>
            <w:tcW w:w="1210" w:type="dxa"/>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tcPr>
          <w:p w:rsidR="003404B2" w:rsidRDefault="003404B2">
            <w:pPr>
              <w:pStyle w:val="CalcofCostsTables"/>
            </w:pPr>
            <w:r>
              <w:rPr>
                <w:rFonts w:ascii="VIC SemiBold" w:hAnsi="VIC SemiBold" w:cs="VIC SemiBold"/>
              </w:rPr>
              <w:t xml:space="preserve"> Residential - Contribution per NDHa </w:t>
            </w:r>
          </w:p>
        </w:tc>
        <w:tc>
          <w:tcPr>
            <w:tcW w:w="1257" w:type="dxa"/>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tcPr>
          <w:p w:rsidR="003404B2" w:rsidRDefault="003404B2">
            <w:pPr>
              <w:pStyle w:val="CalcofCostsTables"/>
            </w:pPr>
            <w:r>
              <w:rPr>
                <w:rFonts w:ascii="VIC SemiBold" w:hAnsi="VIC SemiBold" w:cs="VIC SemiBold"/>
              </w:rPr>
              <w:t xml:space="preserve"> Employment - Contribution per NDHa </w:t>
            </w:r>
          </w:p>
        </w:tc>
      </w:tr>
      <w:tr w:rsidR="003404B2" w:rsidTr="00850F80">
        <w:trPr>
          <w:trHeight w:val="60"/>
        </w:trPr>
        <w:tc>
          <w:tcPr>
            <w:tcW w:w="16681" w:type="dxa"/>
            <w:gridSpan w:val="13"/>
            <w:tcBorders>
              <w:top w:val="single" w:sz="8" w:space="0" w:color="FFFFFF"/>
              <w:left w:val="single" w:sz="8" w:space="0" w:color="FFFFFF"/>
              <w:bottom w:val="single" w:sz="8" w:space="0" w:color="FFFFFF"/>
              <w:right w:val="single" w:sz="8" w:space="0" w:color="FFFFFF"/>
            </w:tcBorders>
            <w:shd w:val="solid" w:color="0059D8" w:fill="auto"/>
            <w:tcMar>
              <w:top w:w="77" w:type="dxa"/>
              <w:left w:w="77" w:type="dxa"/>
              <w:bottom w:w="77" w:type="dxa"/>
              <w:right w:w="77" w:type="dxa"/>
            </w:tcMar>
          </w:tcPr>
          <w:p w:rsidR="003404B2" w:rsidRDefault="003404B2">
            <w:pPr>
              <w:pStyle w:val="CalcofCostsTables"/>
              <w:jc w:val="left"/>
            </w:pPr>
            <w:r>
              <w:rPr>
                <w:rFonts w:ascii="VIC" w:hAnsi="VIC" w:cs="VIC"/>
              </w:rPr>
              <w:t>Road projects</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RD01B</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Greigs Road: Outer Metropolitan Ring transport corridor (OMR) to Troups Road North (IT01)</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$586,184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$586,184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50%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$293,092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$291,349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$1,743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$633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$633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RD01C</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Greigs Road: Outer Metropolitan Ring transport corridor (OMR) to Troups Road North (IT01)</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$295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$295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50%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$147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$146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$0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$0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RD02B</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Greigs Road: 'RB North South Road 1' (IT02) to 'RB North South Road 2' (IT03)</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$560,754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$560,754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50%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$280,377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$278,709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$1,668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$605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$605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lastRenderedPageBreak/>
              <w:t>RD02C</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Greigs Road: 'RB North South Road 1' (IT02) to 'RB North South Road 2' (IT03)</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$24,089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$24,089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50%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$12,044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$11,973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$72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$26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$26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RD03A</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Rockbank Road: Greigs Road (IT04) to Toolern Road (IT05)</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1.63</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$1,752,624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$1,752,624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$1,752,624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$1,742,199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$10,425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$3,784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$3,784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RD03B</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Rockbank Road: Greigs Road (IT04) to Toolern Road (IT05)</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$1,735,419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$1,735,419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$1,735,419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$1,725,096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$10,323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$3,747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$3,747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RD04A</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Toolern Road: 'RB North South Road 3' (IT06) to Paynes Road (IT07)</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1.16</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$1,222,510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$1,222,510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$1,222,510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$1,215,238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$7,272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$2,640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$2,640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RD04B</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Toolern Road: 'RB North South Road 3' (IT06) to Paynes Road (IT07)</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$1,492,524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$1,492,524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$1,492,524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$1,483,646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$8,878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$3,223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$3,223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RD05A</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Paynes Road: Western Freeway Flyover (BR03) to Murray Road (IT11)</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0.26</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$191,476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$191,476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$191,476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$190,337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$1,139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$413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$413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RD05B</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Paynes Road: Western Freeway Flyover (BR03) to Murray Road (IT11)</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$998,374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$998,374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50%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$499,187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$496,218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$2,969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$1,078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$1,078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RD05C</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Paynes Road: Western Freeway Flyover (BR03) to Murray Road (IT11)</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$2,307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$2,307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50%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$1,153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$1,147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$7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RD06A</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Paynes Road: Alfred Road (IT12) to 'RB East West Road 1' (IT13)</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0.40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$259,536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$259,536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$259,536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$257,992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$1,544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$560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$560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RD06B</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Paynes Road: Alfred Road (IT12) to 'RB East West Road 1' (IT13)</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$1,203,762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$1,203,762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50%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$601,881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$598,301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$3,580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$1,300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$1,300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RD06C</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Paynes Road: Alfred Road (IT12) to 'RB East West Road 1' (IT13)</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$36,403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$36,403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50%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$18,201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$18,093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$108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$39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$39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RD07A</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Paynes Road: 'RB East West Road 1' (IT13) to Toolern Road (IT07)</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0.35</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$237,127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$237,127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$237,127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$235,717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$1,411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$512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$512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RD07B</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Paynes Road: 'RB East West Road 1' (IT13) to Toolern Road (IT07)</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$1,541,794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$1,541,794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50%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$770,897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$766,311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$4,586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$1,665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$1,665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RD07C</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Paynes Road: 'RB East West Road 1' (IT13) to Toolern Road (IT07)</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$3,802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$3,802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50%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$1,901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$1,890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$11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RD08A</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Paynes Road: Toolern Road (IT07) to 'RB East West Road 3' (IT14)</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0.26</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$212,208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$212,208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$212,208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$210,946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$1,262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$458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$458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RD08B</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Paynes Road: Toolern Road (IT07) to 'RB East West Road 3' (IT14)</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$816,016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$816,016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50%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$408,008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$405,581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$2,427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$881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$881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RD08C</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Paynes Road: Toolern Road (IT07) to 'RB East West Road 3' (IT14)</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$2,498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$2,498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50%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$1,249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$1,242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$7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RD09A</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Paynes Road: 'RB East West Road 3' (IT14) to Greigs Road (IT15)</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0.60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$939,352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$939,352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$939,352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$933,764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$5,588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$2,028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$2,028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RD09B</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Paynes Road: 'RB East West Road 3' (IT14) to Greigs Road (IT15)</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$2,031,603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$2,031,603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50%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$1,015,802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$1,009,759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$6,042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$2,193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$2,193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lastRenderedPageBreak/>
              <w:t>RD09C</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Paynes Road: 'RB East West Road 3' (IT14) to Greigs Road (IT15)</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$7,518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$7,518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50%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$3,759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$3,737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$22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$8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$8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RD10B</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Westcott Parade: Rockbank Township to Old Leakes Road</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$1,947,126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$1,947,126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$1,947,126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$1,935,544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$11,582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$4,204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$4,204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RD10C</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Westcott Parade: Rockbank Township to Old Leakes Road</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$3,482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$3,482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$3,482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$3,461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$21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$8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$8 </w:t>
            </w:r>
          </w:p>
        </w:tc>
      </w:tr>
      <w:tr w:rsidR="003404B2" w:rsidTr="00850F80">
        <w:trPr>
          <w:trHeight w:val="60"/>
        </w:trPr>
        <w:tc>
          <w:tcPr>
            <w:tcW w:w="5702" w:type="dxa"/>
            <w:gridSpan w:val="3"/>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3404B2" w:rsidRDefault="003404B2">
            <w:pPr>
              <w:pStyle w:val="tablebasicTEMPLATESTYLESMASTERTableswithnumbering"/>
            </w:pPr>
            <w:r>
              <w:rPr>
                <w:rFonts w:ascii="VIC" w:hAnsi="VIC" w:cs="VIC"/>
                <w:b/>
                <w:bCs/>
                <w:caps/>
                <w:sz w:val="14"/>
                <w:szCs w:val="14"/>
              </w:rPr>
              <w:t>Sub-total road projects</w:t>
            </w:r>
          </w:p>
        </w:tc>
        <w:tc>
          <w:tcPr>
            <w:tcW w:w="624"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3404B2" w:rsidRDefault="003404B2">
            <w:pPr>
              <w:pStyle w:val="NumbersR675Tables"/>
            </w:pPr>
            <w:r>
              <w:rPr>
                <w:b/>
                <w:bCs/>
              </w:rPr>
              <w:t>4.65</w:t>
            </w:r>
          </w:p>
        </w:tc>
        <w:tc>
          <w:tcPr>
            <w:tcW w:w="959"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3404B2" w:rsidRDefault="003404B2">
            <w:pPr>
              <w:pStyle w:val="NumbersR675Tables"/>
            </w:pPr>
            <w:r>
              <w:rPr>
                <w:b/>
                <w:bCs/>
              </w:rPr>
              <w:t xml:space="preserve"> $4,814,834 </w:t>
            </w:r>
          </w:p>
        </w:tc>
        <w:tc>
          <w:tcPr>
            <w:tcW w:w="1290"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3404B2" w:rsidRDefault="003404B2">
            <w:pPr>
              <w:pStyle w:val="NumbersR675Tables"/>
            </w:pPr>
            <w:r>
              <w:rPr>
                <w:b/>
                <w:bCs/>
              </w:rPr>
              <w:t xml:space="preserve"> $12,993,950 </w:t>
            </w:r>
          </w:p>
        </w:tc>
        <w:tc>
          <w:tcPr>
            <w:tcW w:w="1263"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3404B2" w:rsidRDefault="003404B2">
            <w:pPr>
              <w:pStyle w:val="NumbersR675Tables"/>
            </w:pPr>
            <w:r>
              <w:rPr>
                <w:b/>
                <w:bCs/>
              </w:rPr>
              <w:t xml:space="preserve"> $17,808,784 </w:t>
            </w:r>
          </w:p>
        </w:tc>
        <w:tc>
          <w:tcPr>
            <w:tcW w:w="1160"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3404B2" w:rsidRDefault="003404B2">
            <w:pPr>
              <w:pStyle w:val="NoParagraphStyle"/>
              <w:spacing w:line="240" w:lineRule="auto"/>
              <w:textAlignment w:val="auto"/>
              <w:rPr>
                <w:rFonts w:ascii="Arial" w:hAnsi="Arial" w:cs="Arial"/>
                <w:color w:val="auto"/>
                <w:lang w:val="en-AU"/>
              </w:rPr>
            </w:pPr>
          </w:p>
        </w:tc>
        <w:tc>
          <w:tcPr>
            <w:tcW w:w="1035"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3404B2" w:rsidRDefault="003404B2">
            <w:pPr>
              <w:pStyle w:val="NumbersR675Tables"/>
            </w:pPr>
            <w:r>
              <w:rPr>
                <w:b/>
                <w:bCs/>
              </w:rPr>
              <w:t xml:space="preserve"> $13,901,084 </w:t>
            </w:r>
          </w:p>
        </w:tc>
        <w:tc>
          <w:tcPr>
            <w:tcW w:w="1063"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3404B2" w:rsidRDefault="003404B2">
            <w:pPr>
              <w:pStyle w:val="NumbersR675Tables"/>
            </w:pPr>
            <w:r>
              <w:rPr>
                <w:b/>
                <w:bCs/>
              </w:rPr>
              <w:t xml:space="preserve"> $13,818,395 </w:t>
            </w:r>
          </w:p>
        </w:tc>
        <w:tc>
          <w:tcPr>
            <w:tcW w:w="1118"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3404B2" w:rsidRDefault="003404B2">
            <w:pPr>
              <w:pStyle w:val="NumbersR675Tables"/>
            </w:pPr>
            <w:r>
              <w:rPr>
                <w:b/>
                <w:bCs/>
              </w:rPr>
              <w:t xml:space="preserve"> $82,689 </w:t>
            </w:r>
          </w:p>
        </w:tc>
        <w:tc>
          <w:tcPr>
            <w:tcW w:w="1210"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3404B2" w:rsidRDefault="003404B2">
            <w:pPr>
              <w:pStyle w:val="NumbersR675Tables"/>
            </w:pPr>
            <w:r>
              <w:rPr>
                <w:b/>
                <w:bCs/>
              </w:rPr>
              <w:t xml:space="preserve"> $30,015 </w:t>
            </w:r>
          </w:p>
        </w:tc>
        <w:tc>
          <w:tcPr>
            <w:tcW w:w="1257"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3404B2" w:rsidRDefault="003404B2">
            <w:pPr>
              <w:pStyle w:val="NumbersR675Tables"/>
            </w:pPr>
            <w:r>
              <w:rPr>
                <w:b/>
                <w:bCs/>
              </w:rPr>
              <w:t xml:space="preserve"> $30,015 </w:t>
            </w:r>
          </w:p>
        </w:tc>
      </w:tr>
      <w:tr w:rsidR="003404B2" w:rsidTr="00850F80">
        <w:trPr>
          <w:trHeight w:val="60"/>
        </w:trPr>
        <w:tc>
          <w:tcPr>
            <w:tcW w:w="16681" w:type="dxa"/>
            <w:gridSpan w:val="13"/>
            <w:tcBorders>
              <w:top w:val="single" w:sz="8" w:space="0" w:color="FFFFFF"/>
              <w:left w:val="single" w:sz="8" w:space="0" w:color="FFFFFF"/>
              <w:bottom w:val="single" w:sz="8" w:space="0" w:color="FFFFFF"/>
              <w:right w:val="single" w:sz="8" w:space="0" w:color="FFFFFF"/>
            </w:tcBorders>
            <w:shd w:val="solid" w:color="0059D8" w:fill="auto"/>
            <w:tcMar>
              <w:top w:w="77" w:type="dxa"/>
              <w:left w:w="77" w:type="dxa"/>
              <w:bottom w:w="77" w:type="dxa"/>
              <w:right w:w="77" w:type="dxa"/>
            </w:tcMar>
            <w:vAlign w:val="center"/>
          </w:tcPr>
          <w:p w:rsidR="003404B2" w:rsidRDefault="003404B2">
            <w:pPr>
              <w:pStyle w:val="CalcofCostsTables"/>
              <w:jc w:val="left"/>
            </w:pPr>
            <w:r>
              <w:rPr>
                <w:rFonts w:ascii="VIC" w:hAnsi="VIC" w:cs="VIC"/>
              </w:rPr>
              <w:t>Intersection projects</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IT01A</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Intersection: Greigs Road and Troups Road North</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0.03</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$20,735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$20,735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$20,735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$20,612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$123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$45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$45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IT01B</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Intersection: Greigs Road and Troups Road North</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$3,506,804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$3,506,804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$3,506,804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$3,485,944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$20,860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$7,572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$7,572 </w:t>
            </w:r>
          </w:p>
        </w:tc>
      </w:tr>
      <w:tr w:rsidR="003404B2" w:rsidTr="00850F80">
        <w:trPr>
          <w:trHeight w:val="428"/>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Publicationdate"/>
              <w:spacing w:before="170"/>
            </w:pPr>
            <w:r>
              <w:rPr>
                <w:rFonts w:ascii="Arial" w:hAnsi="Arial" w:cs="Arial"/>
                <w:sz w:val="14"/>
                <w:szCs w:val="14"/>
              </w:rPr>
              <w:t>IT01C</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whiteBOLDCAPSTEMPLATESTYLESMASTERTableswithnumbering"/>
              <w:jc w:val="left"/>
            </w:pPr>
            <w:r>
              <w:rPr>
                <w:rFonts w:ascii="Arial" w:hAnsi="Arial" w:cs="Arial"/>
                <w:b w:val="0"/>
                <w:bCs w:val="0"/>
                <w:caps w:val="0"/>
                <w:color w:val="000000"/>
                <w:sz w:val="14"/>
                <w:szCs w:val="14"/>
              </w:rPr>
              <w:t>Intersection: Greigs Road and Troups Road North</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whiteBOLDCAPSTEMPLATESTYLESMASTERTableswithnumbering"/>
              <w:jc w:val="left"/>
            </w:pPr>
            <w:r>
              <w:rPr>
                <w:rFonts w:ascii="Arial" w:hAnsi="Arial" w:cs="Arial"/>
                <w:b w:val="0"/>
                <w:bCs w:val="0"/>
                <w:caps w:val="0"/>
                <w:color w:val="000000"/>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$120,801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$120,801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50%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$60,400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$60,041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$359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$130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$130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IT02A</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Intersection: Greigs Road and 'RB North South Road 1'</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0.12</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$77,375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$77,375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$77,375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$76,915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$460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$167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$167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IT02B</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Intersection: Greigs Road and 'RB North South Road 1'</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$3,357,955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$3,357,955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$3,357,955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$3,337,981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$19,974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$7,251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$7,251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IT02C</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Intersection: Greigs Road and 'RB North South Road 1'</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$145,320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$145,320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50%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$72,660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$72,228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$432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$157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$157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IT03A</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Intersection: Greigs Road and 'RB North South Road 2'</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0.13</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$94,220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$94,220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$94,220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$93,660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$560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$203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$203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IT03B</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Intersection: Greigs Road and 'RB North South Road 2'</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$3,387,294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$3,387,294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$3,387,294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$3,367,145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$20,149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$7,314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$7,314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IT03C</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Intersection: Greigs Road and 'RB North South Road 2'</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$136,970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$136,970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50%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$68,485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$68,078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$407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$148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$148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IT04A</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Intersection: Rockbank Road and Greigs Road</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0.91</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$1,097,968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$1,097,968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$1,097,968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$1,091,437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$6,531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$2,371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$2,371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IT04B</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Intersection: Rockbank Road and Greigs Road</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$5,916,076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$5,916,076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50%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$2,958,038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$2,940,443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$17,596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$6,387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$6,387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IT04C</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Intersection: Rockbank Road and Greigs Road</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$46,546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$46,546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50%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$23,273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$23,135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$138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$50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$50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IT05A</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Intersection: Rockbank Road and Toolern Road</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2.90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$3,151,928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$3,151,928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$3,151,928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$3,133,179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$18,749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$6,806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$6,806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IT05B</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Intersection: Rockbank Road and Toolern Road</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$5,102,158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$5,102,158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$5,102,158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$5,071,808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$30,350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$11,017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$11,017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IT06A</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Intersection: Toolern Road and 'RB North South Road 3'</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2.07</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$1,863,678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$1,863,678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$1,863,678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$1,852,592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$11,086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$4,024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$4,024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lastRenderedPageBreak/>
              <w:t>IT06B</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Intersection: Toolern Road and 'RB North South Road 3'</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$4,030,900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$4,030,900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$4,030,900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$4,006,922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$23,977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$8,704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$8,704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IT07A</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Intersection: Toolern Road and Paynes Road</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1.02</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$1,062,434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$1,062,434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$1,062,434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$1,056,114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$6,320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$2,294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$2,294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IT07B</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Intersection: Toolern Road and Paynes Road</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$4,836,576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$4,836,576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50%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$2,418,288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$2,403,903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$14,385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$5,222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$5,222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IT07C</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Intersection: Toolern Road and Paynes Road</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$3,619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$3,619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50%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$1,810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$1,799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$11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IT08A</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Intersection: Rockbank Road and 'RB East West Road 2'</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1.73</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$1,666,275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$1,666,275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$1,666,275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$1,656,364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$9,912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$3,598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$3,598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IT08B</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Intersection: Rockbank Road and 'RB East West Road 2'</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$3,228,391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$3,228,391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$3,228,391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$3,209,187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$19,204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$6,971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$6,971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IT09A</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Intersection: Rockbank Road and 'RB East West Road 1'</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2.23</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$2,585,772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$2,585,772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$2,585,772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$2,570,390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$15,381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$5,583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$5,583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IT09B</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Intersection: Rockbank Road and 'RB East West Road 1'</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$3,312,321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$3,312,321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$3,312,321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$3,292,618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$19,703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$7,152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$7,152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IT10A</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Intersection: Rockbank Road and Westcott Parade Extension</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0.84</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$774,724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$774,724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$774,724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$770,116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$4,608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$1,673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$1,673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IT10B</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Intersection: Rockbank Road and Westcott Parade Extension</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$3,384,438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$3,384,438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$3,384,438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$3,364,306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$20,132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$7,308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$7,308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IT11A</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Intersection: Paynes Road and Murray Road</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0.58</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$583,500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$583,500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$583,500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$580,029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$3,471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$1,260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$1,260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IT11B</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Intersection: Paynes Road and Murray Road</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$2,939,929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$2,939,929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50%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$1,469,965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$1,461,221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$8,744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$3,174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$3,174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IT11C</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Intersection: Paynes Road and Murray Road</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$3,657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$3,657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50%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$1,828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$1,817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$11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IT12A</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Intersection: Paynes Road and Alfred Road</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0.73</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$477,448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$477,448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$477,448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$474,608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$2,840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$1,031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$1,031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IT12B</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Intersection: Paynes Road and Alfred Road</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$3,332,607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$3,332,607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50%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$1,666,304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$1,656,392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$9,912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$3,598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$3,598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IT12C</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Intersection: Paynes Road and Alfred Road</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$33,756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$33,756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50%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$16,878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$16,778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$100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$36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$36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IT13A</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Intersection: Paynes Road and 'RB East West Road 1'</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0.56</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$376,043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$376,043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$376,043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$373,806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$2,237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$812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$812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IT13B</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Intersection: Paynes Road and 'RB East West Road 1'</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$2,883,324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$2,883,324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50%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$1,441,662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$1,433,087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$8,576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$3,113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$3,113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IT13C</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Intersection: Paynes Road and 'RB East West Road 1'</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$3,589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$3,589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50%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$1,794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$1,784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$11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lastRenderedPageBreak/>
              <w:t>IT14A</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Intersection: Paynes Road and 'RB East West Road 3'</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0.58</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$734,608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$734,608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$734,608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$730,239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$4,370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$1,586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$1,586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IT14B</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Intersection: Paynes Road and 'RB East West Road 3'</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$3,008,301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$3,008,301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50%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$1,504,150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$1,495,203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$8,947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$3,248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$3,248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IT14C</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Intersection: Paynes Road and 'RB East West Road 3'</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$4,368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$4,368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50%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$2,184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$2,171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$13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$5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$5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IT15A</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Intersection: Paynes Road and Greigs Road</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0.11</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$94,384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$94,384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$94,384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$93,822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$561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$204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$204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IT15B</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Intersection: Paynes Road and Greigs Road</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$2,839,157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$2,839,157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25%</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$709,789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$705,567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$4,222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$1,533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$1,533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IT15C</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Intersection: Paynes Road and Greigs Road</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$16,083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$16,083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25%</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$4,021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$3,997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$24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$9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$9 </w:t>
            </w:r>
          </w:p>
        </w:tc>
      </w:tr>
      <w:tr w:rsidR="003404B2" w:rsidTr="00850F80">
        <w:trPr>
          <w:trHeight w:val="60"/>
        </w:trPr>
        <w:tc>
          <w:tcPr>
            <w:tcW w:w="5702" w:type="dxa"/>
            <w:gridSpan w:val="3"/>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tcPr>
          <w:p w:rsidR="003404B2" w:rsidRDefault="003404B2">
            <w:pPr>
              <w:pStyle w:val="tablebasicTEMPLATESTYLESMASTERTableswithnumbering"/>
            </w:pPr>
            <w:r>
              <w:rPr>
                <w:rFonts w:ascii="VIC" w:hAnsi="VIC" w:cs="VIC"/>
                <w:b/>
                <w:bCs/>
                <w:caps/>
                <w:sz w:val="14"/>
                <w:szCs w:val="14"/>
              </w:rPr>
              <w:t>Sub-total intersection projects</w:t>
            </w:r>
          </w:p>
        </w:tc>
        <w:tc>
          <w:tcPr>
            <w:tcW w:w="624"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tcPr>
          <w:p w:rsidR="003404B2" w:rsidRDefault="003404B2">
            <w:pPr>
              <w:pStyle w:val="NumbersR675Tables"/>
            </w:pPr>
            <w:r>
              <w:rPr>
                <w:b/>
                <w:bCs/>
              </w:rPr>
              <w:t>14.53</w:t>
            </w:r>
          </w:p>
        </w:tc>
        <w:tc>
          <w:tcPr>
            <w:tcW w:w="959"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tcPr>
          <w:p w:rsidR="003404B2" w:rsidRDefault="003404B2">
            <w:pPr>
              <w:pStyle w:val="NumbersR675Tables"/>
            </w:pPr>
            <w:r>
              <w:rPr>
                <w:b/>
                <w:bCs/>
              </w:rPr>
              <w:t xml:space="preserve">$14,661,091 </w:t>
            </w:r>
          </w:p>
        </w:tc>
        <w:tc>
          <w:tcPr>
            <w:tcW w:w="1290"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tcPr>
          <w:p w:rsidR="003404B2" w:rsidRDefault="003404B2">
            <w:pPr>
              <w:pStyle w:val="NumbersR675Tables"/>
            </w:pPr>
            <w:r>
              <w:rPr>
                <w:b/>
                <w:bCs/>
              </w:rPr>
              <w:t xml:space="preserve"> $55,580,940 </w:t>
            </w:r>
          </w:p>
        </w:tc>
        <w:tc>
          <w:tcPr>
            <w:tcW w:w="1263"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tcPr>
          <w:p w:rsidR="003404B2" w:rsidRDefault="003404B2">
            <w:pPr>
              <w:pStyle w:val="NumbersR675Tables"/>
            </w:pPr>
            <w:r>
              <w:rPr>
                <w:b/>
                <w:bCs/>
              </w:rPr>
              <w:t xml:space="preserve"> $70,242,031 </w:t>
            </w:r>
          </w:p>
        </w:tc>
        <w:tc>
          <w:tcPr>
            <w:tcW w:w="1160"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tcPr>
          <w:p w:rsidR="003404B2" w:rsidRDefault="003404B2">
            <w:pPr>
              <w:pStyle w:val="NoParagraphStyle"/>
              <w:spacing w:line="240" w:lineRule="auto"/>
              <w:textAlignment w:val="auto"/>
              <w:rPr>
                <w:rFonts w:ascii="Arial" w:hAnsi="Arial" w:cs="Arial"/>
                <w:color w:val="auto"/>
                <w:lang w:val="en-AU"/>
              </w:rPr>
            </w:pPr>
          </w:p>
        </w:tc>
        <w:tc>
          <w:tcPr>
            <w:tcW w:w="1035"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tcPr>
          <w:p w:rsidR="003404B2" w:rsidRDefault="003404B2">
            <w:pPr>
              <w:pStyle w:val="NumbersR675Tables"/>
            </w:pPr>
            <w:r>
              <w:rPr>
                <w:b/>
                <w:bCs/>
              </w:rPr>
              <w:t xml:space="preserve"> $56,392,881 </w:t>
            </w:r>
          </w:p>
        </w:tc>
        <w:tc>
          <w:tcPr>
            <w:tcW w:w="1063"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tcPr>
          <w:p w:rsidR="003404B2" w:rsidRDefault="003404B2">
            <w:pPr>
              <w:pStyle w:val="NumbersR675Tables"/>
            </w:pPr>
            <w:r>
              <w:rPr>
                <w:b/>
                <w:bCs/>
              </w:rPr>
              <w:t xml:space="preserve"> $56,057,434 </w:t>
            </w:r>
          </w:p>
        </w:tc>
        <w:tc>
          <w:tcPr>
            <w:tcW w:w="1118"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tcPr>
          <w:p w:rsidR="003404B2" w:rsidRDefault="003404B2">
            <w:pPr>
              <w:pStyle w:val="NumbersR675Tables"/>
            </w:pPr>
            <w:r>
              <w:rPr>
                <w:b/>
                <w:bCs/>
              </w:rPr>
              <w:t xml:space="preserve"> $335,447 </w:t>
            </w:r>
          </w:p>
        </w:tc>
        <w:tc>
          <w:tcPr>
            <w:tcW w:w="1210"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tcPr>
          <w:p w:rsidR="003404B2" w:rsidRDefault="003404B2">
            <w:pPr>
              <w:pStyle w:val="NumbersR675Tables"/>
            </w:pPr>
            <w:r>
              <w:rPr>
                <w:b/>
                <w:bCs/>
              </w:rPr>
              <w:t xml:space="preserve"> $121,764 </w:t>
            </w:r>
          </w:p>
        </w:tc>
        <w:tc>
          <w:tcPr>
            <w:tcW w:w="1257"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tcPr>
          <w:p w:rsidR="003404B2" w:rsidRDefault="003404B2">
            <w:pPr>
              <w:pStyle w:val="NumbersR675Tables"/>
            </w:pPr>
            <w:r>
              <w:rPr>
                <w:b/>
                <w:bCs/>
              </w:rPr>
              <w:t xml:space="preserve"> $121,764 </w:t>
            </w:r>
          </w:p>
        </w:tc>
      </w:tr>
      <w:tr w:rsidR="003404B2" w:rsidTr="00850F80">
        <w:trPr>
          <w:trHeight w:val="60"/>
        </w:trPr>
        <w:tc>
          <w:tcPr>
            <w:tcW w:w="16681" w:type="dxa"/>
            <w:gridSpan w:val="13"/>
            <w:tcBorders>
              <w:top w:val="single" w:sz="8" w:space="0" w:color="FFFFFF"/>
              <w:left w:val="single" w:sz="8" w:space="0" w:color="FFFFFF"/>
              <w:bottom w:val="single" w:sz="8" w:space="0" w:color="FFFFFF"/>
              <w:right w:val="single" w:sz="8" w:space="0" w:color="FFFFFF"/>
            </w:tcBorders>
            <w:shd w:val="solid" w:color="0059D8" w:fill="auto"/>
            <w:tcMar>
              <w:top w:w="77" w:type="dxa"/>
              <w:left w:w="77" w:type="dxa"/>
              <w:bottom w:w="77" w:type="dxa"/>
              <w:right w:w="77" w:type="dxa"/>
            </w:tcMar>
          </w:tcPr>
          <w:p w:rsidR="003404B2" w:rsidRDefault="003404B2">
            <w:pPr>
              <w:pStyle w:val="CalcofCostsTables"/>
              <w:jc w:val="left"/>
            </w:pPr>
            <w:r>
              <w:rPr>
                <w:rFonts w:ascii="VIC" w:hAnsi="VIC" w:cs="VIC"/>
              </w:rPr>
              <w:t>Bridge projects</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BR02A</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Rockbank Road Bridge</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2.77</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$2,790,621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$2,790,621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$2,790,621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$2,774,021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$16,600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$6,026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$6,026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BR03A</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Paynes Road Freeway Flyover</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0.39</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$640,568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$640,568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$640,568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$636,757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$3,810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$1,383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$1,383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stextL675Tables"/>
            </w:pPr>
            <w:r>
              <w:t>BR03C</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stextL675Tables"/>
            </w:pPr>
            <w:r>
              <w:t>Paynes Road Freeway Flyover</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stextL675Tables"/>
            </w:pPr>
            <w: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$21,764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$21,764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50%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$10,882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$10,817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$65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$23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$23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stextL675Tables"/>
            </w:pPr>
            <w:r>
              <w:t>BR04A</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stextL675Tables"/>
            </w:pPr>
            <w:r>
              <w:t xml:space="preserve">Paynes Road Rail Flyover </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stextL675Tables"/>
            </w:pPr>
            <w: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1.13</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$759,550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$759,550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$759,550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$755,031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$4,518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$1,640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$1,640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BR04B</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 xml:space="preserve">Paynes Road Rail Flyover </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$12,803,329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$12,803,329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27.5%</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$3,520,915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$3,499,972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$20,944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$7,602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$7,602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BR04C</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 xml:space="preserve">Paynes Road Rail Flyover </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$23,004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$23,004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50%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$11,502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$11,433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$68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$25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$25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BR05B</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Rockbank East Pedestrian Bridge</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$7,560,801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$7,560,801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50%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$3,780,401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$3,757,913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$22,487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$8,163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$8,163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BR06B</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Leakes Road Level Crossing Upgrade</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$602,696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$602,696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$602,696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$599,111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$3,585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$1,301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$1,301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BR07B</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Paynes Road Level Crossing Upgrade</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$540,539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$540,539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50%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$270,269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$268,662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$1,608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$584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$584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BR08B</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Troups Road North Level Crossing Upgrade</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$540,539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$540,539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$540,539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$537,323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$3,215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$1,167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$1,167 </w:t>
            </w:r>
          </w:p>
        </w:tc>
      </w:tr>
      <w:tr w:rsidR="003404B2" w:rsidTr="00850F80">
        <w:trPr>
          <w:trHeight w:val="258"/>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BR09B</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Rockbank Road Drainage Culvert</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$1,428,001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$1,428,001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$1,428,001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$1,419,507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$8,494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$3,083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$3,083 </w:t>
            </w:r>
          </w:p>
        </w:tc>
      </w:tr>
      <w:tr w:rsidR="003404B2" w:rsidTr="00850F80">
        <w:trPr>
          <w:trHeight w:val="60"/>
        </w:trPr>
        <w:tc>
          <w:tcPr>
            <w:tcW w:w="5702" w:type="dxa"/>
            <w:gridSpan w:val="3"/>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tcPr>
          <w:p w:rsidR="003404B2" w:rsidRDefault="003404B2">
            <w:pPr>
              <w:pStyle w:val="tablebasicTEMPLATESTYLESMASTERTableswithnumbering"/>
            </w:pPr>
            <w:r>
              <w:rPr>
                <w:rFonts w:ascii="VIC" w:hAnsi="VIC" w:cs="VIC"/>
                <w:b/>
                <w:bCs/>
                <w:caps/>
                <w:sz w:val="14"/>
                <w:szCs w:val="14"/>
              </w:rPr>
              <w:t>Sub-total Bridge projects</w:t>
            </w:r>
          </w:p>
        </w:tc>
        <w:tc>
          <w:tcPr>
            <w:tcW w:w="624"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tcPr>
          <w:p w:rsidR="003404B2" w:rsidRDefault="003404B2">
            <w:pPr>
              <w:pStyle w:val="NumbersR675Tables"/>
            </w:pPr>
            <w:r>
              <w:rPr>
                <w:b/>
                <w:bCs/>
              </w:rPr>
              <w:t>4.29</w:t>
            </w:r>
          </w:p>
        </w:tc>
        <w:tc>
          <w:tcPr>
            <w:tcW w:w="959"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tcPr>
          <w:p w:rsidR="003404B2" w:rsidRDefault="003404B2">
            <w:pPr>
              <w:pStyle w:val="NumbersR675Tables"/>
            </w:pPr>
            <w:r>
              <w:rPr>
                <w:b/>
                <w:bCs/>
              </w:rPr>
              <w:t xml:space="preserve"> $4,190,738 </w:t>
            </w:r>
          </w:p>
        </w:tc>
        <w:tc>
          <w:tcPr>
            <w:tcW w:w="1290"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tcPr>
          <w:p w:rsidR="003404B2" w:rsidRDefault="003404B2">
            <w:pPr>
              <w:pStyle w:val="NumbersR675Tables"/>
            </w:pPr>
            <w:r>
              <w:rPr>
                <w:b/>
                <w:bCs/>
              </w:rPr>
              <w:t xml:space="preserve"> $23,520,671 </w:t>
            </w:r>
          </w:p>
        </w:tc>
        <w:tc>
          <w:tcPr>
            <w:tcW w:w="1263"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tcPr>
          <w:p w:rsidR="003404B2" w:rsidRDefault="003404B2">
            <w:pPr>
              <w:pStyle w:val="NumbersR675Tables"/>
            </w:pPr>
            <w:r>
              <w:rPr>
                <w:b/>
                <w:bCs/>
              </w:rPr>
              <w:t xml:space="preserve"> $27,711,410 </w:t>
            </w:r>
          </w:p>
        </w:tc>
        <w:tc>
          <w:tcPr>
            <w:tcW w:w="1160"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tcPr>
          <w:p w:rsidR="003404B2" w:rsidRDefault="003404B2">
            <w:pPr>
              <w:pStyle w:val="NoParagraphStyle"/>
              <w:spacing w:line="240" w:lineRule="auto"/>
              <w:textAlignment w:val="auto"/>
              <w:rPr>
                <w:rFonts w:ascii="Arial" w:hAnsi="Arial" w:cs="Arial"/>
                <w:color w:val="auto"/>
                <w:lang w:val="en-AU"/>
              </w:rPr>
            </w:pPr>
          </w:p>
        </w:tc>
        <w:tc>
          <w:tcPr>
            <w:tcW w:w="1035"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tcPr>
          <w:p w:rsidR="003404B2" w:rsidRDefault="003404B2">
            <w:pPr>
              <w:pStyle w:val="NumbersR675Tables"/>
            </w:pPr>
            <w:r>
              <w:rPr>
                <w:b/>
                <w:bCs/>
              </w:rPr>
              <w:t xml:space="preserve"> $14,355,943 </w:t>
            </w:r>
          </w:p>
        </w:tc>
        <w:tc>
          <w:tcPr>
            <w:tcW w:w="1063"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tcPr>
          <w:p w:rsidR="003404B2" w:rsidRDefault="003404B2">
            <w:pPr>
              <w:pStyle w:val="NumbersR675Tables"/>
            </w:pPr>
            <w:r>
              <w:rPr>
                <w:b/>
                <w:bCs/>
              </w:rPr>
              <w:t xml:space="preserve"> $14,270,548 </w:t>
            </w:r>
          </w:p>
        </w:tc>
        <w:tc>
          <w:tcPr>
            <w:tcW w:w="1118"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tcPr>
          <w:p w:rsidR="003404B2" w:rsidRDefault="003404B2">
            <w:pPr>
              <w:pStyle w:val="NumbersR675Tables"/>
            </w:pPr>
            <w:r>
              <w:rPr>
                <w:b/>
                <w:bCs/>
              </w:rPr>
              <w:t xml:space="preserve"> $85,395 </w:t>
            </w:r>
          </w:p>
        </w:tc>
        <w:tc>
          <w:tcPr>
            <w:tcW w:w="1210"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tcPr>
          <w:p w:rsidR="003404B2" w:rsidRDefault="003404B2">
            <w:pPr>
              <w:pStyle w:val="NumbersR675Tables"/>
            </w:pPr>
            <w:r>
              <w:rPr>
                <w:b/>
                <w:bCs/>
              </w:rPr>
              <w:t xml:space="preserve"> $30,997 </w:t>
            </w:r>
          </w:p>
        </w:tc>
        <w:tc>
          <w:tcPr>
            <w:tcW w:w="1257"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tcPr>
          <w:p w:rsidR="003404B2" w:rsidRDefault="003404B2">
            <w:pPr>
              <w:pStyle w:val="NumbersR675Tables"/>
            </w:pPr>
            <w:r>
              <w:rPr>
                <w:b/>
                <w:bCs/>
              </w:rPr>
              <w:t xml:space="preserve"> $30,997 </w:t>
            </w:r>
          </w:p>
        </w:tc>
      </w:tr>
      <w:tr w:rsidR="003404B2" w:rsidTr="00850F80">
        <w:trPr>
          <w:trHeight w:val="60"/>
        </w:trPr>
        <w:tc>
          <w:tcPr>
            <w:tcW w:w="16681" w:type="dxa"/>
            <w:gridSpan w:val="13"/>
            <w:tcBorders>
              <w:top w:val="single" w:sz="8" w:space="0" w:color="FFFFFF"/>
              <w:left w:val="single" w:sz="8" w:space="0" w:color="FFFFFF"/>
              <w:bottom w:val="single" w:sz="8" w:space="0" w:color="FFFFFF"/>
              <w:right w:val="single" w:sz="8" w:space="0" w:color="FFFFFF"/>
            </w:tcBorders>
            <w:shd w:val="solid" w:color="0059D8" w:fill="auto"/>
            <w:tcMar>
              <w:top w:w="77" w:type="dxa"/>
              <w:left w:w="77" w:type="dxa"/>
              <w:bottom w:w="77" w:type="dxa"/>
              <w:right w:w="77" w:type="dxa"/>
            </w:tcMar>
          </w:tcPr>
          <w:p w:rsidR="003404B2" w:rsidRDefault="003404B2">
            <w:pPr>
              <w:pStyle w:val="CalcofCostsTables"/>
              <w:jc w:val="left"/>
            </w:pPr>
            <w:r>
              <w:t>Community facilities projects</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stextL675Tables"/>
            </w:pPr>
            <w:r>
              <w:t>CI01A</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Rockbank East Community Centre (Rockbank East Community Hub)</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0.80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$540,000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$540,000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$540,000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$540,000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$1,173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stextL675Tables"/>
            </w:pPr>
            <w:r>
              <w:t>CI01B</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stextL675Tables"/>
            </w:pPr>
            <w:r>
              <w:t>Rockbank East Community Centre (Rockbank East Community Hub)</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stextL675Tables"/>
            </w:pPr>
            <w: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$6,092,435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$6,092,435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$6,092,435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$6,092,435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$13,234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r>
      <w:tr w:rsidR="003404B2" w:rsidTr="00850F80">
        <w:trPr>
          <w:trHeight w:val="273"/>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stextL675Tables"/>
            </w:pPr>
            <w:r>
              <w:t>CI02A</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stextL675Tables"/>
            </w:pPr>
            <w:r>
              <w:t xml:space="preserve">Rockbank South </w:t>
            </w:r>
            <w:proofErr w:type="spellStart"/>
            <w:r>
              <w:t>Neighbourhood</w:t>
            </w:r>
            <w:proofErr w:type="spellEnd"/>
            <w:r>
              <w:t xml:space="preserve"> House (Rockbank South Community Hub)</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stextL675Tables"/>
            </w:pPr>
            <w: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1.20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$1,033,924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$1,033,924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$1,033,924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$1,033,924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$2,246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stextL675Tables"/>
            </w:pPr>
            <w:r>
              <w:lastRenderedPageBreak/>
              <w:t>CI02B</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 xml:space="preserve">Rockbank South </w:t>
            </w:r>
            <w:proofErr w:type="spellStart"/>
            <w:r>
              <w:rPr>
                <w:sz w:val="14"/>
                <w:szCs w:val="14"/>
              </w:rPr>
              <w:t>Neighbourhood</w:t>
            </w:r>
            <w:proofErr w:type="spellEnd"/>
            <w:r>
              <w:rPr>
                <w:sz w:val="14"/>
                <w:szCs w:val="14"/>
              </w:rPr>
              <w:t xml:space="preserve"> House (Rockbank South Community Hub)</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$7,808,215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$7,808,215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$7,808,215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$7,808,215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$16,960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stextL675Tables"/>
            </w:pPr>
            <w:r>
              <w:t>CI03A</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Rockbank Community Centre (Rockbank Major Town Centre)</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1.50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$1,784,602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$1,784,602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55%</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$981,531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$981,531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$2,132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stextL675Tables"/>
            </w:pPr>
            <w:r>
              <w:t>CI04A</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Station Plaza (Rockbank Major Town Centre)</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0.67</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$704,069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$704,069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$704,069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$704,069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$1,529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r>
      <w:tr w:rsidR="003404B2" w:rsidTr="00850F80">
        <w:trPr>
          <w:trHeight w:val="60"/>
        </w:trPr>
        <w:tc>
          <w:tcPr>
            <w:tcW w:w="5702" w:type="dxa"/>
            <w:gridSpan w:val="3"/>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tcPr>
          <w:p w:rsidR="003404B2" w:rsidRDefault="003404B2">
            <w:pPr>
              <w:pStyle w:val="tablebasicTEMPLATESTYLESMASTERTableswithnumbering"/>
            </w:pPr>
            <w:r>
              <w:rPr>
                <w:rFonts w:ascii="VIC" w:hAnsi="VIC" w:cs="VIC"/>
                <w:b/>
                <w:bCs/>
                <w:caps/>
                <w:sz w:val="14"/>
                <w:szCs w:val="14"/>
              </w:rPr>
              <w:t xml:space="preserve">Sub-total community facilities </w:t>
            </w:r>
          </w:p>
        </w:tc>
        <w:tc>
          <w:tcPr>
            <w:tcW w:w="624"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tcPr>
          <w:p w:rsidR="003404B2" w:rsidRDefault="003404B2">
            <w:pPr>
              <w:pStyle w:val="NumbersR675Tables"/>
            </w:pPr>
            <w:r>
              <w:rPr>
                <w:b/>
                <w:bCs/>
              </w:rPr>
              <w:t>4.17</w:t>
            </w:r>
          </w:p>
        </w:tc>
        <w:tc>
          <w:tcPr>
            <w:tcW w:w="959"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tcPr>
          <w:p w:rsidR="003404B2" w:rsidRDefault="003404B2">
            <w:pPr>
              <w:pStyle w:val="NumbersR675Tables"/>
            </w:pPr>
            <w:r>
              <w:rPr>
                <w:b/>
                <w:bCs/>
              </w:rPr>
              <w:t xml:space="preserve"> $4,062,595 </w:t>
            </w:r>
          </w:p>
        </w:tc>
        <w:tc>
          <w:tcPr>
            <w:tcW w:w="1290"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tcPr>
          <w:p w:rsidR="003404B2" w:rsidRDefault="003404B2">
            <w:pPr>
              <w:pStyle w:val="NumbersR675Tables"/>
            </w:pPr>
            <w:r>
              <w:rPr>
                <w:b/>
                <w:bCs/>
              </w:rPr>
              <w:t xml:space="preserve"> $13,900,650 </w:t>
            </w:r>
          </w:p>
        </w:tc>
        <w:tc>
          <w:tcPr>
            <w:tcW w:w="1263"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tcPr>
          <w:p w:rsidR="003404B2" w:rsidRDefault="003404B2">
            <w:pPr>
              <w:pStyle w:val="NumbersR675Tables"/>
            </w:pPr>
            <w:r>
              <w:rPr>
                <w:b/>
                <w:bCs/>
              </w:rPr>
              <w:t xml:space="preserve"> $17,963,245 </w:t>
            </w:r>
          </w:p>
        </w:tc>
        <w:tc>
          <w:tcPr>
            <w:tcW w:w="1160"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tcPr>
          <w:p w:rsidR="003404B2" w:rsidRDefault="003404B2">
            <w:pPr>
              <w:pStyle w:val="NoParagraphStyle"/>
              <w:spacing w:line="240" w:lineRule="auto"/>
              <w:textAlignment w:val="auto"/>
              <w:rPr>
                <w:rFonts w:ascii="Arial" w:hAnsi="Arial" w:cs="Arial"/>
                <w:color w:val="auto"/>
                <w:lang w:val="en-AU"/>
              </w:rPr>
            </w:pPr>
          </w:p>
        </w:tc>
        <w:tc>
          <w:tcPr>
            <w:tcW w:w="1035"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tcPr>
          <w:p w:rsidR="003404B2" w:rsidRDefault="003404B2">
            <w:pPr>
              <w:pStyle w:val="NumbersR675Tables"/>
            </w:pPr>
            <w:r>
              <w:rPr>
                <w:b/>
                <w:bCs/>
              </w:rPr>
              <w:t xml:space="preserve"> $17,160,174 </w:t>
            </w:r>
          </w:p>
        </w:tc>
        <w:tc>
          <w:tcPr>
            <w:tcW w:w="1063"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tcPr>
          <w:p w:rsidR="003404B2" w:rsidRDefault="003404B2">
            <w:pPr>
              <w:pStyle w:val="NumbersR675Tables"/>
            </w:pPr>
            <w:r>
              <w:rPr>
                <w:b/>
                <w:bCs/>
              </w:rPr>
              <w:t xml:space="preserve"> $17,160,174 </w:t>
            </w:r>
          </w:p>
        </w:tc>
        <w:tc>
          <w:tcPr>
            <w:tcW w:w="1118"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tcPr>
          <w:p w:rsidR="003404B2" w:rsidRDefault="003404B2">
            <w:pPr>
              <w:pStyle w:val="NumbersR675Tables"/>
            </w:pPr>
            <w:r>
              <w:rPr>
                <w:b/>
                <w:bCs/>
              </w:rPr>
              <w:t xml:space="preserve"> $- </w:t>
            </w:r>
          </w:p>
        </w:tc>
        <w:tc>
          <w:tcPr>
            <w:tcW w:w="1210"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tcPr>
          <w:p w:rsidR="003404B2" w:rsidRDefault="003404B2">
            <w:pPr>
              <w:pStyle w:val="NumbersR675Tables"/>
            </w:pPr>
            <w:r>
              <w:rPr>
                <w:b/>
                <w:bCs/>
              </w:rPr>
              <w:t xml:space="preserve"> $37,274 </w:t>
            </w:r>
          </w:p>
        </w:tc>
        <w:tc>
          <w:tcPr>
            <w:tcW w:w="1257"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tcPr>
          <w:p w:rsidR="003404B2" w:rsidRDefault="003404B2">
            <w:pPr>
              <w:pStyle w:val="NumbersR675Tables"/>
            </w:pPr>
            <w:r>
              <w:rPr>
                <w:b/>
                <w:bCs/>
              </w:rPr>
              <w:t xml:space="preserve"> $- </w:t>
            </w:r>
          </w:p>
        </w:tc>
      </w:tr>
      <w:tr w:rsidR="003404B2" w:rsidTr="00850F80">
        <w:trPr>
          <w:trHeight w:val="60"/>
        </w:trPr>
        <w:tc>
          <w:tcPr>
            <w:tcW w:w="16681" w:type="dxa"/>
            <w:gridSpan w:val="13"/>
            <w:tcBorders>
              <w:top w:val="single" w:sz="8" w:space="0" w:color="FFFFFF"/>
              <w:left w:val="single" w:sz="8" w:space="0" w:color="FFFFFF"/>
              <w:bottom w:val="single" w:sz="8" w:space="0" w:color="FFFFFF"/>
              <w:right w:val="single" w:sz="8" w:space="0" w:color="FFFFFF"/>
            </w:tcBorders>
            <w:shd w:val="solid" w:color="0059D8" w:fill="auto"/>
            <w:tcMar>
              <w:top w:w="77" w:type="dxa"/>
              <w:left w:w="77" w:type="dxa"/>
              <w:bottom w:w="77" w:type="dxa"/>
              <w:right w:w="77" w:type="dxa"/>
            </w:tcMar>
          </w:tcPr>
          <w:p w:rsidR="003404B2" w:rsidRDefault="003404B2">
            <w:pPr>
              <w:pStyle w:val="CalcofCostsTables"/>
              <w:jc w:val="left"/>
            </w:pPr>
            <w:r>
              <w:rPr>
                <w:rFonts w:ascii="VIC" w:hAnsi="VIC" w:cs="VIC"/>
              </w:rPr>
              <w:t>Sports reserve projects</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AR01A</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Rockbank East Sports Reserve (Rockbank East Community Hub)</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9.99</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$6,947,057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$6,947,057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$6,947,057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$6,947,057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$15,090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AR01B</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stextL675Tables"/>
            </w:pPr>
            <w:r>
              <w:t>Rockbank East Sports Reserve (Rockbank East Community Hub)</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stextL675Tables"/>
            </w:pPr>
            <w: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$5,660,000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$5,660,000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$5,660,000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$5,660,000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$12,294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whiteBOLDCAPSTEMPLATESTYLESMASTERTableswithnumbering"/>
              <w:jc w:val="left"/>
            </w:pPr>
            <w:r>
              <w:rPr>
                <w:rFonts w:ascii="Arial" w:hAnsi="Arial" w:cs="Arial"/>
                <w:b w:val="0"/>
                <w:bCs w:val="0"/>
                <w:color w:val="000000"/>
                <w:sz w:val="14"/>
                <w:szCs w:val="14"/>
              </w:rPr>
              <w:t>AR02A</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stextL675Tables"/>
            </w:pPr>
            <w:r>
              <w:t>Rockbank West Sports Reserve (Rockbank West Community Hub)</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stextL675Tables"/>
            </w:pPr>
            <w: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6.01</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$4,977,334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$4,977,334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$4,977,334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$4,977,334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$10,811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AR02B</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stextL675Tables"/>
            </w:pPr>
            <w:r>
              <w:t>Rockbank West Sports Reserve (Rockbank West Community Hub)</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stextL675Tables"/>
            </w:pPr>
            <w: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$4,170,000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$4,170,000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$4,170,000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$4,170,000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$9,058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AR03A</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stextL675Tables"/>
            </w:pPr>
            <w:r>
              <w:t>Rockbank North Sports Reserve (Rockbank North Community Hub)</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stextL675Tables"/>
            </w:pPr>
            <w: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6.00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$5,547,383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$5,547,383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67%</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$3,698,255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$3,698,255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$8,033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AR03B</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stextL675Tables"/>
            </w:pPr>
            <w:r>
              <w:t>Rockbank North Sports Reserve (Rockbank North Community Hub)</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stextL675Tables"/>
            </w:pPr>
            <w: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$4,170,000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$4,170,000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67%</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$2,780,000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$2,780,000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$6,039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AR04A</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stextL675Tables"/>
            </w:pPr>
            <w:r>
              <w:t>Rockbank South Sports Reserve (Rockbank South Community Hub)</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stextL675Tables"/>
            </w:pPr>
            <w: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7.90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$6,990,764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$6,990,764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$6,990,764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$6,990,764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$15,185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AR04B</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stextL675Tables"/>
            </w:pPr>
            <w:r>
              <w:t>Rockbank South Sports Reserve (Rockbank South Community Hub)</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stextL675Tables"/>
            </w:pPr>
            <w: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$4,170,000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$4,170,000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100%</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$4,170,000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$4,170,000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$9,058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r>
      <w:tr w:rsidR="003404B2" w:rsidTr="00850F80">
        <w:trPr>
          <w:trHeight w:val="60"/>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AR05A</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stextL675Tables"/>
            </w:pPr>
            <w:r>
              <w:t>Rockbank Recreation Centre (Rockbank Major Town Centre)</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stextL675Tables"/>
            </w:pPr>
            <w: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2.00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$2,379,469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$2,379,469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55%</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$1,308,708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$1,308,708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$2,843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r>
      <w:tr w:rsidR="003404B2" w:rsidTr="00850F80">
        <w:trPr>
          <w:trHeight w:val="425"/>
        </w:trPr>
        <w:tc>
          <w:tcPr>
            <w:tcW w:w="16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basicTEMPLATESTYLESMASTERTableswithnumbering"/>
            </w:pPr>
            <w:r>
              <w:rPr>
                <w:sz w:val="14"/>
                <w:szCs w:val="14"/>
              </w:rPr>
              <w:t>AR06B</w:t>
            </w:r>
          </w:p>
        </w:tc>
        <w:tc>
          <w:tcPr>
            <w:tcW w:w="259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stextL675Tables"/>
            </w:pPr>
            <w:r>
              <w:t>Sporting Club (Rockbank South Precinct Structure Plan)</w:t>
            </w:r>
          </w:p>
        </w:tc>
        <w:tc>
          <w:tcPr>
            <w:tcW w:w="1441"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TablestextL675Tables"/>
            </w:pPr>
            <w:r>
              <w:t>Development</w:t>
            </w:r>
          </w:p>
        </w:tc>
        <w:tc>
          <w:tcPr>
            <w:tcW w:w="624"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0.00</w:t>
            </w:r>
          </w:p>
        </w:tc>
        <w:tc>
          <w:tcPr>
            <w:tcW w:w="959"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9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$3,410,000 </w:t>
            </w:r>
          </w:p>
        </w:tc>
        <w:tc>
          <w:tcPr>
            <w:tcW w:w="12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$3,410,000 </w:t>
            </w:r>
          </w:p>
        </w:tc>
        <w:tc>
          <w:tcPr>
            <w:tcW w:w="116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55%</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$1,875,500 </w:t>
            </w:r>
          </w:p>
        </w:tc>
        <w:tc>
          <w:tcPr>
            <w:tcW w:w="10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$1,875,500 </w:t>
            </w:r>
          </w:p>
        </w:tc>
        <w:tc>
          <w:tcPr>
            <w:tcW w:w="1118"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 </w:t>
            </w:r>
          </w:p>
        </w:tc>
        <w:tc>
          <w:tcPr>
            <w:tcW w:w="121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umbersR675Tables"/>
            </w:pPr>
            <w:r>
              <w:t xml:space="preserve"> $4,074 </w:t>
            </w:r>
          </w:p>
        </w:tc>
        <w:tc>
          <w:tcPr>
            <w:tcW w:w="1257"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3404B2" w:rsidRDefault="003404B2">
            <w:pPr>
              <w:pStyle w:val="NoParagraphStyle"/>
              <w:spacing w:line="240" w:lineRule="auto"/>
              <w:textAlignment w:val="auto"/>
              <w:rPr>
                <w:rFonts w:ascii="Arial" w:hAnsi="Arial" w:cs="Arial"/>
                <w:color w:val="auto"/>
                <w:lang w:val="en-AU"/>
              </w:rPr>
            </w:pPr>
          </w:p>
        </w:tc>
      </w:tr>
      <w:tr w:rsidR="003404B2" w:rsidTr="00850F80">
        <w:trPr>
          <w:trHeight w:val="60"/>
        </w:trPr>
        <w:tc>
          <w:tcPr>
            <w:tcW w:w="5702" w:type="dxa"/>
            <w:gridSpan w:val="3"/>
            <w:tcBorders>
              <w:top w:val="single" w:sz="8" w:space="0" w:color="FFFFFF"/>
              <w:left w:val="single" w:sz="8" w:space="0" w:color="FFFFFF"/>
              <w:bottom w:val="single" w:sz="16" w:space="0" w:color="FFFFFF"/>
              <w:right w:val="single" w:sz="8" w:space="0" w:color="FFFFFF"/>
            </w:tcBorders>
            <w:shd w:val="solid" w:color="7FFF00" w:fill="auto"/>
            <w:tcMar>
              <w:top w:w="77" w:type="dxa"/>
              <w:left w:w="77" w:type="dxa"/>
              <w:bottom w:w="77" w:type="dxa"/>
              <w:right w:w="77" w:type="dxa"/>
            </w:tcMar>
          </w:tcPr>
          <w:p w:rsidR="003404B2" w:rsidRDefault="003404B2">
            <w:pPr>
              <w:pStyle w:val="tablebasicTEMPLATESTYLESMASTERTableswithnumbering"/>
            </w:pPr>
            <w:r>
              <w:rPr>
                <w:rFonts w:ascii="VIC" w:hAnsi="VIC" w:cs="VIC"/>
                <w:b/>
                <w:bCs/>
                <w:caps/>
                <w:sz w:val="14"/>
                <w:szCs w:val="14"/>
              </w:rPr>
              <w:t>Sub-total (active recreation development infrastructure projects)</w:t>
            </w:r>
          </w:p>
        </w:tc>
        <w:tc>
          <w:tcPr>
            <w:tcW w:w="624" w:type="dxa"/>
            <w:tcBorders>
              <w:top w:val="single" w:sz="8" w:space="0" w:color="FFFFFF"/>
              <w:left w:val="single" w:sz="8" w:space="0" w:color="FFFFFF"/>
              <w:bottom w:val="single" w:sz="16" w:space="0" w:color="FFFFFF"/>
              <w:right w:val="single" w:sz="8" w:space="0" w:color="FFFFFF"/>
            </w:tcBorders>
            <w:shd w:val="solid" w:color="7FFF00" w:fill="auto"/>
            <w:tcMar>
              <w:top w:w="77" w:type="dxa"/>
              <w:left w:w="77" w:type="dxa"/>
              <w:bottom w:w="77" w:type="dxa"/>
              <w:right w:w="77" w:type="dxa"/>
            </w:tcMar>
          </w:tcPr>
          <w:p w:rsidR="003404B2" w:rsidRDefault="003404B2">
            <w:pPr>
              <w:pStyle w:val="NumbersR675Tables"/>
            </w:pPr>
            <w:r>
              <w:rPr>
                <w:rFonts w:ascii="VIC" w:hAnsi="VIC" w:cs="VIC"/>
                <w:b/>
                <w:bCs/>
              </w:rPr>
              <w:t>31.90</w:t>
            </w:r>
          </w:p>
        </w:tc>
        <w:tc>
          <w:tcPr>
            <w:tcW w:w="959" w:type="dxa"/>
            <w:tcBorders>
              <w:top w:val="single" w:sz="8" w:space="0" w:color="FFFFFF"/>
              <w:left w:val="single" w:sz="8" w:space="0" w:color="FFFFFF"/>
              <w:bottom w:val="single" w:sz="16" w:space="0" w:color="FFFFFF"/>
              <w:right w:val="single" w:sz="8" w:space="0" w:color="FFFFFF"/>
            </w:tcBorders>
            <w:shd w:val="solid" w:color="7FFF00" w:fill="auto"/>
            <w:tcMar>
              <w:top w:w="77" w:type="dxa"/>
              <w:left w:w="77" w:type="dxa"/>
              <w:bottom w:w="77" w:type="dxa"/>
              <w:right w:w="77" w:type="dxa"/>
            </w:tcMar>
          </w:tcPr>
          <w:p w:rsidR="003404B2" w:rsidRDefault="003404B2">
            <w:pPr>
              <w:pStyle w:val="NumbersR675Tables"/>
            </w:pPr>
            <w:r>
              <w:rPr>
                <w:rFonts w:ascii="VIC" w:hAnsi="VIC" w:cs="VIC"/>
                <w:b/>
                <w:bCs/>
              </w:rPr>
              <w:t xml:space="preserve">$26,842,007 </w:t>
            </w:r>
          </w:p>
        </w:tc>
        <w:tc>
          <w:tcPr>
            <w:tcW w:w="1290" w:type="dxa"/>
            <w:tcBorders>
              <w:top w:val="single" w:sz="8" w:space="0" w:color="FFFFFF"/>
              <w:left w:val="single" w:sz="8" w:space="0" w:color="FFFFFF"/>
              <w:bottom w:val="single" w:sz="16" w:space="0" w:color="FFFFFF"/>
              <w:right w:val="single" w:sz="8" w:space="0" w:color="FFFFFF"/>
            </w:tcBorders>
            <w:shd w:val="solid" w:color="7FFF00" w:fill="auto"/>
            <w:tcMar>
              <w:top w:w="77" w:type="dxa"/>
              <w:left w:w="77" w:type="dxa"/>
              <w:bottom w:w="77" w:type="dxa"/>
              <w:right w:w="77" w:type="dxa"/>
            </w:tcMar>
          </w:tcPr>
          <w:p w:rsidR="003404B2" w:rsidRDefault="003404B2">
            <w:pPr>
              <w:pStyle w:val="NumbersR675Tables"/>
            </w:pPr>
            <w:r>
              <w:rPr>
                <w:rFonts w:ascii="VIC" w:hAnsi="VIC" w:cs="VIC"/>
                <w:b/>
                <w:bCs/>
              </w:rPr>
              <w:t xml:space="preserve"> $21,580,000 </w:t>
            </w:r>
          </w:p>
        </w:tc>
        <w:tc>
          <w:tcPr>
            <w:tcW w:w="1263" w:type="dxa"/>
            <w:tcBorders>
              <w:top w:val="single" w:sz="8" w:space="0" w:color="FFFFFF"/>
              <w:left w:val="single" w:sz="8" w:space="0" w:color="FFFFFF"/>
              <w:bottom w:val="single" w:sz="16" w:space="0" w:color="FFFFFF"/>
              <w:right w:val="single" w:sz="8" w:space="0" w:color="FFFFFF"/>
            </w:tcBorders>
            <w:shd w:val="solid" w:color="7FFF00" w:fill="auto"/>
            <w:tcMar>
              <w:top w:w="77" w:type="dxa"/>
              <w:left w:w="77" w:type="dxa"/>
              <w:bottom w:w="77" w:type="dxa"/>
              <w:right w:w="77" w:type="dxa"/>
            </w:tcMar>
          </w:tcPr>
          <w:p w:rsidR="003404B2" w:rsidRDefault="003404B2">
            <w:pPr>
              <w:pStyle w:val="NumbersR675Tables"/>
            </w:pPr>
            <w:r>
              <w:rPr>
                <w:rFonts w:ascii="VIC" w:hAnsi="VIC" w:cs="VIC"/>
                <w:b/>
                <w:bCs/>
              </w:rPr>
              <w:t xml:space="preserve"> $48,422,007 </w:t>
            </w:r>
          </w:p>
        </w:tc>
        <w:tc>
          <w:tcPr>
            <w:tcW w:w="1160" w:type="dxa"/>
            <w:tcBorders>
              <w:top w:val="single" w:sz="8" w:space="0" w:color="FFFFFF"/>
              <w:left w:val="single" w:sz="8" w:space="0" w:color="FFFFFF"/>
              <w:bottom w:val="single" w:sz="16" w:space="0" w:color="FFFFFF"/>
              <w:right w:val="single" w:sz="8" w:space="0" w:color="FFFFFF"/>
            </w:tcBorders>
            <w:shd w:val="solid" w:color="7FFF00" w:fill="auto"/>
            <w:tcMar>
              <w:top w:w="77" w:type="dxa"/>
              <w:left w:w="77" w:type="dxa"/>
              <w:bottom w:w="77" w:type="dxa"/>
              <w:right w:w="77" w:type="dxa"/>
            </w:tcMar>
          </w:tcPr>
          <w:p w:rsidR="003404B2" w:rsidRDefault="003404B2">
            <w:pPr>
              <w:pStyle w:val="NoParagraphStyle"/>
              <w:spacing w:line="240" w:lineRule="auto"/>
              <w:textAlignment w:val="auto"/>
              <w:rPr>
                <w:rFonts w:ascii="Arial" w:hAnsi="Arial" w:cs="Arial"/>
                <w:color w:val="auto"/>
                <w:lang w:val="en-AU"/>
              </w:rPr>
            </w:pPr>
          </w:p>
        </w:tc>
        <w:tc>
          <w:tcPr>
            <w:tcW w:w="1035" w:type="dxa"/>
            <w:tcBorders>
              <w:top w:val="single" w:sz="8" w:space="0" w:color="FFFFFF"/>
              <w:left w:val="single" w:sz="8" w:space="0" w:color="FFFFFF"/>
              <w:bottom w:val="single" w:sz="16" w:space="0" w:color="FFFFFF"/>
              <w:right w:val="single" w:sz="8" w:space="0" w:color="FFFFFF"/>
            </w:tcBorders>
            <w:shd w:val="solid" w:color="7FFF00" w:fill="auto"/>
            <w:tcMar>
              <w:top w:w="77" w:type="dxa"/>
              <w:left w:w="77" w:type="dxa"/>
              <w:bottom w:w="77" w:type="dxa"/>
              <w:right w:w="77" w:type="dxa"/>
            </w:tcMar>
          </w:tcPr>
          <w:p w:rsidR="003404B2" w:rsidRDefault="003404B2">
            <w:pPr>
              <w:pStyle w:val="NumbersR675Tables"/>
            </w:pPr>
            <w:r>
              <w:rPr>
                <w:rFonts w:ascii="VIC" w:hAnsi="VIC" w:cs="VIC"/>
                <w:b/>
                <w:bCs/>
              </w:rPr>
              <w:t xml:space="preserve"> $42,577,619 </w:t>
            </w:r>
          </w:p>
        </w:tc>
        <w:tc>
          <w:tcPr>
            <w:tcW w:w="1063" w:type="dxa"/>
            <w:tcBorders>
              <w:top w:val="single" w:sz="8" w:space="0" w:color="FFFFFF"/>
              <w:left w:val="single" w:sz="8" w:space="0" w:color="FFFFFF"/>
              <w:bottom w:val="single" w:sz="16" w:space="0" w:color="FFFFFF"/>
              <w:right w:val="single" w:sz="8" w:space="0" w:color="FFFFFF"/>
            </w:tcBorders>
            <w:shd w:val="solid" w:color="7FFF00" w:fill="auto"/>
            <w:tcMar>
              <w:top w:w="77" w:type="dxa"/>
              <w:left w:w="77" w:type="dxa"/>
              <w:bottom w:w="77" w:type="dxa"/>
              <w:right w:w="77" w:type="dxa"/>
            </w:tcMar>
          </w:tcPr>
          <w:p w:rsidR="003404B2" w:rsidRDefault="003404B2">
            <w:pPr>
              <w:pStyle w:val="NumbersR675Tables"/>
            </w:pPr>
            <w:r>
              <w:rPr>
                <w:rFonts w:ascii="VIC" w:hAnsi="VIC" w:cs="VIC"/>
                <w:b/>
                <w:bCs/>
              </w:rPr>
              <w:t xml:space="preserve"> $42,577,619 </w:t>
            </w:r>
          </w:p>
        </w:tc>
        <w:tc>
          <w:tcPr>
            <w:tcW w:w="1118" w:type="dxa"/>
            <w:tcBorders>
              <w:top w:val="single" w:sz="8" w:space="0" w:color="FFFFFF"/>
              <w:left w:val="single" w:sz="8" w:space="0" w:color="FFFFFF"/>
              <w:bottom w:val="single" w:sz="16" w:space="0" w:color="FFFFFF"/>
              <w:right w:val="single" w:sz="8" w:space="0" w:color="FFFFFF"/>
            </w:tcBorders>
            <w:shd w:val="solid" w:color="7FFF00" w:fill="auto"/>
            <w:tcMar>
              <w:top w:w="77" w:type="dxa"/>
              <w:left w:w="77" w:type="dxa"/>
              <w:bottom w:w="77" w:type="dxa"/>
              <w:right w:w="77" w:type="dxa"/>
            </w:tcMar>
          </w:tcPr>
          <w:p w:rsidR="003404B2" w:rsidRDefault="003404B2">
            <w:pPr>
              <w:pStyle w:val="NumbersR675Tables"/>
            </w:pPr>
            <w:r>
              <w:rPr>
                <w:rFonts w:ascii="VIC" w:hAnsi="VIC" w:cs="VIC"/>
                <w:b/>
                <w:bCs/>
              </w:rPr>
              <w:t xml:space="preserve"> $- </w:t>
            </w:r>
          </w:p>
        </w:tc>
        <w:tc>
          <w:tcPr>
            <w:tcW w:w="1210" w:type="dxa"/>
            <w:tcBorders>
              <w:top w:val="single" w:sz="8" w:space="0" w:color="FFFFFF"/>
              <w:left w:val="single" w:sz="8" w:space="0" w:color="FFFFFF"/>
              <w:bottom w:val="single" w:sz="16" w:space="0" w:color="FFFFFF"/>
              <w:right w:val="single" w:sz="8" w:space="0" w:color="FFFFFF"/>
            </w:tcBorders>
            <w:shd w:val="solid" w:color="7FFF00" w:fill="auto"/>
            <w:tcMar>
              <w:top w:w="77" w:type="dxa"/>
              <w:left w:w="77" w:type="dxa"/>
              <w:bottom w:w="77" w:type="dxa"/>
              <w:right w:w="77" w:type="dxa"/>
            </w:tcMar>
          </w:tcPr>
          <w:p w:rsidR="003404B2" w:rsidRDefault="003404B2">
            <w:pPr>
              <w:pStyle w:val="NumbersR675Tables"/>
            </w:pPr>
            <w:r>
              <w:rPr>
                <w:rFonts w:ascii="VIC" w:hAnsi="VIC" w:cs="VIC"/>
                <w:b/>
                <w:bCs/>
              </w:rPr>
              <w:t xml:space="preserve"> $92,484 </w:t>
            </w:r>
          </w:p>
        </w:tc>
        <w:tc>
          <w:tcPr>
            <w:tcW w:w="1257" w:type="dxa"/>
            <w:tcBorders>
              <w:top w:val="single" w:sz="8" w:space="0" w:color="FFFFFF"/>
              <w:left w:val="single" w:sz="8" w:space="0" w:color="FFFFFF"/>
              <w:bottom w:val="single" w:sz="16" w:space="0" w:color="FFFFFF"/>
              <w:right w:val="single" w:sz="8" w:space="0" w:color="FFFFFF"/>
            </w:tcBorders>
            <w:shd w:val="solid" w:color="7FFF00" w:fill="auto"/>
            <w:tcMar>
              <w:top w:w="77" w:type="dxa"/>
              <w:left w:w="77" w:type="dxa"/>
              <w:bottom w:w="77" w:type="dxa"/>
              <w:right w:w="77" w:type="dxa"/>
            </w:tcMar>
          </w:tcPr>
          <w:p w:rsidR="003404B2" w:rsidRDefault="003404B2">
            <w:pPr>
              <w:pStyle w:val="NumbersR675Tables"/>
            </w:pPr>
            <w:r>
              <w:rPr>
                <w:rFonts w:ascii="VIC" w:hAnsi="VIC" w:cs="VIC"/>
                <w:b/>
                <w:bCs/>
              </w:rPr>
              <w:t xml:space="preserve"> $- </w:t>
            </w:r>
          </w:p>
        </w:tc>
      </w:tr>
      <w:tr w:rsidR="003404B2" w:rsidTr="00850F80">
        <w:trPr>
          <w:trHeight w:val="60"/>
        </w:trPr>
        <w:tc>
          <w:tcPr>
            <w:tcW w:w="16681" w:type="dxa"/>
            <w:gridSpan w:val="13"/>
            <w:tcBorders>
              <w:top w:val="single" w:sz="16" w:space="0" w:color="FFFFFF"/>
              <w:left w:val="single" w:sz="8" w:space="0" w:color="FFFFFF"/>
              <w:bottom w:val="single" w:sz="8" w:space="0" w:color="FFFFFF"/>
              <w:right w:val="single" w:sz="8" w:space="0" w:color="FFFFFF"/>
            </w:tcBorders>
            <w:shd w:val="solid" w:color="000098" w:fill="auto"/>
            <w:tcMar>
              <w:top w:w="77" w:type="dxa"/>
              <w:left w:w="77" w:type="dxa"/>
              <w:bottom w:w="77" w:type="dxa"/>
              <w:right w:w="77" w:type="dxa"/>
            </w:tcMar>
          </w:tcPr>
          <w:p w:rsidR="003404B2" w:rsidRDefault="003404B2">
            <w:pPr>
              <w:pStyle w:val="tablebasicTEMPLATESTYLESMASTERTableswithnumbering"/>
            </w:pPr>
            <w:r w:rsidRPr="003404B2">
              <w:rPr>
                <w:rFonts w:ascii="VIC" w:hAnsi="VIC" w:cs="VIC"/>
                <w:b/>
                <w:bCs/>
                <w:caps/>
                <w:outline/>
                <w:sz w:val="14"/>
                <w:szCs w:val="14"/>
                <w14:textOutline w14:w="9525" w14:cap="flat" w14:cmpd="sng" w14:algn="ctr">
                  <w14:solidFill>
                    <w14:srgbClr w14:val="000000"/>
                  </w14:solidFill>
                  <w14:prstDash w14:val="solid"/>
                  <w14:round/>
                </w14:textOutline>
                <w14:textFill>
                  <w14:noFill/>
                </w14:textFill>
              </w:rPr>
              <w:t>Summary</w:t>
            </w:r>
          </w:p>
        </w:tc>
      </w:tr>
      <w:tr w:rsidR="003404B2" w:rsidTr="00850F80">
        <w:trPr>
          <w:trHeight w:val="60"/>
        </w:trPr>
        <w:tc>
          <w:tcPr>
            <w:tcW w:w="6326" w:type="dxa"/>
            <w:gridSpan w:val="4"/>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tcPr>
          <w:p w:rsidR="003404B2" w:rsidRDefault="003404B2">
            <w:pPr>
              <w:pStyle w:val="tablebasicTEMPLATESTYLESMASTERTableswithnumbering"/>
            </w:pPr>
            <w:r>
              <w:rPr>
                <w:rFonts w:ascii="VIC" w:hAnsi="VIC" w:cs="VIC"/>
                <w:b/>
                <w:bCs/>
                <w:caps/>
                <w:sz w:val="14"/>
                <w:szCs w:val="14"/>
              </w:rPr>
              <w:t>Total cost all projects</w:t>
            </w:r>
          </w:p>
        </w:tc>
        <w:tc>
          <w:tcPr>
            <w:tcW w:w="959"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tcPr>
          <w:p w:rsidR="003404B2" w:rsidRDefault="003404B2">
            <w:pPr>
              <w:pStyle w:val="NumbersR675Tables"/>
            </w:pPr>
            <w:r>
              <w:rPr>
                <w:rFonts w:ascii="VIC" w:hAnsi="VIC" w:cs="VIC"/>
                <w:b/>
                <w:bCs/>
              </w:rPr>
              <w:t>$54,571,266</w:t>
            </w:r>
          </w:p>
        </w:tc>
        <w:tc>
          <w:tcPr>
            <w:tcW w:w="1290"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tcPr>
          <w:p w:rsidR="003404B2" w:rsidRDefault="003404B2">
            <w:pPr>
              <w:pStyle w:val="NumbersR675Tables"/>
            </w:pPr>
            <w:r>
              <w:rPr>
                <w:rFonts w:ascii="VIC" w:hAnsi="VIC" w:cs="VIC"/>
                <w:b/>
                <w:bCs/>
              </w:rPr>
              <w:t xml:space="preserve"> $127,576,211 </w:t>
            </w:r>
          </w:p>
        </w:tc>
        <w:tc>
          <w:tcPr>
            <w:tcW w:w="1263"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tcPr>
          <w:p w:rsidR="003404B2" w:rsidRDefault="003404B2">
            <w:pPr>
              <w:pStyle w:val="NumbersR675Tables"/>
            </w:pPr>
            <w:r>
              <w:rPr>
                <w:rFonts w:ascii="VIC" w:hAnsi="VIC" w:cs="VIC"/>
                <w:b/>
                <w:bCs/>
              </w:rPr>
              <w:t xml:space="preserve"> $182,147,477 </w:t>
            </w:r>
          </w:p>
        </w:tc>
        <w:tc>
          <w:tcPr>
            <w:tcW w:w="1160"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tcPr>
          <w:p w:rsidR="003404B2" w:rsidRDefault="003404B2">
            <w:pPr>
              <w:pStyle w:val="NoParagraphStyle"/>
              <w:spacing w:line="240" w:lineRule="auto"/>
              <w:textAlignment w:val="auto"/>
              <w:rPr>
                <w:rFonts w:ascii="Arial" w:hAnsi="Arial" w:cs="Arial"/>
                <w:color w:val="auto"/>
                <w:lang w:val="en-AU"/>
              </w:rPr>
            </w:pPr>
          </w:p>
        </w:tc>
        <w:tc>
          <w:tcPr>
            <w:tcW w:w="1035"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tcPr>
          <w:p w:rsidR="003404B2" w:rsidRDefault="003404B2">
            <w:pPr>
              <w:pStyle w:val="NumbersR675Tables"/>
            </w:pPr>
            <w:r>
              <w:rPr>
                <w:rFonts w:ascii="VIC" w:hAnsi="VIC" w:cs="VIC"/>
                <w:b/>
                <w:bCs/>
              </w:rPr>
              <w:t xml:space="preserve"> $144,387,701 </w:t>
            </w:r>
          </w:p>
        </w:tc>
        <w:tc>
          <w:tcPr>
            <w:tcW w:w="1063"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tcPr>
          <w:p w:rsidR="003404B2" w:rsidRDefault="003404B2">
            <w:pPr>
              <w:pStyle w:val="NumbersR675Tables"/>
            </w:pPr>
            <w:r>
              <w:rPr>
                <w:rFonts w:ascii="VIC" w:hAnsi="VIC" w:cs="VIC"/>
                <w:b/>
                <w:bCs/>
              </w:rPr>
              <w:t xml:space="preserve"> $143,884,170 </w:t>
            </w:r>
          </w:p>
        </w:tc>
        <w:tc>
          <w:tcPr>
            <w:tcW w:w="1118"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tcPr>
          <w:p w:rsidR="003404B2" w:rsidRDefault="003404B2">
            <w:pPr>
              <w:pStyle w:val="NumbersR675Tables"/>
            </w:pPr>
            <w:r>
              <w:rPr>
                <w:rFonts w:ascii="VIC" w:hAnsi="VIC" w:cs="VIC"/>
                <w:b/>
                <w:bCs/>
              </w:rPr>
              <w:t xml:space="preserve"> $503,531 </w:t>
            </w:r>
          </w:p>
        </w:tc>
        <w:tc>
          <w:tcPr>
            <w:tcW w:w="1210"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tcPr>
          <w:p w:rsidR="003404B2" w:rsidRDefault="003404B2">
            <w:pPr>
              <w:pStyle w:val="NoParagraphStyle"/>
              <w:spacing w:line="240" w:lineRule="auto"/>
              <w:textAlignment w:val="auto"/>
              <w:rPr>
                <w:rFonts w:ascii="Arial" w:hAnsi="Arial" w:cs="Arial"/>
                <w:color w:val="auto"/>
                <w:lang w:val="en-AU"/>
              </w:rPr>
            </w:pPr>
          </w:p>
        </w:tc>
        <w:tc>
          <w:tcPr>
            <w:tcW w:w="1257"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tcPr>
          <w:p w:rsidR="003404B2" w:rsidRDefault="003404B2">
            <w:pPr>
              <w:pStyle w:val="NoParagraphStyle"/>
              <w:spacing w:line="240" w:lineRule="auto"/>
              <w:textAlignment w:val="auto"/>
              <w:rPr>
                <w:rFonts w:ascii="Arial" w:hAnsi="Arial" w:cs="Arial"/>
                <w:color w:val="auto"/>
                <w:lang w:val="en-AU"/>
              </w:rPr>
            </w:pPr>
          </w:p>
        </w:tc>
      </w:tr>
      <w:tr w:rsidR="003404B2" w:rsidTr="00850F80">
        <w:trPr>
          <w:trHeight w:val="249"/>
        </w:trPr>
        <w:tc>
          <w:tcPr>
            <w:tcW w:w="14214" w:type="dxa"/>
            <w:gridSpan w:val="11"/>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tcPr>
          <w:p w:rsidR="003404B2" w:rsidRDefault="003404B2">
            <w:pPr>
              <w:pStyle w:val="tablebasicTEMPLATESTYLESMASTERTableswithnumbering"/>
            </w:pPr>
            <w:r>
              <w:rPr>
                <w:rFonts w:ascii="VIC" w:hAnsi="VIC" w:cs="VIC"/>
                <w:b/>
                <w:bCs/>
                <w:caps/>
                <w:sz w:val="14"/>
                <w:szCs w:val="14"/>
              </w:rPr>
              <w:t>Total development infrastructure levy per NDA</w:t>
            </w:r>
          </w:p>
        </w:tc>
        <w:tc>
          <w:tcPr>
            <w:tcW w:w="1210"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tcPr>
          <w:p w:rsidR="003404B2" w:rsidRDefault="003404B2">
            <w:pPr>
              <w:pStyle w:val="NumbersR675Tables"/>
            </w:pPr>
            <w:r>
              <w:rPr>
                <w:rFonts w:ascii="VIC" w:hAnsi="VIC" w:cs="VIC"/>
                <w:b/>
                <w:bCs/>
              </w:rPr>
              <w:t xml:space="preserve"> $312,535 </w:t>
            </w:r>
          </w:p>
        </w:tc>
        <w:tc>
          <w:tcPr>
            <w:tcW w:w="1257"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tcPr>
          <w:p w:rsidR="003404B2" w:rsidRDefault="003404B2">
            <w:pPr>
              <w:pStyle w:val="NumbersR675Tables"/>
            </w:pPr>
            <w:r>
              <w:rPr>
                <w:rFonts w:ascii="VIC" w:hAnsi="VIC" w:cs="VIC"/>
                <w:b/>
                <w:bCs/>
              </w:rPr>
              <w:t xml:space="preserve"> $182,777 </w:t>
            </w:r>
          </w:p>
        </w:tc>
      </w:tr>
    </w:tbl>
    <w:p w:rsidR="003404B2" w:rsidRDefault="003404B2" w:rsidP="003404B2">
      <w:pPr>
        <w:pStyle w:val="BodyContent"/>
        <w:ind w:left="0"/>
      </w:pPr>
    </w:p>
    <w:p w:rsidR="003404B2" w:rsidRDefault="003404B2" w:rsidP="007A23C8">
      <w:pPr>
        <w:pStyle w:val="Caption"/>
      </w:pPr>
      <w:r>
        <w:lastRenderedPageBreak/>
        <w:t xml:space="preserve"> </w:t>
      </w:r>
      <w:bookmarkStart w:id="33" w:name="_Toc467676226"/>
      <w:r w:rsidR="007A23C8">
        <w:t xml:space="preserve">Table </w:t>
      </w:r>
      <w:fldSimple w:instr=" SEQ Table \* ARABIC ">
        <w:r w:rsidR="007A23C8">
          <w:rPr>
            <w:noProof/>
          </w:rPr>
          <w:t>11</w:t>
        </w:r>
      </w:fldSimple>
      <w:r w:rsidR="007A23C8">
        <w:t xml:space="preserve"> – Infrastructure project timing &amp; calculation of costs – </w:t>
      </w:r>
      <w:r>
        <w:t>Community infrastructure levy (CIL)</w:t>
      </w:r>
      <w:bookmarkEnd w:id="33"/>
    </w:p>
    <w:tbl>
      <w:tblPr>
        <w:tblW w:w="5518" w:type="pct"/>
        <w:tblInd w:w="-719" w:type="dxa"/>
        <w:tblLayout w:type="fixed"/>
        <w:tblCellMar>
          <w:left w:w="0" w:type="dxa"/>
          <w:right w:w="0" w:type="dxa"/>
        </w:tblCellMar>
        <w:tblLook w:val="0000" w:firstRow="0" w:lastRow="0" w:firstColumn="0" w:lastColumn="0" w:noHBand="0" w:noVBand="0"/>
      </w:tblPr>
      <w:tblGrid>
        <w:gridCol w:w="996"/>
        <w:gridCol w:w="1416"/>
        <w:gridCol w:w="992"/>
        <w:gridCol w:w="707"/>
        <w:gridCol w:w="745"/>
        <w:gridCol w:w="1156"/>
        <w:gridCol w:w="1362"/>
        <w:gridCol w:w="711"/>
        <w:gridCol w:w="1271"/>
      </w:tblGrid>
      <w:tr w:rsidR="008B2C3A" w:rsidTr="008B2C3A">
        <w:trPr>
          <w:trHeight w:val="1118"/>
          <w:tblHeader/>
        </w:trPr>
        <w:tc>
          <w:tcPr>
            <w:tcW w:w="532" w:type="pct"/>
            <w:tcBorders>
              <w:top w:val="single" w:sz="8" w:space="0" w:color="FFFFFF"/>
              <w:left w:val="single" w:sz="8" w:space="0" w:color="FFFFFF"/>
              <w:bottom w:val="single" w:sz="8" w:space="0" w:color="FFFFFF"/>
              <w:right w:val="single" w:sz="8" w:space="0" w:color="FFFFFF"/>
            </w:tcBorders>
            <w:shd w:val="solid" w:color="514C51" w:fill="auto"/>
            <w:tcMar>
              <w:top w:w="80" w:type="dxa"/>
              <w:left w:w="80" w:type="dxa"/>
              <w:bottom w:w="80" w:type="dxa"/>
              <w:right w:w="80" w:type="dxa"/>
            </w:tcMar>
          </w:tcPr>
          <w:p w:rsidR="003404B2" w:rsidRDefault="003404B2">
            <w:pPr>
              <w:pStyle w:val="DCPTable-Heading-whiteTables"/>
            </w:pPr>
            <w:r>
              <w:rPr>
                <w:rFonts w:ascii="VIC SemiBold" w:hAnsi="VIC SemiBold" w:cs="VIC SemiBold"/>
              </w:rPr>
              <w:t>DCP Project No.</w:t>
            </w:r>
          </w:p>
        </w:tc>
        <w:tc>
          <w:tcPr>
            <w:tcW w:w="757" w:type="pct"/>
            <w:tcBorders>
              <w:top w:val="single" w:sz="8" w:space="0" w:color="FFFFFF"/>
              <w:left w:val="single" w:sz="8" w:space="0" w:color="FFFFFF"/>
              <w:bottom w:val="single" w:sz="8" w:space="0" w:color="FFFFFF"/>
              <w:right w:val="single" w:sz="8" w:space="0" w:color="FFFFFF"/>
            </w:tcBorders>
            <w:shd w:val="solid" w:color="514C51" w:fill="auto"/>
            <w:tcMar>
              <w:top w:w="80" w:type="dxa"/>
              <w:left w:w="80" w:type="dxa"/>
              <w:bottom w:w="80" w:type="dxa"/>
              <w:right w:w="80" w:type="dxa"/>
            </w:tcMar>
          </w:tcPr>
          <w:p w:rsidR="003404B2" w:rsidRDefault="003404B2">
            <w:pPr>
              <w:pStyle w:val="DCPTable-Heading-whiteTables"/>
            </w:pPr>
            <w:r>
              <w:rPr>
                <w:rFonts w:ascii="VIC SemiBold" w:hAnsi="VIC SemiBold" w:cs="VIC SemiBold"/>
              </w:rPr>
              <w:t>Project</w:t>
            </w:r>
          </w:p>
        </w:tc>
        <w:tc>
          <w:tcPr>
            <w:tcW w:w="530" w:type="pct"/>
            <w:tcBorders>
              <w:top w:val="single" w:sz="8" w:space="0" w:color="FFFFFF"/>
              <w:left w:val="single" w:sz="8" w:space="0" w:color="FFFFFF"/>
              <w:bottom w:val="single" w:sz="8" w:space="0" w:color="FFFFFF"/>
              <w:right w:val="single" w:sz="8" w:space="0" w:color="FFFFFF"/>
            </w:tcBorders>
            <w:shd w:val="solid" w:color="514C51" w:fill="auto"/>
            <w:tcMar>
              <w:top w:w="80" w:type="dxa"/>
              <w:left w:w="80" w:type="dxa"/>
              <w:bottom w:w="80" w:type="dxa"/>
              <w:right w:w="80" w:type="dxa"/>
            </w:tcMar>
          </w:tcPr>
          <w:p w:rsidR="003404B2" w:rsidRDefault="003404B2">
            <w:pPr>
              <w:pStyle w:val="DCPTable-Heading-whiteTables"/>
            </w:pPr>
            <w:r>
              <w:rPr>
                <w:rFonts w:ascii="VIC SemiBold" w:hAnsi="VIC SemiBold" w:cs="VIC SemiBold"/>
              </w:rPr>
              <w:t>Infrastructure Category</w:t>
            </w:r>
          </w:p>
        </w:tc>
        <w:tc>
          <w:tcPr>
            <w:tcW w:w="378" w:type="pct"/>
            <w:tcBorders>
              <w:top w:val="single" w:sz="8" w:space="0" w:color="FFFFFF"/>
              <w:left w:val="single" w:sz="8" w:space="0" w:color="FFFFFF"/>
              <w:bottom w:val="single" w:sz="8" w:space="0" w:color="FFFFFF"/>
              <w:right w:val="single" w:sz="8" w:space="0" w:color="FFFFFF"/>
            </w:tcBorders>
            <w:shd w:val="solid" w:color="514C51" w:fill="auto"/>
            <w:tcMar>
              <w:top w:w="80" w:type="dxa"/>
              <w:left w:w="80" w:type="dxa"/>
              <w:bottom w:w="80" w:type="dxa"/>
              <w:right w:w="80" w:type="dxa"/>
            </w:tcMar>
          </w:tcPr>
          <w:p w:rsidR="003404B2" w:rsidRDefault="003404B2">
            <w:pPr>
              <w:pStyle w:val="DCPTable-Heading-whiteTables"/>
            </w:pPr>
            <w:r>
              <w:rPr>
                <w:rFonts w:ascii="VIC SemiBold" w:hAnsi="VIC SemiBold" w:cs="VIC SemiBold"/>
              </w:rPr>
              <w:t>Land Area Ha</w:t>
            </w:r>
          </w:p>
        </w:tc>
        <w:tc>
          <w:tcPr>
            <w:tcW w:w="398" w:type="pct"/>
            <w:tcBorders>
              <w:top w:val="single" w:sz="8" w:space="0" w:color="FFFFFF"/>
              <w:left w:val="single" w:sz="8" w:space="0" w:color="FFFFFF"/>
              <w:bottom w:val="single" w:sz="8" w:space="0" w:color="FFFFFF"/>
              <w:right w:val="single" w:sz="8" w:space="0" w:color="FFFFFF"/>
            </w:tcBorders>
            <w:shd w:val="solid" w:color="514C51" w:fill="auto"/>
            <w:tcMar>
              <w:top w:w="80" w:type="dxa"/>
              <w:left w:w="80" w:type="dxa"/>
              <w:bottom w:w="80" w:type="dxa"/>
              <w:right w:w="80" w:type="dxa"/>
            </w:tcMar>
          </w:tcPr>
          <w:p w:rsidR="003404B2" w:rsidRDefault="003404B2">
            <w:pPr>
              <w:pStyle w:val="DCPTable-Heading-whiteTables"/>
            </w:pPr>
            <w:r>
              <w:rPr>
                <w:rFonts w:ascii="VIC SemiBold" w:hAnsi="VIC SemiBold" w:cs="VIC SemiBold"/>
              </w:rPr>
              <w:t xml:space="preserve"> Estimated Project Cost: Land </w:t>
            </w:r>
          </w:p>
        </w:tc>
        <w:tc>
          <w:tcPr>
            <w:tcW w:w="618" w:type="pct"/>
            <w:tcBorders>
              <w:top w:val="single" w:sz="8" w:space="0" w:color="FFFFFF"/>
              <w:left w:val="single" w:sz="8" w:space="0" w:color="FFFFFF"/>
              <w:bottom w:val="single" w:sz="8" w:space="0" w:color="FFFFFF"/>
              <w:right w:val="single" w:sz="8" w:space="0" w:color="FFFFFF"/>
            </w:tcBorders>
            <w:shd w:val="solid" w:color="514C51" w:fill="auto"/>
            <w:tcMar>
              <w:top w:w="80" w:type="dxa"/>
              <w:left w:w="80" w:type="dxa"/>
              <w:bottom w:w="80" w:type="dxa"/>
              <w:right w:w="80" w:type="dxa"/>
            </w:tcMar>
          </w:tcPr>
          <w:p w:rsidR="003404B2" w:rsidRDefault="003404B2">
            <w:pPr>
              <w:pStyle w:val="DCPTable-Heading-whiteTables"/>
            </w:pPr>
            <w:r>
              <w:rPr>
                <w:rFonts w:ascii="VIC SemiBold" w:hAnsi="VIC SemiBold" w:cs="VIC SemiBold"/>
              </w:rPr>
              <w:t xml:space="preserve"> Estimated Project Cost: Construction </w:t>
            </w:r>
          </w:p>
        </w:tc>
        <w:tc>
          <w:tcPr>
            <w:tcW w:w="728" w:type="pct"/>
            <w:tcBorders>
              <w:top w:val="single" w:sz="8" w:space="0" w:color="FFFFFF"/>
              <w:left w:val="single" w:sz="8" w:space="0" w:color="FFFFFF"/>
              <w:bottom w:val="single" w:sz="8" w:space="0" w:color="FFFFFF"/>
              <w:right w:val="single" w:sz="8" w:space="0" w:color="FFFFFF"/>
            </w:tcBorders>
            <w:shd w:val="solid" w:color="514C51" w:fill="auto"/>
            <w:tcMar>
              <w:top w:w="80" w:type="dxa"/>
              <w:left w:w="80" w:type="dxa"/>
              <w:bottom w:w="80" w:type="dxa"/>
              <w:right w:w="80" w:type="dxa"/>
            </w:tcMar>
          </w:tcPr>
          <w:p w:rsidR="003404B2" w:rsidRDefault="003404B2">
            <w:pPr>
              <w:pStyle w:val="DCPTable-Heading-whiteTables"/>
            </w:pPr>
            <w:r>
              <w:rPr>
                <w:rFonts w:ascii="VIC SemiBold" w:hAnsi="VIC SemiBold" w:cs="VIC SemiBold"/>
              </w:rPr>
              <w:t xml:space="preserve"> Total Estimated Project Cost: Land &amp; Construction </w:t>
            </w:r>
          </w:p>
        </w:tc>
        <w:tc>
          <w:tcPr>
            <w:tcW w:w="380" w:type="pct"/>
            <w:tcBorders>
              <w:top w:val="single" w:sz="8" w:space="0" w:color="FFFFFF"/>
              <w:left w:val="single" w:sz="8" w:space="0" w:color="FFFFFF"/>
              <w:bottom w:val="single" w:sz="8" w:space="0" w:color="FFFFFF"/>
              <w:right w:val="single" w:sz="8" w:space="0" w:color="FFFFFF"/>
            </w:tcBorders>
            <w:shd w:val="solid" w:color="514C51" w:fill="auto"/>
            <w:tcMar>
              <w:top w:w="80" w:type="dxa"/>
              <w:left w:w="80" w:type="dxa"/>
              <w:bottom w:w="80" w:type="dxa"/>
              <w:right w:w="80" w:type="dxa"/>
            </w:tcMar>
          </w:tcPr>
          <w:p w:rsidR="003404B2" w:rsidRDefault="003404B2">
            <w:pPr>
              <w:pStyle w:val="DCPTable-Heading-whiteTables"/>
            </w:pPr>
            <w:r>
              <w:rPr>
                <w:rFonts w:ascii="VIC SemiBold" w:hAnsi="VIC SemiBold" w:cs="VIC SemiBold"/>
              </w:rPr>
              <w:t>% Apportioned to DCP (Internal Use)</w:t>
            </w:r>
          </w:p>
        </w:tc>
        <w:tc>
          <w:tcPr>
            <w:tcW w:w="679" w:type="pct"/>
            <w:tcBorders>
              <w:top w:val="single" w:sz="8" w:space="0" w:color="FFFFFF"/>
              <w:left w:val="single" w:sz="8" w:space="0" w:color="FFFFFF"/>
              <w:bottom w:val="single" w:sz="8" w:space="0" w:color="FFFFFF"/>
              <w:right w:val="single" w:sz="8" w:space="0" w:color="FFFFFF"/>
            </w:tcBorders>
            <w:shd w:val="solid" w:color="514C51" w:fill="auto"/>
            <w:tcMar>
              <w:top w:w="80" w:type="dxa"/>
              <w:left w:w="80" w:type="dxa"/>
              <w:bottom w:w="80" w:type="dxa"/>
              <w:right w:w="80" w:type="dxa"/>
            </w:tcMar>
          </w:tcPr>
          <w:p w:rsidR="003404B2" w:rsidRDefault="003404B2">
            <w:pPr>
              <w:pStyle w:val="DCPTable-Heading-whiteTables"/>
            </w:pPr>
            <w:r>
              <w:rPr>
                <w:rFonts w:ascii="VIC SemiBold" w:hAnsi="VIC SemiBold" w:cs="VIC SemiBold"/>
              </w:rPr>
              <w:t xml:space="preserve"> Total cost attributed </w:t>
            </w:r>
            <w:r>
              <w:rPr>
                <w:rFonts w:ascii="VIC SemiBold" w:hAnsi="VIC SemiBold" w:cs="VIC SemiBold"/>
              </w:rPr>
              <w:br/>
              <w:t xml:space="preserve">to DCP </w:t>
            </w:r>
          </w:p>
        </w:tc>
      </w:tr>
      <w:tr w:rsidR="003404B2" w:rsidTr="008B2C3A">
        <w:trPr>
          <w:trHeight w:val="60"/>
        </w:trPr>
        <w:tc>
          <w:tcPr>
            <w:tcW w:w="5000" w:type="pct"/>
            <w:gridSpan w:val="9"/>
            <w:tcBorders>
              <w:top w:val="single" w:sz="8" w:space="0" w:color="FFFFFF"/>
              <w:left w:val="single" w:sz="8" w:space="0" w:color="FFFFFF"/>
              <w:bottom w:val="single" w:sz="8" w:space="0" w:color="FFFFFF"/>
              <w:right w:val="single" w:sz="8" w:space="0" w:color="FFFFFF"/>
            </w:tcBorders>
            <w:shd w:val="solid" w:color="0059D8" w:fill="auto"/>
            <w:tcMar>
              <w:top w:w="80" w:type="dxa"/>
              <w:left w:w="80" w:type="dxa"/>
              <w:bottom w:w="80" w:type="dxa"/>
              <w:right w:w="80" w:type="dxa"/>
            </w:tcMar>
          </w:tcPr>
          <w:p w:rsidR="003404B2" w:rsidRDefault="003404B2">
            <w:pPr>
              <w:pStyle w:val="TableBodyTables"/>
            </w:pPr>
            <w:r w:rsidRPr="003404B2">
              <w:rPr>
                <w:rFonts w:ascii="VIC" w:hAnsi="VIC" w:cs="VIC"/>
                <w:b/>
                <w:bCs/>
                <w:caps/>
                <w:outline/>
                <w14:textOutline w14:w="9525" w14:cap="flat" w14:cmpd="sng" w14:algn="ctr">
                  <w14:solidFill>
                    <w14:srgbClr w14:val="000000"/>
                  </w14:solidFill>
                  <w14:prstDash w14:val="solid"/>
                  <w14:round/>
                </w14:textOutline>
                <w14:textFill>
                  <w14:noFill/>
                </w14:textFill>
              </w:rPr>
              <w:t>Community facilities</w:t>
            </w:r>
          </w:p>
        </w:tc>
      </w:tr>
      <w:tr w:rsidR="008B2C3A" w:rsidTr="008B2C3A">
        <w:trPr>
          <w:trHeight w:val="60"/>
        </w:trPr>
        <w:tc>
          <w:tcPr>
            <w:tcW w:w="53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AR01C</w:t>
            </w:r>
          </w:p>
        </w:tc>
        <w:tc>
          <w:tcPr>
            <w:tcW w:w="75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Rockbank East Sports Reserve (Rockbank East Community Hub)</w:t>
            </w:r>
          </w:p>
        </w:tc>
        <w:tc>
          <w:tcPr>
            <w:tcW w:w="53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Community</w:t>
            </w:r>
          </w:p>
        </w:tc>
        <w:tc>
          <w:tcPr>
            <w:tcW w:w="37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227" w:type="dxa"/>
            </w:tcMar>
          </w:tcPr>
          <w:p w:rsidR="003404B2" w:rsidRDefault="003404B2">
            <w:pPr>
              <w:pStyle w:val="NumbersR8Tables"/>
            </w:pPr>
            <w:r>
              <w:t>0.00</w:t>
            </w:r>
          </w:p>
        </w:tc>
        <w:tc>
          <w:tcPr>
            <w:tcW w:w="39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227" w:type="dxa"/>
            </w:tcMar>
          </w:tcPr>
          <w:p w:rsidR="003404B2" w:rsidRDefault="003404B2">
            <w:pPr>
              <w:pStyle w:val="NumbersR8Tables"/>
            </w:pPr>
            <w:r>
              <w:t xml:space="preserve"> $- </w:t>
            </w:r>
          </w:p>
        </w:tc>
        <w:tc>
          <w:tcPr>
            <w:tcW w:w="61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227" w:type="dxa"/>
            </w:tcMar>
          </w:tcPr>
          <w:p w:rsidR="003404B2" w:rsidRDefault="003404B2">
            <w:pPr>
              <w:pStyle w:val="NumbersR8Tables"/>
            </w:pPr>
            <w:r>
              <w:t xml:space="preserve"> $2,900,000 </w:t>
            </w:r>
          </w:p>
        </w:tc>
        <w:tc>
          <w:tcPr>
            <w:tcW w:w="72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227" w:type="dxa"/>
            </w:tcMar>
          </w:tcPr>
          <w:p w:rsidR="003404B2" w:rsidRDefault="003404B2">
            <w:pPr>
              <w:pStyle w:val="NumbersR8Tables"/>
            </w:pPr>
            <w:r>
              <w:t xml:space="preserve"> $2,900,000 </w:t>
            </w:r>
          </w:p>
        </w:tc>
        <w:tc>
          <w:tcPr>
            <w:tcW w:w="38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227" w:type="dxa"/>
            </w:tcMar>
          </w:tcPr>
          <w:p w:rsidR="003404B2" w:rsidRDefault="003404B2">
            <w:pPr>
              <w:pStyle w:val="NumbersR8Tables"/>
            </w:pPr>
            <w:r>
              <w:t>100%</w:t>
            </w:r>
          </w:p>
        </w:tc>
        <w:tc>
          <w:tcPr>
            <w:tcW w:w="679"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227" w:type="dxa"/>
            </w:tcMar>
          </w:tcPr>
          <w:p w:rsidR="003404B2" w:rsidRDefault="003404B2">
            <w:pPr>
              <w:pStyle w:val="NumbersR8Tables"/>
            </w:pPr>
            <w:r>
              <w:t xml:space="preserve"> $2,900,000 </w:t>
            </w:r>
          </w:p>
        </w:tc>
      </w:tr>
      <w:tr w:rsidR="008B2C3A" w:rsidTr="008B2C3A">
        <w:trPr>
          <w:trHeight w:val="60"/>
        </w:trPr>
        <w:tc>
          <w:tcPr>
            <w:tcW w:w="53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AR02C</w:t>
            </w:r>
          </w:p>
        </w:tc>
        <w:tc>
          <w:tcPr>
            <w:tcW w:w="75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Rockbank West Sports Reserve (Rockbank West Community Hub)</w:t>
            </w:r>
          </w:p>
        </w:tc>
        <w:tc>
          <w:tcPr>
            <w:tcW w:w="53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Community</w:t>
            </w:r>
          </w:p>
        </w:tc>
        <w:tc>
          <w:tcPr>
            <w:tcW w:w="37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227" w:type="dxa"/>
            </w:tcMar>
          </w:tcPr>
          <w:p w:rsidR="003404B2" w:rsidRDefault="003404B2">
            <w:pPr>
              <w:pStyle w:val="NumbersR8Tables"/>
            </w:pPr>
            <w:r>
              <w:t>0.00</w:t>
            </w:r>
          </w:p>
        </w:tc>
        <w:tc>
          <w:tcPr>
            <w:tcW w:w="39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227" w:type="dxa"/>
            </w:tcMar>
          </w:tcPr>
          <w:p w:rsidR="003404B2" w:rsidRDefault="003404B2">
            <w:pPr>
              <w:pStyle w:val="NumbersR8Tables"/>
            </w:pPr>
            <w:r>
              <w:t xml:space="preserve"> $- </w:t>
            </w:r>
          </w:p>
        </w:tc>
        <w:tc>
          <w:tcPr>
            <w:tcW w:w="61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227" w:type="dxa"/>
            </w:tcMar>
          </w:tcPr>
          <w:p w:rsidR="003404B2" w:rsidRDefault="003404B2">
            <w:pPr>
              <w:pStyle w:val="NumbersR8Tables"/>
            </w:pPr>
            <w:r>
              <w:t xml:space="preserve"> $2,900,000 </w:t>
            </w:r>
          </w:p>
        </w:tc>
        <w:tc>
          <w:tcPr>
            <w:tcW w:w="72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227" w:type="dxa"/>
            </w:tcMar>
          </w:tcPr>
          <w:p w:rsidR="003404B2" w:rsidRDefault="003404B2">
            <w:pPr>
              <w:pStyle w:val="NumbersR8Tables"/>
            </w:pPr>
            <w:r>
              <w:t xml:space="preserve"> $2,900,000 </w:t>
            </w:r>
          </w:p>
        </w:tc>
        <w:tc>
          <w:tcPr>
            <w:tcW w:w="38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227" w:type="dxa"/>
            </w:tcMar>
          </w:tcPr>
          <w:p w:rsidR="003404B2" w:rsidRDefault="003404B2">
            <w:pPr>
              <w:pStyle w:val="NumbersR8Tables"/>
            </w:pPr>
            <w:r>
              <w:t>100%</w:t>
            </w:r>
          </w:p>
        </w:tc>
        <w:tc>
          <w:tcPr>
            <w:tcW w:w="679"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227" w:type="dxa"/>
            </w:tcMar>
          </w:tcPr>
          <w:p w:rsidR="003404B2" w:rsidRDefault="003404B2">
            <w:pPr>
              <w:pStyle w:val="NumbersR8Tables"/>
            </w:pPr>
            <w:r>
              <w:t xml:space="preserve"> $2,900,000 </w:t>
            </w:r>
          </w:p>
        </w:tc>
      </w:tr>
      <w:tr w:rsidR="008B2C3A" w:rsidTr="008B2C3A">
        <w:trPr>
          <w:trHeight w:val="60"/>
        </w:trPr>
        <w:tc>
          <w:tcPr>
            <w:tcW w:w="53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AR03C</w:t>
            </w:r>
          </w:p>
        </w:tc>
        <w:tc>
          <w:tcPr>
            <w:tcW w:w="75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Rockbank North Sports Reserve (Rockbank North Community Hub)</w:t>
            </w:r>
          </w:p>
        </w:tc>
        <w:tc>
          <w:tcPr>
            <w:tcW w:w="53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Community</w:t>
            </w:r>
          </w:p>
        </w:tc>
        <w:tc>
          <w:tcPr>
            <w:tcW w:w="37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227" w:type="dxa"/>
            </w:tcMar>
          </w:tcPr>
          <w:p w:rsidR="003404B2" w:rsidRDefault="003404B2">
            <w:pPr>
              <w:pStyle w:val="NumbersR8Tables"/>
            </w:pPr>
            <w:r>
              <w:t>0.00</w:t>
            </w:r>
          </w:p>
        </w:tc>
        <w:tc>
          <w:tcPr>
            <w:tcW w:w="39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227" w:type="dxa"/>
            </w:tcMar>
          </w:tcPr>
          <w:p w:rsidR="003404B2" w:rsidRDefault="003404B2">
            <w:pPr>
              <w:pStyle w:val="NumbersR8Tables"/>
            </w:pPr>
            <w:r>
              <w:t xml:space="preserve"> $- </w:t>
            </w:r>
          </w:p>
        </w:tc>
        <w:tc>
          <w:tcPr>
            <w:tcW w:w="61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227" w:type="dxa"/>
            </w:tcMar>
          </w:tcPr>
          <w:p w:rsidR="003404B2" w:rsidRDefault="003404B2">
            <w:pPr>
              <w:pStyle w:val="NumbersR8Tables"/>
            </w:pPr>
            <w:r>
              <w:t xml:space="preserve"> $2,900,000 </w:t>
            </w:r>
          </w:p>
        </w:tc>
        <w:tc>
          <w:tcPr>
            <w:tcW w:w="72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227" w:type="dxa"/>
            </w:tcMar>
          </w:tcPr>
          <w:p w:rsidR="003404B2" w:rsidRDefault="003404B2">
            <w:pPr>
              <w:pStyle w:val="NumbersR8Tables"/>
            </w:pPr>
            <w:r>
              <w:t xml:space="preserve"> $2,900,000 </w:t>
            </w:r>
          </w:p>
        </w:tc>
        <w:tc>
          <w:tcPr>
            <w:tcW w:w="38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227" w:type="dxa"/>
            </w:tcMar>
          </w:tcPr>
          <w:p w:rsidR="003404B2" w:rsidRDefault="003404B2">
            <w:pPr>
              <w:pStyle w:val="NumbersR8Tables"/>
            </w:pPr>
            <w:r>
              <w:t>67%</w:t>
            </w:r>
          </w:p>
        </w:tc>
        <w:tc>
          <w:tcPr>
            <w:tcW w:w="679"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227" w:type="dxa"/>
            </w:tcMar>
          </w:tcPr>
          <w:p w:rsidR="003404B2" w:rsidRDefault="003404B2">
            <w:pPr>
              <w:pStyle w:val="NumbersR8Tables"/>
            </w:pPr>
            <w:r>
              <w:t xml:space="preserve"> $1,933,333 </w:t>
            </w:r>
          </w:p>
        </w:tc>
      </w:tr>
      <w:tr w:rsidR="008B2C3A" w:rsidTr="008B2C3A">
        <w:trPr>
          <w:trHeight w:val="60"/>
        </w:trPr>
        <w:tc>
          <w:tcPr>
            <w:tcW w:w="53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AR04C</w:t>
            </w:r>
          </w:p>
        </w:tc>
        <w:tc>
          <w:tcPr>
            <w:tcW w:w="75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Rockbank South Sports Reserve (Rockbank South Community Hub)</w:t>
            </w:r>
          </w:p>
        </w:tc>
        <w:tc>
          <w:tcPr>
            <w:tcW w:w="53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Community</w:t>
            </w:r>
          </w:p>
        </w:tc>
        <w:tc>
          <w:tcPr>
            <w:tcW w:w="37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227" w:type="dxa"/>
            </w:tcMar>
          </w:tcPr>
          <w:p w:rsidR="003404B2" w:rsidRDefault="003404B2">
            <w:pPr>
              <w:pStyle w:val="NumbersR8Tables"/>
            </w:pPr>
            <w:r>
              <w:t>0.00</w:t>
            </w:r>
          </w:p>
        </w:tc>
        <w:tc>
          <w:tcPr>
            <w:tcW w:w="39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227" w:type="dxa"/>
            </w:tcMar>
          </w:tcPr>
          <w:p w:rsidR="003404B2" w:rsidRDefault="003404B2">
            <w:pPr>
              <w:pStyle w:val="NumbersR8Tables"/>
            </w:pPr>
            <w:r>
              <w:t xml:space="preserve"> $- </w:t>
            </w:r>
          </w:p>
        </w:tc>
        <w:tc>
          <w:tcPr>
            <w:tcW w:w="61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227" w:type="dxa"/>
            </w:tcMar>
          </w:tcPr>
          <w:p w:rsidR="003404B2" w:rsidRDefault="003404B2">
            <w:pPr>
              <w:pStyle w:val="NumbersR8Tables"/>
            </w:pPr>
            <w:r>
              <w:t xml:space="preserve"> $2,900,000 </w:t>
            </w:r>
          </w:p>
        </w:tc>
        <w:tc>
          <w:tcPr>
            <w:tcW w:w="728"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227" w:type="dxa"/>
            </w:tcMar>
          </w:tcPr>
          <w:p w:rsidR="003404B2" w:rsidRDefault="003404B2">
            <w:pPr>
              <w:pStyle w:val="NumbersR8Tables"/>
            </w:pPr>
            <w:r>
              <w:t xml:space="preserve"> $2,900,000 </w:t>
            </w:r>
          </w:p>
        </w:tc>
        <w:tc>
          <w:tcPr>
            <w:tcW w:w="38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227" w:type="dxa"/>
            </w:tcMar>
          </w:tcPr>
          <w:p w:rsidR="003404B2" w:rsidRDefault="003404B2">
            <w:pPr>
              <w:pStyle w:val="NumbersR8Tables"/>
            </w:pPr>
            <w:r>
              <w:t>100%</w:t>
            </w:r>
          </w:p>
        </w:tc>
        <w:tc>
          <w:tcPr>
            <w:tcW w:w="679"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227" w:type="dxa"/>
            </w:tcMar>
          </w:tcPr>
          <w:p w:rsidR="003404B2" w:rsidRDefault="003404B2">
            <w:pPr>
              <w:pStyle w:val="NumbersR8Tables"/>
            </w:pPr>
            <w:r>
              <w:t xml:space="preserve"> $2,900,000 </w:t>
            </w:r>
          </w:p>
        </w:tc>
      </w:tr>
      <w:tr w:rsidR="008B2C3A" w:rsidTr="008B2C3A">
        <w:trPr>
          <w:trHeight w:val="60"/>
        </w:trPr>
        <w:tc>
          <w:tcPr>
            <w:tcW w:w="1819" w:type="pct"/>
            <w:gridSpan w:val="3"/>
            <w:tcBorders>
              <w:top w:val="single" w:sz="8" w:space="0" w:color="FFFFFF"/>
              <w:left w:val="single" w:sz="8" w:space="0" w:color="FFFFFF"/>
              <w:bottom w:val="single" w:sz="16" w:space="0" w:color="FFFFFF"/>
              <w:right w:val="single" w:sz="8" w:space="0" w:color="FFFFFF"/>
            </w:tcBorders>
            <w:shd w:val="solid" w:color="7FFF00" w:fill="auto"/>
            <w:tcMar>
              <w:top w:w="80" w:type="dxa"/>
              <w:left w:w="80" w:type="dxa"/>
              <w:bottom w:w="80" w:type="dxa"/>
              <w:right w:w="80" w:type="dxa"/>
            </w:tcMar>
          </w:tcPr>
          <w:p w:rsidR="003404B2" w:rsidRDefault="003404B2">
            <w:pPr>
              <w:pStyle w:val="TableBodyTables"/>
            </w:pPr>
            <w:r>
              <w:rPr>
                <w:rFonts w:ascii="VIC" w:hAnsi="VIC" w:cs="VIC"/>
                <w:b/>
                <w:bCs/>
                <w:caps/>
              </w:rPr>
              <w:t>Sub-total community facilities (community infrastructure levy)</w:t>
            </w:r>
          </w:p>
        </w:tc>
        <w:tc>
          <w:tcPr>
            <w:tcW w:w="378" w:type="pct"/>
            <w:tcBorders>
              <w:top w:val="single" w:sz="8" w:space="0" w:color="FFFFFF"/>
              <w:left w:val="single" w:sz="8" w:space="0" w:color="FFFFFF"/>
              <w:bottom w:val="single" w:sz="16" w:space="0" w:color="FFFFFF"/>
              <w:right w:val="single" w:sz="8" w:space="0" w:color="FFFFFF"/>
            </w:tcBorders>
            <w:shd w:val="solid" w:color="7FFF00" w:fill="auto"/>
            <w:tcMar>
              <w:top w:w="80" w:type="dxa"/>
              <w:left w:w="80" w:type="dxa"/>
              <w:bottom w:w="80" w:type="dxa"/>
              <w:right w:w="227" w:type="dxa"/>
            </w:tcMar>
          </w:tcPr>
          <w:p w:rsidR="003404B2" w:rsidRDefault="003404B2">
            <w:pPr>
              <w:pStyle w:val="NumbersR8Tables"/>
            </w:pPr>
            <w:r>
              <w:rPr>
                <w:rFonts w:ascii="VIC" w:hAnsi="VIC" w:cs="VIC"/>
                <w:b/>
                <w:bCs/>
              </w:rPr>
              <w:t>0.00</w:t>
            </w:r>
          </w:p>
        </w:tc>
        <w:tc>
          <w:tcPr>
            <w:tcW w:w="398" w:type="pct"/>
            <w:tcBorders>
              <w:top w:val="single" w:sz="8" w:space="0" w:color="FFFFFF"/>
              <w:left w:val="single" w:sz="8" w:space="0" w:color="FFFFFF"/>
              <w:bottom w:val="single" w:sz="16" w:space="0" w:color="FFFFFF"/>
              <w:right w:val="single" w:sz="8" w:space="0" w:color="FFFFFF"/>
            </w:tcBorders>
            <w:shd w:val="solid" w:color="7FFF00" w:fill="auto"/>
            <w:tcMar>
              <w:top w:w="80" w:type="dxa"/>
              <w:left w:w="80" w:type="dxa"/>
              <w:bottom w:w="80" w:type="dxa"/>
              <w:right w:w="227" w:type="dxa"/>
            </w:tcMar>
          </w:tcPr>
          <w:p w:rsidR="003404B2" w:rsidRDefault="003404B2">
            <w:pPr>
              <w:pStyle w:val="NumbersR8Tables"/>
            </w:pPr>
            <w:r>
              <w:rPr>
                <w:rFonts w:ascii="VIC" w:hAnsi="VIC" w:cs="VIC"/>
                <w:b/>
                <w:bCs/>
              </w:rPr>
              <w:t xml:space="preserve"> $- </w:t>
            </w:r>
          </w:p>
        </w:tc>
        <w:tc>
          <w:tcPr>
            <w:tcW w:w="618" w:type="pct"/>
            <w:tcBorders>
              <w:top w:val="single" w:sz="8" w:space="0" w:color="FFFFFF"/>
              <w:left w:val="single" w:sz="8" w:space="0" w:color="FFFFFF"/>
              <w:bottom w:val="single" w:sz="16" w:space="0" w:color="FFFFFF"/>
              <w:right w:val="single" w:sz="8" w:space="0" w:color="FFFFFF"/>
            </w:tcBorders>
            <w:shd w:val="solid" w:color="7FFF00" w:fill="auto"/>
            <w:tcMar>
              <w:top w:w="80" w:type="dxa"/>
              <w:left w:w="80" w:type="dxa"/>
              <w:bottom w:w="80" w:type="dxa"/>
              <w:right w:w="227" w:type="dxa"/>
            </w:tcMar>
          </w:tcPr>
          <w:p w:rsidR="003404B2" w:rsidRDefault="003404B2">
            <w:pPr>
              <w:pStyle w:val="NumbersR8Tables"/>
            </w:pPr>
            <w:r>
              <w:rPr>
                <w:rFonts w:ascii="VIC" w:hAnsi="VIC" w:cs="VIC"/>
                <w:b/>
                <w:bCs/>
              </w:rPr>
              <w:t xml:space="preserve"> $11,600,000 </w:t>
            </w:r>
          </w:p>
        </w:tc>
        <w:tc>
          <w:tcPr>
            <w:tcW w:w="728" w:type="pct"/>
            <w:tcBorders>
              <w:top w:val="single" w:sz="8" w:space="0" w:color="FFFFFF"/>
              <w:left w:val="single" w:sz="8" w:space="0" w:color="FFFFFF"/>
              <w:bottom w:val="single" w:sz="16" w:space="0" w:color="FFFFFF"/>
              <w:right w:val="single" w:sz="8" w:space="0" w:color="FFFFFF"/>
            </w:tcBorders>
            <w:shd w:val="solid" w:color="7FFF00" w:fill="auto"/>
            <w:tcMar>
              <w:top w:w="80" w:type="dxa"/>
              <w:left w:w="80" w:type="dxa"/>
              <w:bottom w:w="80" w:type="dxa"/>
              <w:right w:w="227" w:type="dxa"/>
            </w:tcMar>
          </w:tcPr>
          <w:p w:rsidR="003404B2" w:rsidRDefault="003404B2">
            <w:pPr>
              <w:pStyle w:val="NumbersR8Tables"/>
            </w:pPr>
            <w:r>
              <w:rPr>
                <w:rFonts w:ascii="VIC" w:hAnsi="VIC" w:cs="VIC"/>
                <w:b/>
                <w:bCs/>
              </w:rPr>
              <w:t xml:space="preserve"> $11,600,000 </w:t>
            </w:r>
          </w:p>
        </w:tc>
        <w:tc>
          <w:tcPr>
            <w:tcW w:w="380" w:type="pct"/>
            <w:tcBorders>
              <w:top w:val="single" w:sz="8" w:space="0" w:color="FFFFFF"/>
              <w:left w:val="single" w:sz="8" w:space="0" w:color="FFFFFF"/>
              <w:bottom w:val="single" w:sz="16" w:space="0" w:color="FFFFFF"/>
              <w:right w:val="single" w:sz="8" w:space="0" w:color="FFFFFF"/>
            </w:tcBorders>
            <w:shd w:val="solid" w:color="7FFF00" w:fill="auto"/>
            <w:tcMar>
              <w:top w:w="80" w:type="dxa"/>
              <w:left w:w="80" w:type="dxa"/>
              <w:bottom w:w="80" w:type="dxa"/>
              <w:right w:w="227" w:type="dxa"/>
            </w:tcMar>
          </w:tcPr>
          <w:p w:rsidR="003404B2" w:rsidRDefault="003404B2">
            <w:pPr>
              <w:pStyle w:val="NoParagraphStyle"/>
              <w:spacing w:line="240" w:lineRule="auto"/>
              <w:textAlignment w:val="auto"/>
              <w:rPr>
                <w:rFonts w:ascii="Arial" w:hAnsi="Arial" w:cs="Arial"/>
                <w:color w:val="auto"/>
                <w:lang w:val="en-AU"/>
              </w:rPr>
            </w:pPr>
          </w:p>
        </w:tc>
        <w:tc>
          <w:tcPr>
            <w:tcW w:w="679" w:type="pct"/>
            <w:tcBorders>
              <w:top w:val="single" w:sz="8" w:space="0" w:color="FFFFFF"/>
              <w:left w:val="single" w:sz="8" w:space="0" w:color="FFFFFF"/>
              <w:bottom w:val="single" w:sz="16" w:space="0" w:color="FFFFFF"/>
              <w:right w:val="single" w:sz="8" w:space="0" w:color="FFFFFF"/>
            </w:tcBorders>
            <w:shd w:val="solid" w:color="7FFF00" w:fill="auto"/>
            <w:tcMar>
              <w:top w:w="80" w:type="dxa"/>
              <w:left w:w="80" w:type="dxa"/>
              <w:bottom w:w="80" w:type="dxa"/>
              <w:right w:w="227" w:type="dxa"/>
            </w:tcMar>
          </w:tcPr>
          <w:p w:rsidR="003404B2" w:rsidRDefault="003404B2">
            <w:pPr>
              <w:pStyle w:val="NumbersR8Tables"/>
            </w:pPr>
            <w:r>
              <w:rPr>
                <w:rFonts w:ascii="VIC" w:hAnsi="VIC" w:cs="VIC"/>
                <w:b/>
                <w:bCs/>
              </w:rPr>
              <w:t xml:space="preserve"> $10,633,333 </w:t>
            </w:r>
          </w:p>
        </w:tc>
      </w:tr>
      <w:tr w:rsidR="003404B2" w:rsidTr="008B2C3A">
        <w:trPr>
          <w:trHeight w:val="60"/>
        </w:trPr>
        <w:tc>
          <w:tcPr>
            <w:tcW w:w="5000" w:type="pct"/>
            <w:gridSpan w:val="9"/>
            <w:tcBorders>
              <w:top w:val="single" w:sz="16" w:space="0" w:color="FFFFFF"/>
              <w:left w:val="single" w:sz="8" w:space="0" w:color="FFFFFF"/>
              <w:bottom w:val="single" w:sz="8" w:space="0" w:color="FFFFFF"/>
              <w:right w:val="single" w:sz="8" w:space="0" w:color="FFFFFF"/>
            </w:tcBorders>
            <w:shd w:val="solid" w:color="000098" w:fill="auto"/>
            <w:tcMar>
              <w:top w:w="80" w:type="dxa"/>
              <w:left w:w="80" w:type="dxa"/>
              <w:bottom w:w="80" w:type="dxa"/>
              <w:right w:w="80" w:type="dxa"/>
            </w:tcMar>
          </w:tcPr>
          <w:p w:rsidR="003404B2" w:rsidRDefault="003404B2">
            <w:pPr>
              <w:pStyle w:val="TableBodyTables"/>
            </w:pPr>
            <w:r w:rsidRPr="003404B2">
              <w:rPr>
                <w:rFonts w:ascii="VIC" w:hAnsi="VIC" w:cs="VIC"/>
                <w:b/>
                <w:bCs/>
                <w:caps/>
                <w:outline/>
                <w14:textOutline w14:w="9525" w14:cap="flat" w14:cmpd="sng" w14:algn="ctr">
                  <w14:solidFill>
                    <w14:srgbClr w14:val="000000"/>
                  </w14:solidFill>
                  <w14:prstDash w14:val="solid"/>
                  <w14:round/>
                </w14:textOutline>
                <w14:textFill>
                  <w14:noFill/>
                </w14:textFill>
              </w:rPr>
              <w:t>Summary</w:t>
            </w:r>
          </w:p>
        </w:tc>
      </w:tr>
      <w:tr w:rsidR="003404B2" w:rsidTr="008B2C3A">
        <w:trPr>
          <w:trHeight w:val="60"/>
        </w:trPr>
        <w:tc>
          <w:tcPr>
            <w:tcW w:w="4321" w:type="pct"/>
            <w:gridSpan w:val="8"/>
            <w:tcBorders>
              <w:top w:val="single" w:sz="8" w:space="0" w:color="FFFFFF"/>
              <w:left w:val="single" w:sz="8" w:space="0" w:color="FFFFFF"/>
              <w:bottom w:val="single" w:sz="8" w:space="0" w:color="FFFFFF"/>
              <w:right w:val="single" w:sz="8" w:space="0" w:color="FFFFFF"/>
            </w:tcBorders>
            <w:shd w:val="solid" w:color="7FFF00" w:fill="auto"/>
            <w:tcMar>
              <w:top w:w="80" w:type="dxa"/>
              <w:left w:w="80" w:type="dxa"/>
              <w:bottom w:w="80" w:type="dxa"/>
              <w:right w:w="80" w:type="dxa"/>
            </w:tcMar>
          </w:tcPr>
          <w:p w:rsidR="003404B2" w:rsidRDefault="003404B2">
            <w:pPr>
              <w:pStyle w:val="TableBodyTables"/>
            </w:pPr>
            <w:r>
              <w:rPr>
                <w:rFonts w:ascii="VIC" w:hAnsi="VIC" w:cs="VIC"/>
                <w:b/>
                <w:bCs/>
                <w:caps/>
              </w:rPr>
              <w:t>Total cost all projects</w:t>
            </w:r>
          </w:p>
        </w:tc>
        <w:tc>
          <w:tcPr>
            <w:tcW w:w="679" w:type="pct"/>
            <w:tcBorders>
              <w:top w:val="single" w:sz="8" w:space="0" w:color="FFFFFF"/>
              <w:left w:val="single" w:sz="8" w:space="0" w:color="FFFFFF"/>
              <w:bottom w:val="single" w:sz="8" w:space="0" w:color="FFFFFF"/>
              <w:right w:val="single" w:sz="8" w:space="0" w:color="FFFFFF"/>
            </w:tcBorders>
            <w:shd w:val="solid" w:color="7FFF00" w:fill="auto"/>
            <w:tcMar>
              <w:top w:w="80" w:type="dxa"/>
              <w:left w:w="80" w:type="dxa"/>
              <w:bottom w:w="80" w:type="dxa"/>
              <w:right w:w="227" w:type="dxa"/>
            </w:tcMar>
          </w:tcPr>
          <w:p w:rsidR="003404B2" w:rsidRDefault="003404B2">
            <w:pPr>
              <w:pStyle w:val="NumbersR8Tables"/>
            </w:pPr>
            <w:r>
              <w:rPr>
                <w:rFonts w:ascii="VIC" w:hAnsi="VIC" w:cs="VIC"/>
                <w:b/>
                <w:bCs/>
              </w:rPr>
              <w:t xml:space="preserve"> $10,633,333 </w:t>
            </w:r>
          </w:p>
        </w:tc>
      </w:tr>
      <w:tr w:rsidR="003404B2" w:rsidTr="008B2C3A">
        <w:trPr>
          <w:trHeight w:val="60"/>
        </w:trPr>
        <w:tc>
          <w:tcPr>
            <w:tcW w:w="4321" w:type="pct"/>
            <w:gridSpan w:val="8"/>
            <w:tcBorders>
              <w:top w:val="single" w:sz="8" w:space="0" w:color="FFFFFF"/>
              <w:left w:val="single" w:sz="8" w:space="0" w:color="FFFFFF"/>
              <w:bottom w:val="single" w:sz="8" w:space="0" w:color="FFFFFF"/>
              <w:right w:val="single" w:sz="8" w:space="0" w:color="FFFFFF"/>
            </w:tcBorders>
            <w:shd w:val="solid" w:color="7FFF00" w:fill="auto"/>
            <w:tcMar>
              <w:top w:w="80" w:type="dxa"/>
              <w:left w:w="80" w:type="dxa"/>
              <w:bottom w:w="80" w:type="dxa"/>
              <w:right w:w="80" w:type="dxa"/>
            </w:tcMar>
          </w:tcPr>
          <w:p w:rsidR="003404B2" w:rsidRDefault="003404B2">
            <w:pPr>
              <w:pStyle w:val="TableBodyTables"/>
            </w:pPr>
            <w:r>
              <w:rPr>
                <w:rFonts w:ascii="VIC" w:hAnsi="VIC" w:cs="VIC"/>
                <w:b/>
                <w:bCs/>
                <w:caps/>
              </w:rPr>
              <w:t>Total Community Infrastructure Levy per Dwelling</w:t>
            </w:r>
          </w:p>
        </w:tc>
        <w:tc>
          <w:tcPr>
            <w:tcW w:w="679" w:type="pct"/>
            <w:tcBorders>
              <w:top w:val="single" w:sz="8" w:space="0" w:color="FFFFFF"/>
              <w:left w:val="single" w:sz="8" w:space="0" w:color="FFFFFF"/>
              <w:bottom w:val="single" w:sz="8" w:space="0" w:color="FFFFFF"/>
              <w:right w:val="single" w:sz="8" w:space="0" w:color="FFFFFF"/>
            </w:tcBorders>
            <w:shd w:val="solid" w:color="7FFF00" w:fill="auto"/>
            <w:tcMar>
              <w:top w:w="80" w:type="dxa"/>
              <w:left w:w="80" w:type="dxa"/>
              <w:bottom w:w="80" w:type="dxa"/>
              <w:right w:w="227" w:type="dxa"/>
            </w:tcMar>
          </w:tcPr>
          <w:p w:rsidR="003404B2" w:rsidRDefault="003404B2">
            <w:pPr>
              <w:pStyle w:val="NumbersR8Tables"/>
            </w:pPr>
            <w:r>
              <w:rPr>
                <w:rFonts w:ascii="VIC" w:hAnsi="VIC" w:cs="VIC"/>
                <w:b/>
                <w:bCs/>
              </w:rPr>
              <w:t xml:space="preserve"> $1,150 </w:t>
            </w:r>
          </w:p>
        </w:tc>
      </w:tr>
      <w:tr w:rsidR="003404B2" w:rsidTr="008B2C3A">
        <w:trPr>
          <w:trHeight w:val="60"/>
        </w:trPr>
        <w:tc>
          <w:tcPr>
            <w:tcW w:w="4321" w:type="pct"/>
            <w:gridSpan w:val="8"/>
            <w:tcBorders>
              <w:top w:val="single" w:sz="8" w:space="0" w:color="FFFFFF"/>
              <w:left w:val="single" w:sz="8" w:space="0" w:color="FFFFFF"/>
              <w:bottom w:val="single" w:sz="8" w:space="0" w:color="FFFFFF"/>
              <w:right w:val="single" w:sz="8" w:space="0" w:color="FFFFFF"/>
            </w:tcBorders>
            <w:shd w:val="solid" w:color="7FFF00" w:fill="auto"/>
            <w:tcMar>
              <w:top w:w="80" w:type="dxa"/>
              <w:left w:w="80" w:type="dxa"/>
              <w:bottom w:w="80" w:type="dxa"/>
              <w:right w:w="80" w:type="dxa"/>
            </w:tcMar>
          </w:tcPr>
          <w:p w:rsidR="003404B2" w:rsidRDefault="003404B2">
            <w:pPr>
              <w:pStyle w:val="TableBodyTables"/>
            </w:pPr>
            <w:r>
              <w:rPr>
                <w:rFonts w:ascii="VIC" w:hAnsi="VIC" w:cs="VIC"/>
                <w:b/>
                <w:bCs/>
                <w:caps/>
              </w:rPr>
              <w:t>Total Community Infrastructure Levy Estimated Raised via Rockbank DCP</w:t>
            </w:r>
          </w:p>
        </w:tc>
        <w:tc>
          <w:tcPr>
            <w:tcW w:w="679" w:type="pct"/>
            <w:tcBorders>
              <w:top w:val="single" w:sz="8" w:space="0" w:color="FFFFFF"/>
              <w:left w:val="single" w:sz="8" w:space="0" w:color="FFFFFF"/>
              <w:bottom w:val="single" w:sz="8" w:space="0" w:color="FFFFFF"/>
              <w:right w:val="single" w:sz="8" w:space="0" w:color="FFFFFF"/>
            </w:tcBorders>
            <w:shd w:val="solid" w:color="7FFF00" w:fill="auto"/>
            <w:tcMar>
              <w:top w:w="80" w:type="dxa"/>
              <w:left w:w="80" w:type="dxa"/>
              <w:bottom w:w="80" w:type="dxa"/>
              <w:right w:w="227" w:type="dxa"/>
            </w:tcMar>
          </w:tcPr>
          <w:p w:rsidR="003404B2" w:rsidRDefault="003404B2">
            <w:pPr>
              <w:pStyle w:val="NumbersR8Tables"/>
            </w:pPr>
            <w:r>
              <w:rPr>
                <w:rFonts w:ascii="VIC" w:hAnsi="VIC" w:cs="VIC"/>
                <w:b/>
                <w:bCs/>
              </w:rPr>
              <w:t xml:space="preserve"> $9,365,309 </w:t>
            </w:r>
          </w:p>
        </w:tc>
      </w:tr>
    </w:tbl>
    <w:p w:rsidR="003404B2" w:rsidRDefault="003404B2" w:rsidP="003404B2">
      <w:pPr>
        <w:pStyle w:val="BodyContent"/>
      </w:pPr>
    </w:p>
    <w:p w:rsidR="003404B2" w:rsidRDefault="007A23C8" w:rsidP="007A23C8">
      <w:pPr>
        <w:pStyle w:val="Caption"/>
      </w:pPr>
      <w:bookmarkStart w:id="34" w:name="_Toc467676227"/>
      <w:r>
        <w:lastRenderedPageBreak/>
        <w:t xml:space="preserve">Table </w:t>
      </w:r>
      <w:fldSimple w:instr=" SEQ Table \* ARABIC ">
        <w:r>
          <w:rPr>
            <w:noProof/>
          </w:rPr>
          <w:t>12</w:t>
        </w:r>
      </w:fldSimple>
      <w:r>
        <w:t xml:space="preserve"> – </w:t>
      </w:r>
      <w:r w:rsidR="003404B2">
        <w:t>External apportionment</w:t>
      </w:r>
      <w:bookmarkEnd w:id="34"/>
    </w:p>
    <w:tbl>
      <w:tblPr>
        <w:tblW w:w="5000" w:type="pct"/>
        <w:tblCellMar>
          <w:left w:w="0" w:type="dxa"/>
          <w:right w:w="0" w:type="dxa"/>
        </w:tblCellMar>
        <w:tblLook w:val="0000" w:firstRow="0" w:lastRow="0" w:firstColumn="0" w:lastColumn="0" w:noHBand="0" w:noVBand="0"/>
      </w:tblPr>
      <w:tblGrid>
        <w:gridCol w:w="914"/>
        <w:gridCol w:w="4141"/>
        <w:gridCol w:w="1324"/>
        <w:gridCol w:w="1046"/>
        <w:gridCol w:w="1053"/>
      </w:tblGrid>
      <w:tr w:rsidR="003404B2" w:rsidTr="008B2C3A">
        <w:trPr>
          <w:trHeight w:val="625"/>
          <w:tblHeader/>
        </w:trPr>
        <w:tc>
          <w:tcPr>
            <w:tcW w:w="439" w:type="pct"/>
            <w:vMerge w:val="restart"/>
            <w:tcBorders>
              <w:top w:val="single" w:sz="8" w:space="0" w:color="FFFFFF"/>
              <w:left w:val="single" w:sz="8" w:space="0" w:color="FFFFFF"/>
              <w:bottom w:val="single" w:sz="8" w:space="0" w:color="FFFFFF"/>
              <w:right w:val="single" w:sz="8" w:space="0" w:color="FFFFFF"/>
            </w:tcBorders>
            <w:shd w:val="solid" w:color="000000" w:fill="auto"/>
            <w:tcMar>
              <w:top w:w="80" w:type="dxa"/>
              <w:left w:w="80" w:type="dxa"/>
              <w:bottom w:w="80" w:type="dxa"/>
              <w:right w:w="80" w:type="dxa"/>
            </w:tcMar>
          </w:tcPr>
          <w:p w:rsidR="003404B2" w:rsidRDefault="003404B2">
            <w:pPr>
              <w:pStyle w:val="DCPTable-Heading-whiteTables"/>
            </w:pPr>
            <w:r>
              <w:rPr>
                <w:rFonts w:ascii="VIC SemiBold" w:hAnsi="VIC SemiBold" w:cs="VIC SemiBold"/>
              </w:rPr>
              <w:t>DCP project ID</w:t>
            </w:r>
          </w:p>
        </w:tc>
        <w:tc>
          <w:tcPr>
            <w:tcW w:w="2510" w:type="pct"/>
            <w:vMerge w:val="restart"/>
            <w:tcBorders>
              <w:top w:val="single" w:sz="8" w:space="0" w:color="FFFFFF"/>
              <w:left w:val="single" w:sz="8" w:space="0" w:color="FFFFFF"/>
              <w:bottom w:val="single" w:sz="8" w:space="0" w:color="FFFFFF"/>
              <w:right w:val="single" w:sz="8" w:space="0" w:color="FFFFFF"/>
            </w:tcBorders>
            <w:shd w:val="solid" w:color="000000" w:fill="auto"/>
            <w:tcMar>
              <w:top w:w="80" w:type="dxa"/>
              <w:left w:w="80" w:type="dxa"/>
              <w:bottom w:w="80" w:type="dxa"/>
              <w:right w:w="80" w:type="dxa"/>
            </w:tcMar>
          </w:tcPr>
          <w:p w:rsidR="003404B2" w:rsidRDefault="003404B2">
            <w:pPr>
              <w:pStyle w:val="DCPTable-Heading-whiteTables"/>
            </w:pPr>
            <w:r>
              <w:rPr>
                <w:rFonts w:ascii="VIC SemiBold" w:hAnsi="VIC SemiBold" w:cs="VIC SemiBold"/>
              </w:rPr>
              <w:t>Project</w:t>
            </w:r>
          </w:p>
        </w:tc>
        <w:tc>
          <w:tcPr>
            <w:tcW w:w="684" w:type="pct"/>
            <w:vMerge w:val="restart"/>
            <w:tcBorders>
              <w:top w:val="single" w:sz="8" w:space="0" w:color="FFFFFF"/>
              <w:left w:val="single" w:sz="8" w:space="0" w:color="FFFFFF"/>
              <w:bottom w:val="single" w:sz="8" w:space="0" w:color="FFFFFF"/>
              <w:right w:val="single" w:sz="8" w:space="0" w:color="FFFFFF"/>
            </w:tcBorders>
            <w:shd w:val="solid" w:color="000000" w:fill="auto"/>
            <w:tcMar>
              <w:top w:w="80" w:type="dxa"/>
              <w:left w:w="80" w:type="dxa"/>
              <w:bottom w:w="80" w:type="dxa"/>
              <w:right w:w="80" w:type="dxa"/>
            </w:tcMar>
          </w:tcPr>
          <w:p w:rsidR="003404B2" w:rsidRDefault="003404B2">
            <w:pPr>
              <w:pStyle w:val="DCPTable-Heading-whiteTables"/>
            </w:pPr>
            <w:r>
              <w:rPr>
                <w:rFonts w:ascii="VIC SemiBold" w:hAnsi="VIC SemiBold" w:cs="VIC SemiBold"/>
              </w:rPr>
              <w:t>% Apportioned to DCP (Internal use)</w:t>
            </w:r>
          </w:p>
        </w:tc>
        <w:tc>
          <w:tcPr>
            <w:tcW w:w="1368" w:type="pct"/>
            <w:gridSpan w:val="2"/>
            <w:tcBorders>
              <w:top w:val="single" w:sz="8" w:space="0" w:color="FFFFFF"/>
              <w:left w:val="single" w:sz="8" w:space="0" w:color="FFFFFF"/>
              <w:bottom w:val="single" w:sz="8" w:space="0" w:color="FFFFFF"/>
              <w:right w:val="single" w:sz="8" w:space="0" w:color="FFFFFF"/>
            </w:tcBorders>
            <w:shd w:val="solid" w:color="000000" w:fill="auto"/>
            <w:tcMar>
              <w:top w:w="80" w:type="dxa"/>
              <w:left w:w="80" w:type="dxa"/>
              <w:bottom w:w="80" w:type="dxa"/>
              <w:right w:w="80" w:type="dxa"/>
            </w:tcMar>
          </w:tcPr>
          <w:p w:rsidR="003404B2" w:rsidRDefault="003404B2">
            <w:pPr>
              <w:pStyle w:val="DCPTable-Heading-whiteTables"/>
            </w:pPr>
            <w:r>
              <w:rPr>
                <w:rFonts w:ascii="VIC SemiBold" w:hAnsi="VIC SemiBold" w:cs="VIC SemiBold"/>
              </w:rPr>
              <w:t xml:space="preserve">External apportionment sources </w:t>
            </w:r>
            <w:r>
              <w:rPr>
                <w:rFonts w:ascii="VIC SemiBold" w:hAnsi="VIC SemiBold" w:cs="VIC SemiBold"/>
              </w:rPr>
              <w:br/>
              <w:t>(PSP/DCP) and % apportioned to DCP</w:t>
            </w:r>
          </w:p>
        </w:tc>
      </w:tr>
      <w:tr w:rsidR="003404B2" w:rsidTr="008B2C3A">
        <w:trPr>
          <w:trHeight w:val="764"/>
          <w:tblHeader/>
        </w:trPr>
        <w:tc>
          <w:tcPr>
            <w:tcW w:w="439" w:type="pct"/>
            <w:vMerge/>
            <w:tcBorders>
              <w:top w:val="single" w:sz="8" w:space="0" w:color="FFFFFF"/>
              <w:left w:val="single" w:sz="8" w:space="0" w:color="FFFFFF"/>
              <w:bottom w:val="single" w:sz="8" w:space="0" w:color="FFFFFF"/>
              <w:right w:val="single" w:sz="8" w:space="0" w:color="FFFFFF"/>
            </w:tcBorders>
          </w:tcPr>
          <w:p w:rsidR="003404B2" w:rsidRDefault="003404B2">
            <w:pPr>
              <w:pStyle w:val="NoParagraphStyle"/>
              <w:spacing w:line="240" w:lineRule="auto"/>
              <w:textAlignment w:val="auto"/>
              <w:rPr>
                <w:rFonts w:ascii="Arial" w:hAnsi="Arial" w:cs="Arial"/>
                <w:color w:val="auto"/>
                <w:lang w:val="en-AU"/>
              </w:rPr>
            </w:pPr>
          </w:p>
        </w:tc>
        <w:tc>
          <w:tcPr>
            <w:tcW w:w="2510" w:type="pct"/>
            <w:vMerge/>
            <w:tcBorders>
              <w:top w:val="single" w:sz="8" w:space="0" w:color="FFFFFF"/>
              <w:left w:val="single" w:sz="8" w:space="0" w:color="FFFFFF"/>
              <w:bottom w:val="single" w:sz="8" w:space="0" w:color="FFFFFF"/>
              <w:right w:val="single" w:sz="8" w:space="0" w:color="FFFFFF"/>
            </w:tcBorders>
          </w:tcPr>
          <w:p w:rsidR="003404B2" w:rsidRDefault="003404B2">
            <w:pPr>
              <w:pStyle w:val="NoParagraphStyle"/>
              <w:spacing w:line="240" w:lineRule="auto"/>
              <w:textAlignment w:val="auto"/>
              <w:rPr>
                <w:rFonts w:ascii="Arial" w:hAnsi="Arial" w:cs="Arial"/>
                <w:color w:val="auto"/>
                <w:lang w:val="en-AU"/>
              </w:rPr>
            </w:pPr>
          </w:p>
        </w:tc>
        <w:tc>
          <w:tcPr>
            <w:tcW w:w="684" w:type="pct"/>
            <w:vMerge/>
            <w:tcBorders>
              <w:top w:val="single" w:sz="8" w:space="0" w:color="FFFFFF"/>
              <w:left w:val="single" w:sz="8" w:space="0" w:color="FFFFFF"/>
              <w:bottom w:val="single" w:sz="8" w:space="0" w:color="FFFFFF"/>
              <w:right w:val="single" w:sz="8" w:space="0" w:color="FFFFFF"/>
            </w:tcBorders>
          </w:tcPr>
          <w:p w:rsidR="003404B2" w:rsidRDefault="003404B2">
            <w:pPr>
              <w:pStyle w:val="NoParagraphStyle"/>
              <w:spacing w:line="240" w:lineRule="auto"/>
              <w:textAlignment w:val="auto"/>
              <w:rPr>
                <w:rFonts w:ascii="Arial" w:hAnsi="Arial" w:cs="Arial"/>
                <w:color w:val="auto"/>
                <w:lang w:val="en-AU"/>
              </w:rPr>
            </w:pPr>
          </w:p>
        </w:tc>
        <w:tc>
          <w:tcPr>
            <w:tcW w:w="684" w:type="pct"/>
            <w:tcBorders>
              <w:top w:val="single" w:sz="8" w:space="0" w:color="FFFFFF"/>
              <w:left w:val="single" w:sz="8" w:space="0" w:color="FFFFFF"/>
              <w:bottom w:val="single" w:sz="8" w:space="0" w:color="FFFFFF"/>
              <w:right w:val="single" w:sz="8" w:space="0" w:color="FFFFFF"/>
            </w:tcBorders>
            <w:shd w:val="solid" w:color="000000" w:fill="auto"/>
            <w:tcMar>
              <w:top w:w="80" w:type="dxa"/>
              <w:left w:w="80" w:type="dxa"/>
              <w:bottom w:w="80" w:type="dxa"/>
              <w:right w:w="80" w:type="dxa"/>
            </w:tcMar>
          </w:tcPr>
          <w:p w:rsidR="003404B2" w:rsidRDefault="003404B2">
            <w:pPr>
              <w:pStyle w:val="DCPTable-Heading-whiteTables"/>
            </w:pPr>
            <w:r>
              <w:rPr>
                <w:rFonts w:ascii="VIC SemiBold" w:hAnsi="VIC SemiBold" w:cs="VIC SemiBold"/>
              </w:rPr>
              <w:t xml:space="preserve">Toolern DCP </w:t>
            </w:r>
            <w:r>
              <w:rPr>
                <w:rFonts w:ascii="VIC SemiBold" w:hAnsi="VIC SemiBold" w:cs="VIC SemiBold"/>
              </w:rPr>
              <w:br/>
              <w:t>(PSP 31 Toolern)</w:t>
            </w:r>
          </w:p>
        </w:tc>
        <w:tc>
          <w:tcPr>
            <w:tcW w:w="684" w:type="pct"/>
            <w:tcBorders>
              <w:top w:val="single" w:sz="8" w:space="0" w:color="FFFFFF"/>
              <w:left w:val="single" w:sz="8" w:space="0" w:color="FFFFFF"/>
              <w:bottom w:val="single" w:sz="8" w:space="0" w:color="FFFFFF"/>
              <w:right w:val="single" w:sz="8" w:space="0" w:color="FFFFFF"/>
            </w:tcBorders>
            <w:shd w:val="solid" w:color="000000" w:fill="auto"/>
            <w:tcMar>
              <w:top w:w="80" w:type="dxa"/>
              <w:left w:w="80" w:type="dxa"/>
              <w:bottom w:w="80" w:type="dxa"/>
              <w:right w:w="80" w:type="dxa"/>
            </w:tcMar>
          </w:tcPr>
          <w:p w:rsidR="003404B2" w:rsidRDefault="003404B2">
            <w:pPr>
              <w:pStyle w:val="DCPTable-Heading-whiteTables"/>
            </w:pPr>
            <w:r>
              <w:rPr>
                <w:rFonts w:ascii="VIC SemiBold" w:hAnsi="VIC SemiBold" w:cs="VIC SemiBold"/>
              </w:rPr>
              <w:t>Rockbank South DCP (PSP 1081 Rockbank South)</w:t>
            </w:r>
          </w:p>
        </w:tc>
      </w:tr>
      <w:tr w:rsidR="003404B2" w:rsidTr="008B2C3A">
        <w:trPr>
          <w:trHeight w:val="60"/>
        </w:trPr>
        <w:tc>
          <w:tcPr>
            <w:tcW w:w="4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283" w:type="dxa"/>
              <w:bottom w:w="80" w:type="dxa"/>
              <w:right w:w="80" w:type="dxa"/>
            </w:tcMar>
          </w:tcPr>
          <w:p w:rsidR="003404B2" w:rsidRDefault="003404B2">
            <w:pPr>
              <w:pStyle w:val="TableBodyTables"/>
            </w:pPr>
            <w:r>
              <w:t>RD01B</w:t>
            </w:r>
          </w:p>
        </w:tc>
        <w:tc>
          <w:tcPr>
            <w:tcW w:w="251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Greigs Road: Outer Metropolitan Ring transport corridor (OMR) to Troups Road North (IT01)</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NoParagraphStyle"/>
              <w:spacing w:line="240" w:lineRule="auto"/>
              <w:textAlignment w:val="auto"/>
              <w:rPr>
                <w:rFonts w:ascii="Arial" w:hAnsi="Arial" w:cs="Arial"/>
                <w:color w:val="auto"/>
                <w:lang w:val="en-AU"/>
              </w:rPr>
            </w:pP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r>
      <w:tr w:rsidR="003404B2" w:rsidTr="008B2C3A">
        <w:trPr>
          <w:trHeight w:val="60"/>
        </w:trPr>
        <w:tc>
          <w:tcPr>
            <w:tcW w:w="4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283" w:type="dxa"/>
              <w:bottom w:w="80" w:type="dxa"/>
              <w:right w:w="80" w:type="dxa"/>
            </w:tcMar>
          </w:tcPr>
          <w:p w:rsidR="003404B2" w:rsidRDefault="003404B2">
            <w:pPr>
              <w:pStyle w:val="TableBodyTables"/>
            </w:pPr>
            <w:r>
              <w:t>RD01C</w:t>
            </w:r>
          </w:p>
        </w:tc>
        <w:tc>
          <w:tcPr>
            <w:tcW w:w="251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Greigs Road: Outer Metropolitan Ring transport corridor (OMR) to Troups Road North (IT01)</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NoParagraphStyle"/>
              <w:spacing w:line="240" w:lineRule="auto"/>
              <w:textAlignment w:val="auto"/>
              <w:rPr>
                <w:rFonts w:ascii="Arial" w:hAnsi="Arial" w:cs="Arial"/>
                <w:color w:val="auto"/>
                <w:lang w:val="en-AU"/>
              </w:rPr>
            </w:pP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r>
      <w:tr w:rsidR="003404B2" w:rsidTr="008B2C3A">
        <w:trPr>
          <w:trHeight w:val="60"/>
        </w:trPr>
        <w:tc>
          <w:tcPr>
            <w:tcW w:w="4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283" w:type="dxa"/>
              <w:bottom w:w="80" w:type="dxa"/>
              <w:right w:w="80" w:type="dxa"/>
            </w:tcMar>
          </w:tcPr>
          <w:p w:rsidR="003404B2" w:rsidRDefault="003404B2">
            <w:pPr>
              <w:pStyle w:val="TableBodyTables"/>
            </w:pPr>
            <w:r>
              <w:t>RD02B</w:t>
            </w:r>
          </w:p>
        </w:tc>
        <w:tc>
          <w:tcPr>
            <w:tcW w:w="251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Greigs Road: 'RB North South Road 1' (IT02) to 'RB North South Road 2' (IT03)</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NoParagraphStyle"/>
              <w:spacing w:line="240" w:lineRule="auto"/>
              <w:textAlignment w:val="auto"/>
              <w:rPr>
                <w:rFonts w:ascii="Arial" w:hAnsi="Arial" w:cs="Arial"/>
                <w:color w:val="auto"/>
                <w:lang w:val="en-AU"/>
              </w:rPr>
            </w:pP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r>
      <w:tr w:rsidR="003404B2" w:rsidTr="008B2C3A">
        <w:trPr>
          <w:trHeight w:val="60"/>
        </w:trPr>
        <w:tc>
          <w:tcPr>
            <w:tcW w:w="4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283" w:type="dxa"/>
              <w:bottom w:w="80" w:type="dxa"/>
              <w:right w:w="80" w:type="dxa"/>
            </w:tcMar>
          </w:tcPr>
          <w:p w:rsidR="003404B2" w:rsidRDefault="003404B2">
            <w:pPr>
              <w:pStyle w:val="TableBodyTables"/>
            </w:pPr>
            <w:r>
              <w:t>RD02C</w:t>
            </w:r>
          </w:p>
        </w:tc>
        <w:tc>
          <w:tcPr>
            <w:tcW w:w="251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Greigs Road: 'RB North South Road 1' (IT02) to 'RB North South Road 2' (IT03)</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NoParagraphStyle"/>
              <w:spacing w:line="240" w:lineRule="auto"/>
              <w:textAlignment w:val="auto"/>
              <w:rPr>
                <w:rFonts w:ascii="Arial" w:hAnsi="Arial" w:cs="Arial"/>
                <w:color w:val="auto"/>
                <w:lang w:val="en-AU"/>
              </w:rPr>
            </w:pP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r>
      <w:tr w:rsidR="003404B2" w:rsidTr="008B2C3A">
        <w:trPr>
          <w:trHeight w:val="60"/>
        </w:trPr>
        <w:tc>
          <w:tcPr>
            <w:tcW w:w="4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283" w:type="dxa"/>
              <w:bottom w:w="80" w:type="dxa"/>
              <w:right w:w="80" w:type="dxa"/>
            </w:tcMar>
          </w:tcPr>
          <w:p w:rsidR="003404B2" w:rsidRDefault="003404B2">
            <w:pPr>
              <w:pStyle w:val="TableBodyTables"/>
            </w:pPr>
            <w:r>
              <w:t>RD05B</w:t>
            </w:r>
          </w:p>
        </w:tc>
        <w:tc>
          <w:tcPr>
            <w:tcW w:w="251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Paynes Road: Western Freeway Flyover (BR03) to Murray Road (IT11)</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NoParagraphStyle"/>
              <w:spacing w:line="240" w:lineRule="auto"/>
              <w:textAlignment w:val="auto"/>
              <w:rPr>
                <w:rFonts w:ascii="Arial" w:hAnsi="Arial" w:cs="Arial"/>
                <w:color w:val="auto"/>
                <w:lang w:val="en-AU"/>
              </w:rPr>
            </w:pPr>
          </w:p>
        </w:tc>
      </w:tr>
      <w:tr w:rsidR="003404B2" w:rsidTr="008B2C3A">
        <w:trPr>
          <w:trHeight w:val="60"/>
        </w:trPr>
        <w:tc>
          <w:tcPr>
            <w:tcW w:w="4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283" w:type="dxa"/>
              <w:bottom w:w="80" w:type="dxa"/>
              <w:right w:w="80" w:type="dxa"/>
            </w:tcMar>
          </w:tcPr>
          <w:p w:rsidR="003404B2" w:rsidRDefault="003404B2">
            <w:pPr>
              <w:pStyle w:val="TableBodyTables"/>
            </w:pPr>
            <w:r>
              <w:t>RD05C</w:t>
            </w:r>
          </w:p>
        </w:tc>
        <w:tc>
          <w:tcPr>
            <w:tcW w:w="251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Paynes Road: Western Freeway Flyover (BR03) to Murray Road (IT11)</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NoParagraphStyle"/>
              <w:spacing w:line="240" w:lineRule="auto"/>
              <w:textAlignment w:val="auto"/>
              <w:rPr>
                <w:rFonts w:ascii="Arial" w:hAnsi="Arial" w:cs="Arial"/>
                <w:color w:val="auto"/>
                <w:lang w:val="en-AU"/>
              </w:rPr>
            </w:pPr>
          </w:p>
        </w:tc>
      </w:tr>
      <w:tr w:rsidR="003404B2" w:rsidTr="008B2C3A">
        <w:trPr>
          <w:trHeight w:val="60"/>
        </w:trPr>
        <w:tc>
          <w:tcPr>
            <w:tcW w:w="4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283" w:type="dxa"/>
              <w:bottom w:w="80" w:type="dxa"/>
              <w:right w:w="80" w:type="dxa"/>
            </w:tcMar>
          </w:tcPr>
          <w:p w:rsidR="003404B2" w:rsidRDefault="003404B2">
            <w:pPr>
              <w:pStyle w:val="TableBodyTables"/>
            </w:pPr>
            <w:r>
              <w:t>RD06B</w:t>
            </w:r>
          </w:p>
        </w:tc>
        <w:tc>
          <w:tcPr>
            <w:tcW w:w="251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Paynes Road: Alfred Road (IT12) to 'RB East West Road 1' (IT13)</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NoParagraphStyle"/>
              <w:spacing w:line="240" w:lineRule="auto"/>
              <w:textAlignment w:val="auto"/>
              <w:rPr>
                <w:rFonts w:ascii="Arial" w:hAnsi="Arial" w:cs="Arial"/>
                <w:color w:val="auto"/>
                <w:lang w:val="en-AU"/>
              </w:rPr>
            </w:pPr>
          </w:p>
        </w:tc>
      </w:tr>
      <w:tr w:rsidR="003404B2" w:rsidTr="008B2C3A">
        <w:trPr>
          <w:trHeight w:val="60"/>
        </w:trPr>
        <w:tc>
          <w:tcPr>
            <w:tcW w:w="4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283" w:type="dxa"/>
              <w:bottom w:w="80" w:type="dxa"/>
              <w:right w:w="80" w:type="dxa"/>
            </w:tcMar>
          </w:tcPr>
          <w:p w:rsidR="003404B2" w:rsidRDefault="003404B2">
            <w:pPr>
              <w:pStyle w:val="TableBodyTables"/>
            </w:pPr>
            <w:r>
              <w:t>RD06C</w:t>
            </w:r>
          </w:p>
        </w:tc>
        <w:tc>
          <w:tcPr>
            <w:tcW w:w="251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Paynes Road: Alfred Road (IT12) to 'RB East West Road 1' (IT13)</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NoParagraphStyle"/>
              <w:spacing w:line="240" w:lineRule="auto"/>
              <w:textAlignment w:val="auto"/>
              <w:rPr>
                <w:rFonts w:ascii="Arial" w:hAnsi="Arial" w:cs="Arial"/>
                <w:color w:val="auto"/>
                <w:lang w:val="en-AU"/>
              </w:rPr>
            </w:pPr>
          </w:p>
        </w:tc>
      </w:tr>
      <w:tr w:rsidR="003404B2" w:rsidTr="008B2C3A">
        <w:trPr>
          <w:trHeight w:val="60"/>
        </w:trPr>
        <w:tc>
          <w:tcPr>
            <w:tcW w:w="4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283" w:type="dxa"/>
              <w:bottom w:w="80" w:type="dxa"/>
              <w:right w:w="80" w:type="dxa"/>
            </w:tcMar>
          </w:tcPr>
          <w:p w:rsidR="003404B2" w:rsidRDefault="003404B2">
            <w:pPr>
              <w:pStyle w:val="TableBodyTables"/>
            </w:pPr>
            <w:r>
              <w:t>RD07B</w:t>
            </w:r>
          </w:p>
        </w:tc>
        <w:tc>
          <w:tcPr>
            <w:tcW w:w="251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Paynes Road: 'RB East West Road 1' (IT13) to Toolern Road (IT07)</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NoParagraphStyle"/>
              <w:spacing w:line="240" w:lineRule="auto"/>
              <w:textAlignment w:val="auto"/>
              <w:rPr>
                <w:rFonts w:ascii="Arial" w:hAnsi="Arial" w:cs="Arial"/>
                <w:color w:val="auto"/>
                <w:lang w:val="en-AU"/>
              </w:rPr>
            </w:pPr>
          </w:p>
        </w:tc>
      </w:tr>
      <w:tr w:rsidR="003404B2" w:rsidTr="008B2C3A">
        <w:trPr>
          <w:trHeight w:val="60"/>
        </w:trPr>
        <w:tc>
          <w:tcPr>
            <w:tcW w:w="4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283" w:type="dxa"/>
              <w:bottom w:w="80" w:type="dxa"/>
              <w:right w:w="80" w:type="dxa"/>
            </w:tcMar>
          </w:tcPr>
          <w:p w:rsidR="003404B2" w:rsidRDefault="003404B2">
            <w:pPr>
              <w:pStyle w:val="TableBodyTables"/>
            </w:pPr>
            <w:r>
              <w:t>RD07C</w:t>
            </w:r>
          </w:p>
        </w:tc>
        <w:tc>
          <w:tcPr>
            <w:tcW w:w="251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Paynes Road: 'RB East West Road 1' (IT13) to Toolern Road (IT07)</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NoParagraphStyle"/>
              <w:spacing w:line="240" w:lineRule="auto"/>
              <w:textAlignment w:val="auto"/>
              <w:rPr>
                <w:rFonts w:ascii="Arial" w:hAnsi="Arial" w:cs="Arial"/>
                <w:color w:val="auto"/>
                <w:lang w:val="en-AU"/>
              </w:rPr>
            </w:pPr>
          </w:p>
        </w:tc>
      </w:tr>
      <w:tr w:rsidR="003404B2" w:rsidTr="008B2C3A">
        <w:trPr>
          <w:trHeight w:val="60"/>
        </w:trPr>
        <w:tc>
          <w:tcPr>
            <w:tcW w:w="4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283" w:type="dxa"/>
              <w:bottom w:w="80" w:type="dxa"/>
              <w:right w:w="80" w:type="dxa"/>
            </w:tcMar>
          </w:tcPr>
          <w:p w:rsidR="003404B2" w:rsidRDefault="003404B2">
            <w:pPr>
              <w:pStyle w:val="TableBodyTables"/>
            </w:pPr>
            <w:r>
              <w:t>RD08B</w:t>
            </w:r>
          </w:p>
        </w:tc>
        <w:tc>
          <w:tcPr>
            <w:tcW w:w="251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Paynes Road: Toolern Road (IT07) to 'RB East West Road 3' (IT14)</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NoParagraphStyle"/>
              <w:spacing w:line="240" w:lineRule="auto"/>
              <w:textAlignment w:val="auto"/>
              <w:rPr>
                <w:rFonts w:ascii="Arial" w:hAnsi="Arial" w:cs="Arial"/>
                <w:color w:val="auto"/>
                <w:lang w:val="en-AU"/>
              </w:rPr>
            </w:pPr>
          </w:p>
        </w:tc>
      </w:tr>
      <w:tr w:rsidR="003404B2" w:rsidTr="008B2C3A">
        <w:trPr>
          <w:trHeight w:val="60"/>
        </w:trPr>
        <w:tc>
          <w:tcPr>
            <w:tcW w:w="4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283" w:type="dxa"/>
              <w:bottom w:w="80" w:type="dxa"/>
              <w:right w:w="80" w:type="dxa"/>
            </w:tcMar>
          </w:tcPr>
          <w:p w:rsidR="003404B2" w:rsidRDefault="003404B2">
            <w:pPr>
              <w:pStyle w:val="TableBodyTables"/>
            </w:pPr>
            <w:r>
              <w:t>RD08C</w:t>
            </w:r>
          </w:p>
        </w:tc>
        <w:tc>
          <w:tcPr>
            <w:tcW w:w="251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Paynes Road: Toolern Road (IT07) to 'RB East West Road 3' (IT14)</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NoParagraphStyle"/>
              <w:spacing w:line="240" w:lineRule="auto"/>
              <w:textAlignment w:val="auto"/>
              <w:rPr>
                <w:rFonts w:ascii="Arial" w:hAnsi="Arial" w:cs="Arial"/>
                <w:color w:val="auto"/>
                <w:lang w:val="en-AU"/>
              </w:rPr>
            </w:pPr>
          </w:p>
        </w:tc>
      </w:tr>
      <w:tr w:rsidR="003404B2" w:rsidTr="008B2C3A">
        <w:trPr>
          <w:trHeight w:val="60"/>
        </w:trPr>
        <w:tc>
          <w:tcPr>
            <w:tcW w:w="4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283" w:type="dxa"/>
              <w:bottom w:w="80" w:type="dxa"/>
              <w:right w:w="80" w:type="dxa"/>
            </w:tcMar>
          </w:tcPr>
          <w:p w:rsidR="003404B2" w:rsidRDefault="003404B2">
            <w:pPr>
              <w:pStyle w:val="TableBodyTables"/>
            </w:pPr>
            <w:r>
              <w:t>RD09B</w:t>
            </w:r>
          </w:p>
        </w:tc>
        <w:tc>
          <w:tcPr>
            <w:tcW w:w="251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Paynes Road: 'RB East West Road 3' (IT14) to Greigs Road (IT15)</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NoParagraphStyle"/>
              <w:spacing w:line="240" w:lineRule="auto"/>
              <w:textAlignment w:val="auto"/>
              <w:rPr>
                <w:rFonts w:ascii="Arial" w:hAnsi="Arial" w:cs="Arial"/>
                <w:color w:val="auto"/>
                <w:lang w:val="en-AU"/>
              </w:rPr>
            </w:pP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r>
      <w:tr w:rsidR="003404B2" w:rsidTr="008B2C3A">
        <w:trPr>
          <w:trHeight w:val="60"/>
        </w:trPr>
        <w:tc>
          <w:tcPr>
            <w:tcW w:w="4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283" w:type="dxa"/>
              <w:bottom w:w="80" w:type="dxa"/>
              <w:right w:w="80" w:type="dxa"/>
            </w:tcMar>
          </w:tcPr>
          <w:p w:rsidR="003404B2" w:rsidRDefault="003404B2">
            <w:pPr>
              <w:pStyle w:val="TableBodyTables"/>
            </w:pPr>
            <w:r>
              <w:t>RD09C</w:t>
            </w:r>
          </w:p>
        </w:tc>
        <w:tc>
          <w:tcPr>
            <w:tcW w:w="251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Paynes Road: 'RB East West Road 3' (IT14) to Greigs Road (IT15)</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NoParagraphStyle"/>
              <w:spacing w:line="240" w:lineRule="auto"/>
              <w:textAlignment w:val="auto"/>
              <w:rPr>
                <w:rFonts w:ascii="Arial" w:hAnsi="Arial" w:cs="Arial"/>
                <w:color w:val="auto"/>
                <w:lang w:val="en-AU"/>
              </w:rPr>
            </w:pP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r>
      <w:tr w:rsidR="003404B2" w:rsidTr="008B2C3A">
        <w:trPr>
          <w:trHeight w:val="60"/>
        </w:trPr>
        <w:tc>
          <w:tcPr>
            <w:tcW w:w="4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283" w:type="dxa"/>
              <w:bottom w:w="80" w:type="dxa"/>
              <w:right w:w="80" w:type="dxa"/>
            </w:tcMar>
          </w:tcPr>
          <w:p w:rsidR="003404B2" w:rsidRDefault="003404B2">
            <w:pPr>
              <w:pStyle w:val="TableBodyTables"/>
            </w:pPr>
            <w:r>
              <w:t>IT01C</w:t>
            </w:r>
          </w:p>
        </w:tc>
        <w:tc>
          <w:tcPr>
            <w:tcW w:w="251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Intersection: Greigs Road and Troups Road North</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NoParagraphStyle"/>
              <w:spacing w:line="240" w:lineRule="auto"/>
              <w:textAlignment w:val="auto"/>
              <w:rPr>
                <w:rFonts w:ascii="Arial" w:hAnsi="Arial" w:cs="Arial"/>
                <w:color w:val="auto"/>
                <w:lang w:val="en-AU"/>
              </w:rPr>
            </w:pP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r>
      <w:tr w:rsidR="003404B2" w:rsidTr="008B2C3A">
        <w:trPr>
          <w:trHeight w:val="60"/>
        </w:trPr>
        <w:tc>
          <w:tcPr>
            <w:tcW w:w="4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283" w:type="dxa"/>
              <w:bottom w:w="80" w:type="dxa"/>
              <w:right w:w="80" w:type="dxa"/>
            </w:tcMar>
          </w:tcPr>
          <w:p w:rsidR="003404B2" w:rsidRDefault="003404B2">
            <w:pPr>
              <w:pStyle w:val="TableBodyTables"/>
            </w:pPr>
            <w:r>
              <w:t>IT02C</w:t>
            </w:r>
          </w:p>
        </w:tc>
        <w:tc>
          <w:tcPr>
            <w:tcW w:w="251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Intersection: Greigs Road and 'RB North South Road 1'</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NoParagraphStyle"/>
              <w:spacing w:line="240" w:lineRule="auto"/>
              <w:textAlignment w:val="auto"/>
              <w:rPr>
                <w:rFonts w:ascii="Arial" w:hAnsi="Arial" w:cs="Arial"/>
                <w:color w:val="auto"/>
                <w:lang w:val="en-AU"/>
              </w:rPr>
            </w:pP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r>
      <w:tr w:rsidR="003404B2" w:rsidTr="008B2C3A">
        <w:trPr>
          <w:trHeight w:val="60"/>
        </w:trPr>
        <w:tc>
          <w:tcPr>
            <w:tcW w:w="4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283" w:type="dxa"/>
              <w:bottom w:w="80" w:type="dxa"/>
              <w:right w:w="80" w:type="dxa"/>
            </w:tcMar>
          </w:tcPr>
          <w:p w:rsidR="003404B2" w:rsidRDefault="003404B2">
            <w:pPr>
              <w:pStyle w:val="TableBodyTables"/>
            </w:pPr>
            <w:r>
              <w:t>IT03C</w:t>
            </w:r>
          </w:p>
        </w:tc>
        <w:tc>
          <w:tcPr>
            <w:tcW w:w="251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Intersection: Greigs Road and 'RB North South Road 2'</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NoParagraphStyle"/>
              <w:spacing w:line="240" w:lineRule="auto"/>
              <w:textAlignment w:val="auto"/>
              <w:rPr>
                <w:rFonts w:ascii="Arial" w:hAnsi="Arial" w:cs="Arial"/>
                <w:color w:val="auto"/>
                <w:lang w:val="en-AU"/>
              </w:rPr>
            </w:pP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r>
      <w:tr w:rsidR="003404B2" w:rsidTr="008B2C3A">
        <w:trPr>
          <w:trHeight w:val="60"/>
        </w:trPr>
        <w:tc>
          <w:tcPr>
            <w:tcW w:w="4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283" w:type="dxa"/>
              <w:bottom w:w="80" w:type="dxa"/>
              <w:right w:w="80" w:type="dxa"/>
            </w:tcMar>
          </w:tcPr>
          <w:p w:rsidR="003404B2" w:rsidRDefault="003404B2">
            <w:pPr>
              <w:pStyle w:val="TableBodyTables"/>
            </w:pPr>
            <w:r>
              <w:t>IT04B</w:t>
            </w:r>
          </w:p>
        </w:tc>
        <w:tc>
          <w:tcPr>
            <w:tcW w:w="251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Intersection: Rockbank Road and Greigs Road</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NoParagraphStyle"/>
              <w:spacing w:line="240" w:lineRule="auto"/>
              <w:textAlignment w:val="auto"/>
              <w:rPr>
                <w:rFonts w:ascii="Arial" w:hAnsi="Arial" w:cs="Arial"/>
                <w:color w:val="auto"/>
                <w:lang w:val="en-AU"/>
              </w:rPr>
            </w:pP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r>
      <w:tr w:rsidR="003404B2" w:rsidTr="008B2C3A">
        <w:trPr>
          <w:trHeight w:val="60"/>
        </w:trPr>
        <w:tc>
          <w:tcPr>
            <w:tcW w:w="4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283" w:type="dxa"/>
              <w:bottom w:w="80" w:type="dxa"/>
              <w:right w:w="80" w:type="dxa"/>
            </w:tcMar>
          </w:tcPr>
          <w:p w:rsidR="003404B2" w:rsidRDefault="003404B2">
            <w:pPr>
              <w:pStyle w:val="TableBodyTables"/>
            </w:pPr>
            <w:r>
              <w:lastRenderedPageBreak/>
              <w:t>IT04C</w:t>
            </w:r>
          </w:p>
        </w:tc>
        <w:tc>
          <w:tcPr>
            <w:tcW w:w="251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Intersection: Rockbank Road and Greigs Road</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NoParagraphStyle"/>
              <w:spacing w:line="240" w:lineRule="auto"/>
              <w:textAlignment w:val="auto"/>
              <w:rPr>
                <w:rFonts w:ascii="Arial" w:hAnsi="Arial" w:cs="Arial"/>
                <w:color w:val="auto"/>
                <w:lang w:val="en-AU"/>
              </w:rPr>
            </w:pP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r>
      <w:tr w:rsidR="003404B2" w:rsidTr="008B2C3A">
        <w:trPr>
          <w:trHeight w:val="60"/>
        </w:trPr>
        <w:tc>
          <w:tcPr>
            <w:tcW w:w="4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283" w:type="dxa"/>
              <w:bottom w:w="80" w:type="dxa"/>
              <w:right w:w="80" w:type="dxa"/>
            </w:tcMar>
          </w:tcPr>
          <w:p w:rsidR="003404B2" w:rsidRDefault="003404B2">
            <w:pPr>
              <w:pStyle w:val="TableBodyTables"/>
            </w:pPr>
            <w:r>
              <w:t>IT07B</w:t>
            </w:r>
          </w:p>
        </w:tc>
        <w:tc>
          <w:tcPr>
            <w:tcW w:w="251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Intersection: Toolern Road and Paynes Road</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NoParagraphStyle"/>
              <w:spacing w:line="240" w:lineRule="auto"/>
              <w:textAlignment w:val="auto"/>
              <w:rPr>
                <w:rFonts w:ascii="Arial" w:hAnsi="Arial" w:cs="Arial"/>
                <w:color w:val="auto"/>
                <w:lang w:val="en-AU"/>
              </w:rPr>
            </w:pPr>
          </w:p>
        </w:tc>
      </w:tr>
      <w:tr w:rsidR="003404B2" w:rsidTr="008B2C3A">
        <w:trPr>
          <w:trHeight w:val="60"/>
        </w:trPr>
        <w:tc>
          <w:tcPr>
            <w:tcW w:w="4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283" w:type="dxa"/>
              <w:bottom w:w="80" w:type="dxa"/>
              <w:right w:w="80" w:type="dxa"/>
            </w:tcMar>
          </w:tcPr>
          <w:p w:rsidR="003404B2" w:rsidRDefault="003404B2">
            <w:pPr>
              <w:pStyle w:val="TableBodyTables"/>
            </w:pPr>
            <w:r>
              <w:t>IT07C</w:t>
            </w:r>
          </w:p>
        </w:tc>
        <w:tc>
          <w:tcPr>
            <w:tcW w:w="251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Intersection: Toolern Road and Paynes Road</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NoParagraphStyle"/>
              <w:spacing w:line="240" w:lineRule="auto"/>
              <w:textAlignment w:val="auto"/>
              <w:rPr>
                <w:rFonts w:ascii="Arial" w:hAnsi="Arial" w:cs="Arial"/>
                <w:color w:val="auto"/>
                <w:lang w:val="en-AU"/>
              </w:rPr>
            </w:pPr>
          </w:p>
        </w:tc>
      </w:tr>
      <w:tr w:rsidR="003404B2" w:rsidTr="008B2C3A">
        <w:trPr>
          <w:trHeight w:val="60"/>
        </w:trPr>
        <w:tc>
          <w:tcPr>
            <w:tcW w:w="4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283" w:type="dxa"/>
              <w:bottom w:w="80" w:type="dxa"/>
              <w:right w:w="80" w:type="dxa"/>
            </w:tcMar>
          </w:tcPr>
          <w:p w:rsidR="003404B2" w:rsidRDefault="003404B2">
            <w:pPr>
              <w:pStyle w:val="TableBodyTables"/>
            </w:pPr>
            <w:r>
              <w:t>IT11B</w:t>
            </w:r>
          </w:p>
        </w:tc>
        <w:tc>
          <w:tcPr>
            <w:tcW w:w="251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Intersection: Paynes Road and Murray Road</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NoParagraphStyle"/>
              <w:spacing w:line="240" w:lineRule="auto"/>
              <w:textAlignment w:val="auto"/>
              <w:rPr>
                <w:rFonts w:ascii="Arial" w:hAnsi="Arial" w:cs="Arial"/>
                <w:color w:val="auto"/>
                <w:lang w:val="en-AU"/>
              </w:rPr>
            </w:pPr>
          </w:p>
        </w:tc>
      </w:tr>
      <w:tr w:rsidR="003404B2" w:rsidTr="008B2C3A">
        <w:trPr>
          <w:trHeight w:val="60"/>
        </w:trPr>
        <w:tc>
          <w:tcPr>
            <w:tcW w:w="4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283" w:type="dxa"/>
              <w:bottom w:w="80" w:type="dxa"/>
              <w:right w:w="80" w:type="dxa"/>
            </w:tcMar>
          </w:tcPr>
          <w:p w:rsidR="003404B2" w:rsidRDefault="003404B2">
            <w:pPr>
              <w:pStyle w:val="TableBodyTables"/>
            </w:pPr>
            <w:r>
              <w:t>IT11C</w:t>
            </w:r>
          </w:p>
        </w:tc>
        <w:tc>
          <w:tcPr>
            <w:tcW w:w="251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Intersection: Paynes Road and Murray Road</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NoParagraphStyle"/>
              <w:spacing w:line="240" w:lineRule="auto"/>
              <w:textAlignment w:val="auto"/>
              <w:rPr>
                <w:rFonts w:ascii="Arial" w:hAnsi="Arial" w:cs="Arial"/>
                <w:color w:val="auto"/>
                <w:lang w:val="en-AU"/>
              </w:rPr>
            </w:pPr>
          </w:p>
        </w:tc>
      </w:tr>
      <w:tr w:rsidR="003404B2" w:rsidTr="008B2C3A">
        <w:trPr>
          <w:trHeight w:val="60"/>
        </w:trPr>
        <w:tc>
          <w:tcPr>
            <w:tcW w:w="4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283" w:type="dxa"/>
              <w:bottom w:w="80" w:type="dxa"/>
              <w:right w:w="80" w:type="dxa"/>
            </w:tcMar>
          </w:tcPr>
          <w:p w:rsidR="003404B2" w:rsidRDefault="003404B2">
            <w:pPr>
              <w:pStyle w:val="TableBodyTables"/>
            </w:pPr>
            <w:r>
              <w:t>IT12B</w:t>
            </w:r>
          </w:p>
        </w:tc>
        <w:tc>
          <w:tcPr>
            <w:tcW w:w="251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Intersection: Paynes Road and Alfred Road</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NoParagraphStyle"/>
              <w:spacing w:line="240" w:lineRule="auto"/>
              <w:textAlignment w:val="auto"/>
              <w:rPr>
                <w:rFonts w:ascii="Arial" w:hAnsi="Arial" w:cs="Arial"/>
                <w:color w:val="auto"/>
                <w:lang w:val="en-AU"/>
              </w:rPr>
            </w:pPr>
          </w:p>
        </w:tc>
      </w:tr>
      <w:tr w:rsidR="003404B2" w:rsidTr="008B2C3A">
        <w:trPr>
          <w:trHeight w:val="60"/>
        </w:trPr>
        <w:tc>
          <w:tcPr>
            <w:tcW w:w="4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283" w:type="dxa"/>
              <w:bottom w:w="80" w:type="dxa"/>
              <w:right w:w="80" w:type="dxa"/>
            </w:tcMar>
          </w:tcPr>
          <w:p w:rsidR="003404B2" w:rsidRDefault="003404B2">
            <w:pPr>
              <w:pStyle w:val="TableBodyTables"/>
            </w:pPr>
            <w:r>
              <w:t>IT12C</w:t>
            </w:r>
          </w:p>
        </w:tc>
        <w:tc>
          <w:tcPr>
            <w:tcW w:w="251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Intersection: Paynes Road and Alfred Road</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NoParagraphStyle"/>
              <w:spacing w:line="240" w:lineRule="auto"/>
              <w:textAlignment w:val="auto"/>
              <w:rPr>
                <w:rFonts w:ascii="Arial" w:hAnsi="Arial" w:cs="Arial"/>
                <w:color w:val="auto"/>
                <w:lang w:val="en-AU"/>
              </w:rPr>
            </w:pPr>
          </w:p>
        </w:tc>
      </w:tr>
      <w:tr w:rsidR="003404B2" w:rsidTr="008B2C3A">
        <w:trPr>
          <w:trHeight w:val="60"/>
        </w:trPr>
        <w:tc>
          <w:tcPr>
            <w:tcW w:w="4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283" w:type="dxa"/>
              <w:bottom w:w="80" w:type="dxa"/>
              <w:right w:w="80" w:type="dxa"/>
            </w:tcMar>
          </w:tcPr>
          <w:p w:rsidR="003404B2" w:rsidRDefault="003404B2">
            <w:pPr>
              <w:pStyle w:val="TableBodyTables"/>
            </w:pPr>
            <w:r>
              <w:t>IT13B</w:t>
            </w:r>
          </w:p>
        </w:tc>
        <w:tc>
          <w:tcPr>
            <w:tcW w:w="251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Intersection: Paynes Road and 'RB East West Road 1'</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NoParagraphStyle"/>
              <w:spacing w:line="240" w:lineRule="auto"/>
              <w:textAlignment w:val="auto"/>
              <w:rPr>
                <w:rFonts w:ascii="Arial" w:hAnsi="Arial" w:cs="Arial"/>
                <w:color w:val="auto"/>
                <w:lang w:val="en-AU"/>
              </w:rPr>
            </w:pPr>
          </w:p>
        </w:tc>
      </w:tr>
      <w:tr w:rsidR="003404B2" w:rsidTr="008B2C3A">
        <w:trPr>
          <w:trHeight w:val="60"/>
        </w:trPr>
        <w:tc>
          <w:tcPr>
            <w:tcW w:w="4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283" w:type="dxa"/>
              <w:bottom w:w="80" w:type="dxa"/>
              <w:right w:w="80" w:type="dxa"/>
            </w:tcMar>
          </w:tcPr>
          <w:p w:rsidR="003404B2" w:rsidRDefault="003404B2">
            <w:pPr>
              <w:pStyle w:val="TableBodyTables"/>
            </w:pPr>
            <w:r>
              <w:t>IT13C</w:t>
            </w:r>
          </w:p>
        </w:tc>
        <w:tc>
          <w:tcPr>
            <w:tcW w:w="251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Intersection: Paynes Road and 'RB East West Road 1'</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NoParagraphStyle"/>
              <w:spacing w:line="240" w:lineRule="auto"/>
              <w:textAlignment w:val="auto"/>
              <w:rPr>
                <w:rFonts w:ascii="Arial" w:hAnsi="Arial" w:cs="Arial"/>
                <w:color w:val="auto"/>
                <w:lang w:val="en-AU"/>
              </w:rPr>
            </w:pPr>
          </w:p>
        </w:tc>
      </w:tr>
      <w:tr w:rsidR="003404B2" w:rsidTr="008B2C3A">
        <w:trPr>
          <w:trHeight w:val="60"/>
        </w:trPr>
        <w:tc>
          <w:tcPr>
            <w:tcW w:w="4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283" w:type="dxa"/>
              <w:bottom w:w="80" w:type="dxa"/>
              <w:right w:w="80" w:type="dxa"/>
            </w:tcMar>
          </w:tcPr>
          <w:p w:rsidR="003404B2" w:rsidRDefault="003404B2">
            <w:pPr>
              <w:pStyle w:val="TableBodyTables"/>
            </w:pPr>
            <w:r>
              <w:t>IT14B</w:t>
            </w:r>
          </w:p>
        </w:tc>
        <w:tc>
          <w:tcPr>
            <w:tcW w:w="251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Intersection: Paynes Road and 'RB East West Road 3'</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25%</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25%</w:t>
            </w:r>
          </w:p>
        </w:tc>
      </w:tr>
      <w:tr w:rsidR="003404B2" w:rsidTr="008B2C3A">
        <w:trPr>
          <w:trHeight w:val="60"/>
        </w:trPr>
        <w:tc>
          <w:tcPr>
            <w:tcW w:w="4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283" w:type="dxa"/>
              <w:bottom w:w="80" w:type="dxa"/>
              <w:right w:w="80" w:type="dxa"/>
            </w:tcMar>
          </w:tcPr>
          <w:p w:rsidR="003404B2" w:rsidRDefault="003404B2">
            <w:pPr>
              <w:pStyle w:val="TableBodyTables"/>
            </w:pPr>
            <w:r>
              <w:t>IT14C</w:t>
            </w:r>
          </w:p>
        </w:tc>
        <w:tc>
          <w:tcPr>
            <w:tcW w:w="251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Intersection: Paynes Road and 'RB East West Road 3'</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25%</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25%</w:t>
            </w:r>
          </w:p>
        </w:tc>
      </w:tr>
      <w:tr w:rsidR="003404B2" w:rsidTr="008B2C3A">
        <w:trPr>
          <w:trHeight w:val="60"/>
        </w:trPr>
        <w:tc>
          <w:tcPr>
            <w:tcW w:w="4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283" w:type="dxa"/>
              <w:bottom w:w="80" w:type="dxa"/>
              <w:right w:w="80" w:type="dxa"/>
            </w:tcMar>
          </w:tcPr>
          <w:p w:rsidR="003404B2" w:rsidRDefault="003404B2">
            <w:pPr>
              <w:pStyle w:val="TableBodyTables"/>
            </w:pPr>
            <w:r>
              <w:t>IT15B</w:t>
            </w:r>
          </w:p>
        </w:tc>
        <w:tc>
          <w:tcPr>
            <w:tcW w:w="251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Intersection: Paynes Road and Greigs Road</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25%</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NoParagraphStyle"/>
              <w:spacing w:line="240" w:lineRule="auto"/>
              <w:textAlignment w:val="auto"/>
              <w:rPr>
                <w:rFonts w:ascii="Arial" w:hAnsi="Arial" w:cs="Arial"/>
                <w:color w:val="auto"/>
                <w:lang w:val="en-AU"/>
              </w:rPr>
            </w:pP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75%</w:t>
            </w:r>
          </w:p>
        </w:tc>
      </w:tr>
      <w:tr w:rsidR="003404B2" w:rsidTr="008B2C3A">
        <w:trPr>
          <w:trHeight w:val="60"/>
        </w:trPr>
        <w:tc>
          <w:tcPr>
            <w:tcW w:w="4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283" w:type="dxa"/>
              <w:bottom w:w="80" w:type="dxa"/>
              <w:right w:w="80" w:type="dxa"/>
            </w:tcMar>
          </w:tcPr>
          <w:p w:rsidR="003404B2" w:rsidRDefault="003404B2">
            <w:pPr>
              <w:pStyle w:val="TableBodyTables"/>
            </w:pPr>
            <w:r>
              <w:t>IT15C</w:t>
            </w:r>
          </w:p>
        </w:tc>
        <w:tc>
          <w:tcPr>
            <w:tcW w:w="251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Intersection: Paynes Road and Greigs Road</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25%</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NoParagraphStyle"/>
              <w:spacing w:line="240" w:lineRule="auto"/>
              <w:textAlignment w:val="auto"/>
              <w:rPr>
                <w:rFonts w:ascii="Arial" w:hAnsi="Arial" w:cs="Arial"/>
                <w:color w:val="auto"/>
                <w:lang w:val="en-AU"/>
              </w:rPr>
            </w:pP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75%</w:t>
            </w:r>
          </w:p>
        </w:tc>
      </w:tr>
      <w:tr w:rsidR="003404B2" w:rsidTr="008B2C3A">
        <w:trPr>
          <w:trHeight w:val="60"/>
        </w:trPr>
        <w:tc>
          <w:tcPr>
            <w:tcW w:w="4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283" w:type="dxa"/>
              <w:bottom w:w="80" w:type="dxa"/>
              <w:right w:w="80" w:type="dxa"/>
            </w:tcMar>
          </w:tcPr>
          <w:p w:rsidR="003404B2" w:rsidRDefault="003404B2">
            <w:pPr>
              <w:pStyle w:val="TableBodyTables"/>
            </w:pPr>
            <w:r>
              <w:t>BR03C</w:t>
            </w:r>
          </w:p>
        </w:tc>
        <w:tc>
          <w:tcPr>
            <w:tcW w:w="251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Paynes Road Freeway Flyover</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NoParagraphStyle"/>
              <w:spacing w:line="240" w:lineRule="auto"/>
              <w:textAlignment w:val="auto"/>
              <w:rPr>
                <w:rFonts w:ascii="Arial" w:hAnsi="Arial" w:cs="Arial"/>
                <w:color w:val="auto"/>
                <w:lang w:val="en-AU"/>
              </w:rPr>
            </w:pPr>
          </w:p>
        </w:tc>
      </w:tr>
      <w:tr w:rsidR="003404B2" w:rsidTr="008B2C3A">
        <w:trPr>
          <w:trHeight w:val="60"/>
        </w:trPr>
        <w:tc>
          <w:tcPr>
            <w:tcW w:w="4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283" w:type="dxa"/>
              <w:bottom w:w="80" w:type="dxa"/>
              <w:right w:w="80" w:type="dxa"/>
            </w:tcMar>
          </w:tcPr>
          <w:p w:rsidR="003404B2" w:rsidRDefault="003404B2">
            <w:pPr>
              <w:pStyle w:val="TableBodyTables"/>
            </w:pPr>
            <w:r>
              <w:t>BR04B</w:t>
            </w:r>
          </w:p>
        </w:tc>
        <w:tc>
          <w:tcPr>
            <w:tcW w:w="251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 xml:space="preserve">Paynes Road Rail Flyover </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27.5%</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22.5%</w:t>
            </w:r>
          </w:p>
        </w:tc>
      </w:tr>
      <w:tr w:rsidR="003404B2" w:rsidTr="008B2C3A">
        <w:trPr>
          <w:trHeight w:val="60"/>
        </w:trPr>
        <w:tc>
          <w:tcPr>
            <w:tcW w:w="4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283" w:type="dxa"/>
              <w:bottom w:w="80" w:type="dxa"/>
              <w:right w:w="80" w:type="dxa"/>
            </w:tcMar>
          </w:tcPr>
          <w:p w:rsidR="003404B2" w:rsidRDefault="003404B2">
            <w:pPr>
              <w:pStyle w:val="TableBodyTables"/>
            </w:pPr>
            <w:r>
              <w:t>BR04C</w:t>
            </w:r>
          </w:p>
        </w:tc>
        <w:tc>
          <w:tcPr>
            <w:tcW w:w="251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 xml:space="preserve">Paynes Road Rail Flyover </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NoParagraphStyle"/>
              <w:spacing w:line="240" w:lineRule="auto"/>
              <w:textAlignment w:val="auto"/>
              <w:rPr>
                <w:rFonts w:ascii="Arial" w:hAnsi="Arial" w:cs="Arial"/>
                <w:color w:val="auto"/>
                <w:lang w:val="en-AU"/>
              </w:rPr>
            </w:pPr>
          </w:p>
        </w:tc>
      </w:tr>
      <w:tr w:rsidR="003404B2" w:rsidTr="008B2C3A">
        <w:trPr>
          <w:trHeight w:val="60"/>
        </w:trPr>
        <w:tc>
          <w:tcPr>
            <w:tcW w:w="4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283" w:type="dxa"/>
              <w:bottom w:w="80" w:type="dxa"/>
              <w:right w:w="80" w:type="dxa"/>
            </w:tcMar>
          </w:tcPr>
          <w:p w:rsidR="003404B2" w:rsidRDefault="003404B2">
            <w:pPr>
              <w:pStyle w:val="TableBodyTables"/>
            </w:pPr>
            <w:r>
              <w:t>BR07B</w:t>
            </w:r>
          </w:p>
        </w:tc>
        <w:tc>
          <w:tcPr>
            <w:tcW w:w="251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Paynes Road Level Crossing Upgrade</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50%</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NoParagraphStyle"/>
              <w:spacing w:line="240" w:lineRule="auto"/>
              <w:textAlignment w:val="auto"/>
              <w:rPr>
                <w:rFonts w:ascii="Arial" w:hAnsi="Arial" w:cs="Arial"/>
                <w:color w:val="auto"/>
                <w:lang w:val="en-AU"/>
              </w:rPr>
            </w:pPr>
          </w:p>
        </w:tc>
      </w:tr>
      <w:tr w:rsidR="003404B2" w:rsidTr="008B2C3A">
        <w:trPr>
          <w:trHeight w:val="60"/>
        </w:trPr>
        <w:tc>
          <w:tcPr>
            <w:tcW w:w="4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283" w:type="dxa"/>
              <w:bottom w:w="80" w:type="dxa"/>
              <w:right w:w="80" w:type="dxa"/>
            </w:tcMar>
          </w:tcPr>
          <w:p w:rsidR="003404B2" w:rsidRDefault="003404B2">
            <w:pPr>
              <w:pStyle w:val="TableBodyTables"/>
            </w:pPr>
            <w:r>
              <w:t>CI03A</w:t>
            </w:r>
          </w:p>
        </w:tc>
        <w:tc>
          <w:tcPr>
            <w:tcW w:w="251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Rockbank Community Centre (Rockbank Major Town Centre)</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55%</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NoParagraphStyle"/>
              <w:spacing w:line="240" w:lineRule="auto"/>
              <w:textAlignment w:val="auto"/>
              <w:rPr>
                <w:rFonts w:ascii="Arial" w:hAnsi="Arial" w:cs="Arial"/>
                <w:color w:val="auto"/>
                <w:lang w:val="en-AU"/>
              </w:rPr>
            </w:pP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45%</w:t>
            </w:r>
          </w:p>
        </w:tc>
      </w:tr>
      <w:tr w:rsidR="003404B2" w:rsidTr="008B2C3A">
        <w:trPr>
          <w:trHeight w:val="60"/>
        </w:trPr>
        <w:tc>
          <w:tcPr>
            <w:tcW w:w="4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283" w:type="dxa"/>
              <w:bottom w:w="80" w:type="dxa"/>
              <w:right w:w="80" w:type="dxa"/>
            </w:tcMar>
          </w:tcPr>
          <w:p w:rsidR="003404B2" w:rsidRDefault="003404B2">
            <w:pPr>
              <w:pStyle w:val="TableBodyTables"/>
            </w:pPr>
            <w:r>
              <w:t>AR03A</w:t>
            </w:r>
          </w:p>
        </w:tc>
        <w:tc>
          <w:tcPr>
            <w:tcW w:w="251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Rockbank North Sports Reserve (Rockbank North Community Hub)</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67%</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33%</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NoParagraphStyle"/>
              <w:spacing w:line="240" w:lineRule="auto"/>
              <w:textAlignment w:val="auto"/>
              <w:rPr>
                <w:rFonts w:ascii="Arial" w:hAnsi="Arial" w:cs="Arial"/>
                <w:color w:val="auto"/>
                <w:lang w:val="en-AU"/>
              </w:rPr>
            </w:pPr>
          </w:p>
        </w:tc>
      </w:tr>
      <w:tr w:rsidR="003404B2" w:rsidTr="008B2C3A">
        <w:trPr>
          <w:trHeight w:val="60"/>
        </w:trPr>
        <w:tc>
          <w:tcPr>
            <w:tcW w:w="4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283" w:type="dxa"/>
              <w:bottom w:w="80" w:type="dxa"/>
              <w:right w:w="80" w:type="dxa"/>
            </w:tcMar>
          </w:tcPr>
          <w:p w:rsidR="003404B2" w:rsidRDefault="003404B2">
            <w:pPr>
              <w:pStyle w:val="TableBodyTables"/>
            </w:pPr>
            <w:r>
              <w:t>AR03B</w:t>
            </w:r>
          </w:p>
        </w:tc>
        <w:tc>
          <w:tcPr>
            <w:tcW w:w="251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Rockbank North Sports Reserve (Rockbank North Community Hub)</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67%</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33%</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NoParagraphStyle"/>
              <w:spacing w:line="240" w:lineRule="auto"/>
              <w:textAlignment w:val="auto"/>
              <w:rPr>
                <w:rFonts w:ascii="Arial" w:hAnsi="Arial" w:cs="Arial"/>
                <w:color w:val="auto"/>
                <w:lang w:val="en-AU"/>
              </w:rPr>
            </w:pPr>
          </w:p>
        </w:tc>
      </w:tr>
      <w:tr w:rsidR="003404B2" w:rsidTr="008B2C3A">
        <w:trPr>
          <w:trHeight w:val="60"/>
        </w:trPr>
        <w:tc>
          <w:tcPr>
            <w:tcW w:w="4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283" w:type="dxa"/>
              <w:bottom w:w="80" w:type="dxa"/>
              <w:right w:w="80" w:type="dxa"/>
            </w:tcMar>
          </w:tcPr>
          <w:p w:rsidR="003404B2" w:rsidRDefault="003404B2">
            <w:pPr>
              <w:pStyle w:val="TableBodyTables"/>
            </w:pPr>
            <w:r>
              <w:t>AR03C</w:t>
            </w:r>
          </w:p>
        </w:tc>
        <w:tc>
          <w:tcPr>
            <w:tcW w:w="251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Rockbank North Sports Reserve (Rockbank North Community Hub)</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67%</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33%</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NoParagraphStyle"/>
              <w:spacing w:line="240" w:lineRule="auto"/>
              <w:textAlignment w:val="auto"/>
              <w:rPr>
                <w:rFonts w:ascii="Arial" w:hAnsi="Arial" w:cs="Arial"/>
                <w:color w:val="auto"/>
                <w:lang w:val="en-AU"/>
              </w:rPr>
            </w:pPr>
          </w:p>
        </w:tc>
      </w:tr>
      <w:tr w:rsidR="003404B2" w:rsidTr="008B2C3A">
        <w:trPr>
          <w:trHeight w:val="60"/>
        </w:trPr>
        <w:tc>
          <w:tcPr>
            <w:tcW w:w="4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283" w:type="dxa"/>
              <w:bottom w:w="80" w:type="dxa"/>
              <w:right w:w="80" w:type="dxa"/>
            </w:tcMar>
          </w:tcPr>
          <w:p w:rsidR="003404B2" w:rsidRDefault="003404B2">
            <w:pPr>
              <w:pStyle w:val="TableBodyTables"/>
            </w:pPr>
            <w:r>
              <w:t>AR05A</w:t>
            </w:r>
          </w:p>
        </w:tc>
        <w:tc>
          <w:tcPr>
            <w:tcW w:w="251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Rockbank Recreation Centre (Rockbank Major Town Centre)</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55%</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NoParagraphStyle"/>
              <w:spacing w:line="240" w:lineRule="auto"/>
              <w:textAlignment w:val="auto"/>
              <w:rPr>
                <w:rFonts w:ascii="Arial" w:hAnsi="Arial" w:cs="Arial"/>
                <w:color w:val="auto"/>
                <w:lang w:val="en-AU"/>
              </w:rPr>
            </w:pP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45%</w:t>
            </w:r>
          </w:p>
        </w:tc>
      </w:tr>
      <w:tr w:rsidR="003404B2" w:rsidTr="008B2C3A">
        <w:trPr>
          <w:trHeight w:val="60"/>
        </w:trPr>
        <w:tc>
          <w:tcPr>
            <w:tcW w:w="4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283" w:type="dxa"/>
              <w:bottom w:w="80" w:type="dxa"/>
              <w:right w:w="80" w:type="dxa"/>
            </w:tcMar>
          </w:tcPr>
          <w:p w:rsidR="003404B2" w:rsidRDefault="003404B2">
            <w:pPr>
              <w:pStyle w:val="TableBodyTables"/>
            </w:pPr>
            <w:r>
              <w:lastRenderedPageBreak/>
              <w:t>AR06B</w:t>
            </w:r>
          </w:p>
        </w:tc>
        <w:tc>
          <w:tcPr>
            <w:tcW w:w="251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pPr>
            <w:r>
              <w:t>Sporting Club (Rockbank South Precinct Structure Plan)</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55%</w:t>
            </w: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NoParagraphStyle"/>
              <w:spacing w:line="240" w:lineRule="auto"/>
              <w:textAlignment w:val="auto"/>
              <w:rPr>
                <w:rFonts w:ascii="Arial" w:hAnsi="Arial" w:cs="Arial"/>
                <w:color w:val="auto"/>
                <w:lang w:val="en-AU"/>
              </w:rPr>
            </w:pPr>
          </w:p>
        </w:tc>
        <w:tc>
          <w:tcPr>
            <w:tcW w:w="6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3404B2" w:rsidRDefault="003404B2">
            <w:pPr>
              <w:pStyle w:val="TableBodyTables"/>
              <w:jc w:val="center"/>
            </w:pPr>
            <w:r>
              <w:t>45%</w:t>
            </w:r>
          </w:p>
        </w:tc>
      </w:tr>
    </w:tbl>
    <w:p w:rsidR="003404B2" w:rsidRDefault="003404B2" w:rsidP="003404B2">
      <w:pPr>
        <w:pStyle w:val="BodyContent"/>
      </w:pPr>
    </w:p>
    <w:p w:rsidR="003404B2" w:rsidRDefault="003404B2" w:rsidP="003404B2">
      <w:pPr>
        <w:pStyle w:val="BodyContent"/>
      </w:pPr>
    </w:p>
    <w:p w:rsidR="003404B2" w:rsidRDefault="003404B2" w:rsidP="00A07662">
      <w:pPr>
        <w:pStyle w:val="Heading1"/>
      </w:pPr>
      <w:bookmarkStart w:id="35" w:name="_Toc467676194"/>
      <w:r>
        <w:lastRenderedPageBreak/>
        <w:t>ADMINISTRATION</w:t>
      </w:r>
      <w:bookmarkEnd w:id="35"/>
      <w:r>
        <w:t xml:space="preserve"> </w:t>
      </w:r>
    </w:p>
    <w:p w:rsidR="003404B2" w:rsidRDefault="003404B2" w:rsidP="007900B2">
      <w:pPr>
        <w:pStyle w:val="BodyContent"/>
        <w:ind w:left="0"/>
      </w:pPr>
      <w:r>
        <w:t>This section sets how the DCP will be administered and includes the timing of payment, provision of works and land ’in kind‘ and how the DCP fund will be managed in terms of reporting, indexation and review periods.</w:t>
      </w:r>
    </w:p>
    <w:p w:rsidR="003404B2" w:rsidRDefault="003404B2" w:rsidP="007900B2">
      <w:pPr>
        <w:pStyle w:val="BodyContent"/>
        <w:ind w:left="0"/>
      </w:pPr>
      <w:r>
        <w:t xml:space="preserve">The development infrastructure levy applies to subdivision and/or development of land. </w:t>
      </w:r>
    </w:p>
    <w:p w:rsidR="003404B2" w:rsidRDefault="003404B2" w:rsidP="007900B2">
      <w:pPr>
        <w:pStyle w:val="BodyContent"/>
        <w:ind w:left="0"/>
      </w:pPr>
      <w:r>
        <w:t>Melton City Council will be both the collecting agency and the development agency for the purposes of the DCP.</w:t>
      </w:r>
    </w:p>
    <w:p w:rsidR="003404B2" w:rsidRDefault="003404B2" w:rsidP="00A07662">
      <w:pPr>
        <w:pStyle w:val="Heading2"/>
      </w:pPr>
      <w:bookmarkStart w:id="36" w:name="_Toc467676195"/>
      <w:r>
        <w:t>Payment of contributions and payment timing</w:t>
      </w:r>
      <w:bookmarkEnd w:id="36"/>
    </w:p>
    <w:p w:rsidR="003404B2" w:rsidRDefault="003404B2" w:rsidP="00A07662">
      <w:pPr>
        <w:pStyle w:val="Heading3"/>
      </w:pPr>
      <w:r>
        <w:t>Development infrastructure levy (DIL)</w:t>
      </w:r>
    </w:p>
    <w:p w:rsidR="003404B2" w:rsidRDefault="003404B2" w:rsidP="007900B2">
      <w:pPr>
        <w:pStyle w:val="BodyContent"/>
        <w:ind w:left="0"/>
        <w:rPr>
          <w:rStyle w:val="BodyBOLDITALICS"/>
        </w:rPr>
      </w:pPr>
      <w:r>
        <w:rPr>
          <w:rStyle w:val="BodyBOLDITALICS"/>
        </w:rPr>
        <w:t xml:space="preserve">For subdivision of land </w:t>
      </w:r>
    </w:p>
    <w:p w:rsidR="003404B2" w:rsidRDefault="003404B2" w:rsidP="007900B2">
      <w:pPr>
        <w:pStyle w:val="BodyContent"/>
        <w:ind w:left="0"/>
      </w:pPr>
      <w:r>
        <w:t>A development infrastructure levy (DIL) must be paid to the collecting agency for the land within the following specified time, namely after certification of the relevant plan of subdivision but not more than 21 days prior to the issue of a Statement of Compliance in respect of that plan or included in an implementation agreement under section 173 of the Act.</w:t>
      </w:r>
    </w:p>
    <w:p w:rsidR="003404B2" w:rsidRDefault="003404B2" w:rsidP="007900B2">
      <w:pPr>
        <w:pStyle w:val="BodyContent"/>
        <w:ind w:left="0"/>
      </w:pPr>
      <w:r>
        <w:t>Where the subdivision is to be developed in stages, the infrastructure levy for the stage to be developed only may be paid to the collecting agency within 21 days prior to the issue of a Statement of Compliance in respect of that stage provided that a Schedule of Development Contributions is submitted with each stage of the plan of subdivision. This Schedule must show the amount of the development contributions payable for each stage and value of the contributions in respect of prior stages to the satisfaction of the collecting agency or included in an implementation agreement under section 173 of the Act.</w:t>
      </w:r>
    </w:p>
    <w:p w:rsidR="003404B2" w:rsidRDefault="003404B2" w:rsidP="007900B2">
      <w:pPr>
        <w:pStyle w:val="BodyContent"/>
        <w:ind w:left="0"/>
      </w:pPr>
      <w:r>
        <w:t>If the collecting agency agrees to works and/or provision of land in lieu of the payment of the infrastructure levy, the landowner must enter into an agreement under section 173 of the Act in respect of the proposed works and/or provision of land in kind to specific requirements.</w:t>
      </w:r>
    </w:p>
    <w:p w:rsidR="003404B2" w:rsidRDefault="003404B2" w:rsidP="003404B2">
      <w:pPr>
        <w:pStyle w:val="BodyContent"/>
      </w:pPr>
    </w:p>
    <w:p w:rsidR="003404B2" w:rsidRDefault="003404B2" w:rsidP="007900B2">
      <w:pPr>
        <w:pStyle w:val="BodyContent"/>
        <w:ind w:left="0"/>
        <w:rPr>
          <w:rStyle w:val="BodyBOLDITALICS"/>
        </w:rPr>
      </w:pPr>
      <w:r>
        <w:rPr>
          <w:rStyle w:val="BodyBOLDITALICS"/>
        </w:rPr>
        <w:t>For development of land where no subdivision is proposed</w:t>
      </w:r>
    </w:p>
    <w:p w:rsidR="003404B2" w:rsidRDefault="003404B2" w:rsidP="007900B2">
      <w:pPr>
        <w:pStyle w:val="BodyContent"/>
        <w:ind w:left="0"/>
      </w:pPr>
      <w:r>
        <w:t xml:space="preserve">Provided an infrastructure levy has not already been paid on subject land, an infrastructure levy must be paid to the collecting agency in accordance with the provisions of the approved DCP for each demand unit (net developable hectare) proposed to be developed prior to the commencement of any development (i.e. development includes buildings, car park, access ways, landscaping and ancillary components). The collecting agency may require that development infrastructure levy contributions be made at either the planning permit or building permit stage. </w:t>
      </w:r>
    </w:p>
    <w:p w:rsidR="003404B2" w:rsidRDefault="003404B2" w:rsidP="007900B2">
      <w:pPr>
        <w:pStyle w:val="BodyContent"/>
        <w:ind w:left="0"/>
      </w:pPr>
      <w:r>
        <w:t>If the collecting agency agrees to works and/or provision of land in lieu of the payment of the infrastructure levy, the landowner must enter into an agreement under section 173 of the Act or other arrangement acceptable to the collecting agency proposed in respect of the proposed works and/or land to be provided in kind.</w:t>
      </w:r>
    </w:p>
    <w:p w:rsidR="003404B2" w:rsidRDefault="003404B2" w:rsidP="007900B2">
      <w:pPr>
        <w:pStyle w:val="BodyContent"/>
        <w:ind w:left="0"/>
        <w:rPr>
          <w:rStyle w:val="BodyBOLDITALICS"/>
        </w:rPr>
      </w:pPr>
      <w:r>
        <w:rPr>
          <w:rStyle w:val="BodyBOLDITALICS"/>
        </w:rPr>
        <w:t>Where no planning permit is required</w:t>
      </w:r>
    </w:p>
    <w:p w:rsidR="003404B2" w:rsidRDefault="003404B2" w:rsidP="007900B2">
      <w:pPr>
        <w:pStyle w:val="BodyContent"/>
        <w:ind w:left="0"/>
      </w:pPr>
      <w:r>
        <w:t>The following requirement applies where no planning permit is required. The land may only be used and developed subject to the following requirement being met:</w:t>
      </w:r>
    </w:p>
    <w:p w:rsidR="003404B2" w:rsidRPr="002A1B48" w:rsidRDefault="003404B2" w:rsidP="002A1B48">
      <w:pPr>
        <w:pStyle w:val="List1bullet"/>
        <w:rPr>
          <w:sz w:val="17"/>
          <w:szCs w:val="17"/>
        </w:rPr>
      </w:pPr>
      <w:r w:rsidRPr="002A1B48">
        <w:rPr>
          <w:sz w:val="17"/>
          <w:szCs w:val="17"/>
        </w:rPr>
        <w:t>Unless some other arrangement has been agreed to by collecting agency in a section 173 agreement, prior to the commencement of any development, a development infrastructure levy must be paid to the collecting agency in accordance with the provisions of the DCP for the land.</w:t>
      </w:r>
    </w:p>
    <w:p w:rsidR="003404B2" w:rsidRDefault="003404B2" w:rsidP="002A1B48">
      <w:pPr>
        <w:pStyle w:val="BodyContent"/>
        <w:ind w:left="0"/>
      </w:pPr>
      <w:r>
        <w:t>If the collecting agency agrees to works and/or provision of land in lieu of the payment of the infrastructure levy, the landowner must enter into an agreement under section 173 of the Act in respect of the proposed works or provision of land that is proposed to be provided in kind.</w:t>
      </w:r>
    </w:p>
    <w:p w:rsidR="003404B2" w:rsidRDefault="003404B2" w:rsidP="00A07662">
      <w:pPr>
        <w:pStyle w:val="Heading3"/>
      </w:pPr>
      <w:r>
        <w:t>Community infrastructure levy (CIL)</w:t>
      </w:r>
    </w:p>
    <w:p w:rsidR="003404B2" w:rsidRDefault="003404B2" w:rsidP="002A1B48">
      <w:pPr>
        <w:pStyle w:val="BodyContent"/>
        <w:ind w:left="0"/>
      </w:pPr>
      <w:r>
        <w:t>Contributions relating to community infrastructure are to be made by the home-builder prior to the issue of a building permit. However, development proponents are encouraged to pay the levy prior to the issue of a State of Compliance to reduce the administrative burden of collection from individual home builders.</w:t>
      </w:r>
    </w:p>
    <w:p w:rsidR="003404B2" w:rsidRDefault="003404B2" w:rsidP="002A1B48">
      <w:pPr>
        <w:pStyle w:val="BodyContent"/>
        <w:ind w:left="0"/>
      </w:pPr>
      <w:r>
        <w:t>Levies for ‘residential buildings’ will be calculated at the rate for a single dwelling. In all other forms of accommodation, the dwelling is the individual unit (such as each dwelling in a residential village, retirement village, serviced apartments, etc.). Corrective institutions are exempt.</w:t>
      </w:r>
    </w:p>
    <w:p w:rsidR="003404B2" w:rsidRDefault="003404B2" w:rsidP="002A1B48">
      <w:pPr>
        <w:pStyle w:val="BodyContent"/>
        <w:ind w:left="0"/>
      </w:pPr>
      <w:r>
        <w:lastRenderedPageBreak/>
        <w:t>The community infrastructure levy (CIL) is not payable for a dwelling on a lot that was created prior to the date that this DCP was first incorporated into the Melton Planning Scheme.</w:t>
      </w:r>
    </w:p>
    <w:p w:rsidR="003404B2" w:rsidRDefault="003404B2" w:rsidP="00A07662">
      <w:pPr>
        <w:pStyle w:val="Heading3"/>
      </w:pPr>
      <w:r>
        <w:t>Works-in-kind</w:t>
      </w:r>
    </w:p>
    <w:p w:rsidR="003404B2" w:rsidRDefault="003404B2" w:rsidP="002A1B48">
      <w:pPr>
        <w:pStyle w:val="BodyContent"/>
        <w:ind w:left="0"/>
      </w:pPr>
      <w:r>
        <w:t>The collecting agency may permit development proponents to undertake works in lieu of cash payments, providing that:</w:t>
      </w:r>
    </w:p>
    <w:p w:rsidR="003404B2" w:rsidRDefault="003404B2" w:rsidP="002A1B48">
      <w:pPr>
        <w:pStyle w:val="List1bullet"/>
      </w:pPr>
      <w:r>
        <w:t>The works constitute projects funded by the DCP</w:t>
      </w:r>
    </w:p>
    <w:p w:rsidR="003404B2" w:rsidRDefault="003404B2" w:rsidP="002A1B48">
      <w:pPr>
        <w:pStyle w:val="List1bullet"/>
      </w:pPr>
      <w:r>
        <w:t>The collecting agency agrees that the timing of the works would be consistent with priorities in the DCP</w:t>
      </w:r>
    </w:p>
    <w:p w:rsidR="003404B2" w:rsidRDefault="003404B2" w:rsidP="002A1B48">
      <w:pPr>
        <w:pStyle w:val="List1bullet"/>
      </w:pPr>
      <w:r>
        <w:t>The development proponent complies with appropriate tendering, documentation, supervision and related provisions as required by the responsible authority</w:t>
      </w:r>
    </w:p>
    <w:p w:rsidR="003404B2" w:rsidRDefault="003404B2" w:rsidP="002A1B48">
      <w:pPr>
        <w:pStyle w:val="List1bullet"/>
      </w:pPr>
      <w:r>
        <w:t>Works must be provided to a standard that generally accords with the DCP, unless an alternative is agreed by the collecting agency and the development agency</w:t>
      </w:r>
    </w:p>
    <w:p w:rsidR="003404B2" w:rsidRDefault="003404B2" w:rsidP="002A1B48">
      <w:pPr>
        <w:pStyle w:val="List1bullet"/>
      </w:pPr>
      <w:r>
        <w:t>Detailed design must be approved by the collecting agency and the development agency and must generally accord with the standards outlined in the DCP unless an alternative is agreed by the collecting agency and the development agency</w:t>
      </w:r>
    </w:p>
    <w:p w:rsidR="003404B2" w:rsidRDefault="003404B2" w:rsidP="002A1B48">
      <w:pPr>
        <w:pStyle w:val="List1bullet"/>
      </w:pPr>
      <w:r>
        <w:t>The construction of works must be completed to the satisfaction of the collecting agency and the development agency</w:t>
      </w:r>
    </w:p>
    <w:p w:rsidR="003404B2" w:rsidRDefault="003404B2" w:rsidP="002A1B48">
      <w:pPr>
        <w:pStyle w:val="BULLETSContent"/>
        <w:ind w:left="0" w:firstLine="0"/>
      </w:pPr>
      <w:r>
        <w:t>There should be no negative financial impact on the DCP to the satisfaction of the collecting agency.</w:t>
      </w:r>
    </w:p>
    <w:p w:rsidR="003404B2" w:rsidRDefault="003404B2" w:rsidP="002A1B48">
      <w:pPr>
        <w:pStyle w:val="BodyContent"/>
        <w:ind w:left="0"/>
      </w:pPr>
      <w:r>
        <w:t>In particular, the works will only be accepted in lieu of a financial contribution required by the DCP to the extent that they constitute part or all of the design of the infrastructure item and reduce the cost to complete that design, to the satisfaction of the collecting agency. Temporary works will not be accepted as works in kind.</w:t>
      </w:r>
    </w:p>
    <w:p w:rsidR="003404B2" w:rsidRDefault="003404B2" w:rsidP="002A1B48">
      <w:pPr>
        <w:pStyle w:val="BodyContent"/>
        <w:ind w:left="0"/>
      </w:pPr>
      <w:r>
        <w:t xml:space="preserve">Where the collecting agency agrees that works are to be provided by a development proponent in lieu of cash contribution (subject to the arrangements specified above): </w:t>
      </w:r>
    </w:p>
    <w:p w:rsidR="003404B2" w:rsidRDefault="003404B2" w:rsidP="002A1B48">
      <w:pPr>
        <w:pStyle w:val="List1bullet"/>
      </w:pPr>
      <w:r>
        <w:t>The credit for the works provided (unless an alternative approach is agreed with the collecting agency) shall equal the final cost of the works up to the maximum identified in the DCP, taking into account the impact of indexation, or to an alternative figure approved by the collecting agency</w:t>
      </w:r>
    </w:p>
    <w:p w:rsidR="003404B2" w:rsidRDefault="003404B2" w:rsidP="002A1B48">
      <w:pPr>
        <w:pStyle w:val="List1bullet"/>
      </w:pPr>
      <w:r>
        <w:t>The value of works provided in accordance with the principle outlined above will be offset against the development contributions liable to be paid by the development proponent</w:t>
      </w:r>
    </w:p>
    <w:p w:rsidR="003404B2" w:rsidRDefault="003404B2" w:rsidP="002A1B48">
      <w:pPr>
        <w:pStyle w:val="List1bullet"/>
      </w:pPr>
      <w:r>
        <w:t>No further financial contributions will be required until the agreed value of any credits are used.</w:t>
      </w:r>
    </w:p>
    <w:p w:rsidR="003404B2" w:rsidRDefault="003404B2" w:rsidP="00A07662">
      <w:pPr>
        <w:pStyle w:val="Heading3"/>
      </w:pPr>
      <w:r>
        <w:t>Credit for over provision</w:t>
      </w:r>
    </w:p>
    <w:p w:rsidR="003404B2" w:rsidRDefault="003404B2" w:rsidP="002A1B48">
      <w:pPr>
        <w:pStyle w:val="BodyContent"/>
        <w:ind w:left="0"/>
      </w:pPr>
      <w:r>
        <w:t xml:space="preserve">Where the collecting agency agrees that a development proponent can deliver an infrastructure item (either works and/or land), the situation may arise where the developer makes a contribution with a value that exceeds that required by the DCP. </w:t>
      </w:r>
    </w:p>
    <w:p w:rsidR="003404B2" w:rsidRDefault="003404B2" w:rsidP="002A1B48">
      <w:pPr>
        <w:pStyle w:val="BodyContent"/>
        <w:ind w:left="0"/>
      </w:pPr>
      <w:r>
        <w:t>In such a case the developer may be entitled to credits against other projects in the DCP to the extent of the excess contribution. Alternatively, a developer may seek an agreement with the collecting agency to provide cash reimbursement where an over-contribution has been made.</w:t>
      </w:r>
    </w:p>
    <w:p w:rsidR="003404B2" w:rsidRDefault="003404B2" w:rsidP="002A1B48">
      <w:pPr>
        <w:pStyle w:val="BodyContent"/>
        <w:ind w:left="0"/>
      </w:pPr>
      <w:r>
        <w:t>The details of credits and reimbursements for construction will need to be negotiated with, and agreed to by the collecting agency. The value of credits and reimbursements for the transfer of land will need to be at the values that are outlined in the DCP, subject to revaluation and indexation of the land as specified in Section 4.3.</w:t>
      </w:r>
    </w:p>
    <w:p w:rsidR="003404B2" w:rsidRDefault="003404B2" w:rsidP="003404B2">
      <w:pPr>
        <w:pStyle w:val="BodyContent"/>
      </w:pPr>
    </w:p>
    <w:p w:rsidR="003404B2" w:rsidRDefault="003404B2" w:rsidP="00A07662">
      <w:pPr>
        <w:pStyle w:val="Heading3"/>
      </w:pPr>
      <w:r>
        <w:t>Non-government schools</w:t>
      </w:r>
    </w:p>
    <w:p w:rsidR="003404B2" w:rsidRDefault="003404B2" w:rsidP="002A1B48">
      <w:pPr>
        <w:pStyle w:val="BodyContent"/>
        <w:ind w:left="0"/>
      </w:pPr>
      <w:r>
        <w:t>Where land is subdivided or developed for the purpose of a non-government school and the use of that land is subsequently for a purpose other than a non-government school, the owner of that land must pay to the collecting agency development contributions in accordance with the provision of the DCP. The development infrastructure levy and, where applicable, the community infrastructure levy must be paid within 28 days of the date of the commencement of the construction of any buildings or works for that alternative use.</w:t>
      </w:r>
    </w:p>
    <w:p w:rsidR="003404B2" w:rsidRDefault="003404B2" w:rsidP="00A07662">
      <w:pPr>
        <w:pStyle w:val="Heading3"/>
      </w:pPr>
      <w:r>
        <w:lastRenderedPageBreak/>
        <w:t>Public open space contributions</w:t>
      </w:r>
    </w:p>
    <w:p w:rsidR="003404B2" w:rsidRDefault="003404B2" w:rsidP="002A1B48">
      <w:pPr>
        <w:pStyle w:val="BodyContent"/>
        <w:ind w:left="0"/>
      </w:pPr>
      <w:r>
        <w:t xml:space="preserve">This DCP does not provide funding for local parks. Local parks are provided through Clause 52.01 of the Melton Planning Scheme. </w:t>
      </w:r>
    </w:p>
    <w:p w:rsidR="003404B2" w:rsidRDefault="003404B2" w:rsidP="00A07662">
      <w:pPr>
        <w:pStyle w:val="Heading2"/>
      </w:pPr>
      <w:r>
        <w:t xml:space="preserve"> </w:t>
      </w:r>
      <w:bookmarkStart w:id="37" w:name="_Toc467676196"/>
      <w:r>
        <w:t>Funds administration</w:t>
      </w:r>
      <w:bookmarkEnd w:id="37"/>
    </w:p>
    <w:p w:rsidR="003404B2" w:rsidRDefault="003404B2" w:rsidP="002A1B48">
      <w:pPr>
        <w:pStyle w:val="BodyContent"/>
        <w:ind w:left="0"/>
      </w:pPr>
      <w:r>
        <w:rPr>
          <w:spacing w:val="-1"/>
        </w:rPr>
        <w:t>The administration of the contributions made under the DCP will be transparent and development contributions charges will be held until required for provision of the items in that class. Details of funds received and expenditures will be held by the collecting agency in accordance with the provisions of the Local Government Act 1993 and the Act.</w:t>
      </w:r>
    </w:p>
    <w:p w:rsidR="003404B2" w:rsidRDefault="003404B2" w:rsidP="002A1B48">
      <w:pPr>
        <w:pStyle w:val="BodyContent"/>
        <w:ind w:left="0"/>
      </w:pPr>
      <w:r>
        <w:t>The administration of contributions made under the DCP will be transparent and demonstrate the:</w:t>
      </w:r>
    </w:p>
    <w:p w:rsidR="003404B2" w:rsidRDefault="003404B2" w:rsidP="002A1B48">
      <w:pPr>
        <w:pStyle w:val="List1bullet"/>
      </w:pPr>
      <w:r>
        <w:t>Amount and timing of funds collected</w:t>
      </w:r>
    </w:p>
    <w:p w:rsidR="003404B2" w:rsidRDefault="003404B2" w:rsidP="002A1B48">
      <w:pPr>
        <w:pStyle w:val="List1bullet"/>
      </w:pPr>
      <w:r>
        <w:t>Source of the funds collected</w:t>
      </w:r>
    </w:p>
    <w:p w:rsidR="003404B2" w:rsidRDefault="003404B2" w:rsidP="002A1B48">
      <w:pPr>
        <w:pStyle w:val="List1bullet"/>
      </w:pPr>
      <w:r>
        <w:t>Amount and timing of expenditure on specific projects</w:t>
      </w:r>
    </w:p>
    <w:p w:rsidR="003404B2" w:rsidRDefault="003404B2" w:rsidP="002A1B48">
      <w:pPr>
        <w:pStyle w:val="List1bullet"/>
      </w:pPr>
      <w:r>
        <w:t>Project on which the expenditure was made</w:t>
      </w:r>
    </w:p>
    <w:p w:rsidR="003404B2" w:rsidRDefault="003404B2" w:rsidP="002A1B48">
      <w:pPr>
        <w:pStyle w:val="List1bullet"/>
      </w:pPr>
      <w:r>
        <w:t>Account balances for individual project classes</w:t>
      </w:r>
    </w:p>
    <w:p w:rsidR="003404B2" w:rsidRDefault="003404B2" w:rsidP="002A1B48">
      <w:pPr>
        <w:pStyle w:val="List1bullet"/>
      </w:pPr>
      <w:r>
        <w:t>Details of works in kind arrangements for project provision</w:t>
      </w:r>
    </w:p>
    <w:p w:rsidR="003404B2" w:rsidRDefault="003404B2" w:rsidP="002A1B48">
      <w:pPr>
        <w:pStyle w:val="List1bullet"/>
      </w:pPr>
      <w:r>
        <w:t>Pooling or quarantining of funds to deliver specific projects, where applicable.</w:t>
      </w:r>
    </w:p>
    <w:p w:rsidR="003404B2" w:rsidRDefault="003404B2" w:rsidP="002A1B48">
      <w:pPr>
        <w:pStyle w:val="BodyContent"/>
        <w:ind w:left="0"/>
      </w:pPr>
      <w:r>
        <w:t>The collecting agency will provide for regular monitoring, reporting and review of the monies received and expended in accordance with the DCP.</w:t>
      </w:r>
    </w:p>
    <w:p w:rsidR="003404B2" w:rsidRDefault="003404B2" w:rsidP="002A1B48">
      <w:pPr>
        <w:pStyle w:val="BodyContent"/>
        <w:ind w:left="0"/>
      </w:pPr>
      <w:r>
        <w:t xml:space="preserve">The collecting agency will establish interest bearing accounts and all monies held in these accounts will be used solely for the provision of infrastructure as </w:t>
      </w:r>
      <w:proofErr w:type="spellStart"/>
      <w:r>
        <w:t>itemised</w:t>
      </w:r>
      <w:proofErr w:type="spellEnd"/>
      <w:r>
        <w:t xml:space="preserve"> in the DCP, as required under section 46QA of the Act.</w:t>
      </w:r>
    </w:p>
    <w:p w:rsidR="003404B2" w:rsidRDefault="003404B2" w:rsidP="002A1B48">
      <w:pPr>
        <w:pStyle w:val="BodyContent"/>
        <w:ind w:left="0"/>
      </w:pPr>
      <w:r>
        <w:t>Should the collecting agency resolve to not proceed with any of the infrastructure projects listed in the DCP, the funds collected for these items will be used for the provision of alternative works in the same infrastructure class as specified in the DCP. Such funds may also be used for the provision of additional works, services or facilities where approved by the Minister responsible for the Act, or will be refunded to owners of land subject to these infrastructure charges.</w:t>
      </w:r>
    </w:p>
    <w:p w:rsidR="003404B2" w:rsidRDefault="003404B2" w:rsidP="00A07662">
      <w:pPr>
        <w:pStyle w:val="Heading2"/>
      </w:pPr>
      <w:bookmarkStart w:id="38" w:name="_Toc467676197"/>
      <w:r>
        <w:t>Construction and land value costs indexation</w:t>
      </w:r>
      <w:bookmarkEnd w:id="38"/>
    </w:p>
    <w:p w:rsidR="003404B2" w:rsidRDefault="003404B2" w:rsidP="002A1B48">
      <w:pPr>
        <w:pStyle w:val="BodyContent"/>
        <w:ind w:left="0"/>
      </w:pPr>
      <w:r>
        <w:t>Capital costs of all infrastructure items, including land are in 2016 dollars and will be adjusted by the collecting agency annually for inflation.</w:t>
      </w:r>
    </w:p>
    <w:p w:rsidR="003404B2" w:rsidRDefault="003404B2" w:rsidP="002A1B48">
      <w:pPr>
        <w:pStyle w:val="BodyContent"/>
        <w:ind w:left="0"/>
      </w:pPr>
      <w:r>
        <w:t>In relation to the costs associated with infrastructure items other than land, the cost must be adjusted according to the following method:</w:t>
      </w:r>
    </w:p>
    <w:p w:rsidR="003404B2" w:rsidRDefault="003404B2" w:rsidP="002A1B48">
      <w:pPr>
        <w:pStyle w:val="List1bullet"/>
      </w:pPr>
      <w:r>
        <w:t xml:space="preserve">Roads, intersections and bridges – the capital cost for each infrastructure item will be adjusted by applying the Building Price Index, as published in the latest edition of </w:t>
      </w:r>
      <w:proofErr w:type="spellStart"/>
      <w:r>
        <w:rPr>
          <w:rStyle w:val="BodybulletITALICS"/>
        </w:rPr>
        <w:t>Rawlinsons</w:t>
      </w:r>
      <w:proofErr w:type="spellEnd"/>
      <w:r>
        <w:rPr>
          <w:rStyle w:val="BodybulletITALICS"/>
        </w:rPr>
        <w:t xml:space="preserve"> Australian Construction Handbook</w:t>
      </w:r>
    </w:p>
    <w:p w:rsidR="003404B2" w:rsidRDefault="003404B2" w:rsidP="002A1B48">
      <w:pPr>
        <w:pStyle w:val="List1bullet"/>
      </w:pPr>
      <w:r>
        <w:t xml:space="preserve">All other infrastructure items – the capital cost for each infrastructure item will be adjusted by applying the Building Price Index, as published in the latest edition of </w:t>
      </w:r>
      <w:proofErr w:type="spellStart"/>
      <w:r>
        <w:rPr>
          <w:rStyle w:val="BodybulletITALICS"/>
        </w:rPr>
        <w:t>Rawlinsons</w:t>
      </w:r>
      <w:proofErr w:type="spellEnd"/>
      <w:r>
        <w:rPr>
          <w:rStyle w:val="BodybulletITALICS"/>
        </w:rPr>
        <w:t xml:space="preserve"> Australian Construction Handbook</w:t>
      </w:r>
      <w:r>
        <w:t>.</w:t>
      </w:r>
    </w:p>
    <w:p w:rsidR="003404B2" w:rsidRDefault="003404B2" w:rsidP="002A1B48">
      <w:pPr>
        <w:pStyle w:val="BodyContent"/>
        <w:ind w:left="0"/>
      </w:pPr>
      <w:r>
        <w:t xml:space="preserve">Estimates of land value will be revised annually by a registered </w:t>
      </w:r>
      <w:proofErr w:type="spellStart"/>
      <w:r>
        <w:t>valuer</w:t>
      </w:r>
      <w:proofErr w:type="spellEnd"/>
      <w:r>
        <w:t xml:space="preserve"> based on the Public Land </w:t>
      </w:r>
      <w:proofErr w:type="spellStart"/>
      <w:r>
        <w:t>Equalisation</w:t>
      </w:r>
      <w:proofErr w:type="spellEnd"/>
      <w:r>
        <w:t xml:space="preserve"> Methodology. Revisions may occur more frequently if market conditions warrant.</w:t>
      </w:r>
    </w:p>
    <w:p w:rsidR="003404B2" w:rsidRDefault="003404B2" w:rsidP="002A1B48">
      <w:pPr>
        <w:pStyle w:val="BodyContent"/>
        <w:ind w:left="0"/>
      </w:pPr>
      <w:r>
        <w:t>The collecting agency will publish the amended contributions on the collecting agency’s website within 14 days of the adjustments being made.</w:t>
      </w:r>
    </w:p>
    <w:p w:rsidR="003404B2" w:rsidRDefault="003404B2" w:rsidP="002A1B48">
      <w:pPr>
        <w:pStyle w:val="BodyContent"/>
        <w:ind w:left="0"/>
      </w:pPr>
      <w:r>
        <w:t>Community infrastructure levy projects are indexed but the value of the contribution may not exceed the maximum as set out by the Act.</w:t>
      </w:r>
    </w:p>
    <w:p w:rsidR="003404B2" w:rsidRDefault="003404B2" w:rsidP="002A1B48">
      <w:pPr>
        <w:pStyle w:val="BodyContent"/>
        <w:ind w:left="0"/>
      </w:pPr>
      <w:r>
        <w:t>In future if the community infrastructure levy is amended then the levy applicable to the release of any remaining dwellings may be adjusted in accordance with the revised legislative and regulatory approach as directed by the Minister for Planning.</w:t>
      </w:r>
    </w:p>
    <w:p w:rsidR="003404B2" w:rsidRDefault="003404B2" w:rsidP="00A07662">
      <w:pPr>
        <w:pStyle w:val="Heading2"/>
      </w:pPr>
      <w:bookmarkStart w:id="39" w:name="_Toc467676198"/>
      <w:r>
        <w:lastRenderedPageBreak/>
        <w:t>Review period</w:t>
      </w:r>
      <w:bookmarkEnd w:id="39"/>
    </w:p>
    <w:p w:rsidR="003404B2" w:rsidRDefault="003404B2" w:rsidP="002A1B48">
      <w:pPr>
        <w:pStyle w:val="BodyContent"/>
        <w:ind w:left="0"/>
      </w:pPr>
      <w:r>
        <w:t>The DCP commenced on the date when it was first incorporated into the Melton Planning Scheme through Amendment C145.</w:t>
      </w:r>
    </w:p>
    <w:p w:rsidR="003404B2" w:rsidRDefault="003404B2" w:rsidP="002A1B48">
      <w:pPr>
        <w:pStyle w:val="BodyContent"/>
        <w:ind w:left="0"/>
      </w:pPr>
      <w:r>
        <w:t>The DCP adopts a long-term outlook for future development in Rockbank. A ‘full development’ horizon of land within the current Urban Growth Boundary to the year 2046 has been adopted to inform the DCP.</w:t>
      </w:r>
    </w:p>
    <w:p w:rsidR="003404B2" w:rsidRDefault="003404B2" w:rsidP="002A1B48">
      <w:pPr>
        <w:pStyle w:val="BodyContent"/>
        <w:ind w:left="0"/>
      </w:pPr>
      <w:r>
        <w:t xml:space="preserve">The DCP is expected to be revised and updated every five years (or more frequently if required). This will require an amendment to the Melton Planning Scheme to replace this document with an alternative, revised document. Any review will need to have regard to any arrangements (e.g. section 173 agreements under the Act) for the implementation of the DCP. </w:t>
      </w:r>
    </w:p>
    <w:p w:rsidR="003404B2" w:rsidRDefault="003404B2" w:rsidP="00A07662">
      <w:pPr>
        <w:pStyle w:val="Heading2"/>
      </w:pPr>
      <w:bookmarkStart w:id="40" w:name="_Toc467676199"/>
      <w:r>
        <w:t>Adjustment to the scope of projects</w:t>
      </w:r>
      <w:bookmarkEnd w:id="40"/>
    </w:p>
    <w:p w:rsidR="003404B2" w:rsidRDefault="003404B2" w:rsidP="002A1B48">
      <w:pPr>
        <w:pStyle w:val="BodyContent"/>
        <w:ind w:left="0"/>
      </w:pPr>
      <w:r>
        <w:t>The infrastructure projects in the DCP have been costed to a sufficient level of detail; however, all of the projects will require a detailed design process prior to construction.</w:t>
      </w:r>
    </w:p>
    <w:p w:rsidR="003404B2" w:rsidRDefault="003404B2" w:rsidP="002A1B48">
      <w:pPr>
        <w:pStyle w:val="BodyContent"/>
        <w:ind w:left="0"/>
      </w:pPr>
      <w:r>
        <w:t>As part of detailed design, the Council or a development proponent with the consent of the Council may amend or modify some aspects of projects, so long as they are still generally in accordance with the PSP and any direction regarding the scope outlined in the DCP.</w:t>
      </w:r>
    </w:p>
    <w:p w:rsidR="003404B2" w:rsidRDefault="003404B2" w:rsidP="002A1B48">
      <w:pPr>
        <w:pStyle w:val="BodyContent"/>
        <w:ind w:left="0"/>
      </w:pPr>
      <w:r>
        <w:rPr>
          <w:spacing w:val="-1"/>
        </w:rPr>
        <w:t>A development proponent may also propose material changes to the use and development of land from that contemplated in the PSP, leading to an increased requirement for infrastructure. In these cases there should be no negative impact on the DCP by requirement for the developer to bear the additional costs associated with the provision of the infrastructure item over and above the standard required by the DCP.</w:t>
      </w:r>
    </w:p>
    <w:p w:rsidR="003404B2" w:rsidRDefault="003404B2" w:rsidP="002A1B48">
      <w:pPr>
        <w:pStyle w:val="BodyContent"/>
        <w:ind w:left="0"/>
      </w:pPr>
      <w:r>
        <w:rPr>
          <w:spacing w:val="-1"/>
        </w:rPr>
        <w:t>Where the Council or another agency seeks to change the scope of a DCP infrastructure item to meet changing standards imposed by adopted policy or a public regulatory agency, such changes of standards and the resulting cost changes should normally be made through a change to the DCP at the time of a regular review of the DCP.</w:t>
      </w:r>
    </w:p>
    <w:p w:rsidR="003404B2" w:rsidRDefault="003404B2" w:rsidP="002A1B48">
      <w:pPr>
        <w:pStyle w:val="BodyContent"/>
        <w:ind w:left="0"/>
      </w:pPr>
      <w:r>
        <w:t>Where, after the DCP has been approved, a Council or other agency proposes changes to the scope of a DCP infrastructure item for reasons other than changes in standards imposed by policy or regulation the net cost increases resulting from the change should normally be met by the agency requesting the change.</w:t>
      </w:r>
    </w:p>
    <w:p w:rsidR="003404B2" w:rsidRDefault="003404B2" w:rsidP="00A07662">
      <w:pPr>
        <w:pStyle w:val="Heading2"/>
      </w:pPr>
      <w:bookmarkStart w:id="41" w:name="_Toc467676200"/>
      <w:r>
        <w:t>Collecting agency (Agency responsible for collecting infrastructure levy)</w:t>
      </w:r>
      <w:bookmarkEnd w:id="41"/>
    </w:p>
    <w:p w:rsidR="003404B2" w:rsidRDefault="003404B2" w:rsidP="002A1B48">
      <w:pPr>
        <w:pStyle w:val="BodyContent"/>
        <w:ind w:left="0"/>
      </w:pPr>
      <w:r>
        <w:t xml:space="preserve">Melton City Council is the collecting agency pursuant to section </w:t>
      </w:r>
      <w:proofErr w:type="gramStart"/>
      <w:r>
        <w:t>46K(</w:t>
      </w:r>
      <w:proofErr w:type="gramEnd"/>
      <w:r>
        <w:t>1)(fa) of the Act which means that it is the public authority to whom all levies are payable. As the collecting agency, Melton City Council is responsible for the administration of this DCP and also its enforcement pursuant to section 46QC of the Act.</w:t>
      </w:r>
    </w:p>
    <w:p w:rsidR="003404B2" w:rsidRDefault="003404B2" w:rsidP="00A07662">
      <w:pPr>
        <w:pStyle w:val="Heading2"/>
      </w:pPr>
      <w:bookmarkStart w:id="42" w:name="_Toc467676201"/>
      <w:r>
        <w:t>Development agency (Agency responsible for works)</w:t>
      </w:r>
      <w:bookmarkEnd w:id="42"/>
    </w:p>
    <w:p w:rsidR="003404B2" w:rsidRDefault="003404B2" w:rsidP="002A1B48">
      <w:pPr>
        <w:pStyle w:val="BodyContent"/>
        <w:ind w:left="0"/>
      </w:pPr>
      <w:r>
        <w:t xml:space="preserve">Melton City Council is the development agency and is responsible for the provision of the designated infrastructure projects that are funded under the DCP and the timing of all works. </w:t>
      </w:r>
    </w:p>
    <w:p w:rsidR="003404B2" w:rsidRDefault="003404B2" w:rsidP="00A07662">
      <w:pPr>
        <w:pStyle w:val="Heading1"/>
      </w:pPr>
      <w:bookmarkStart w:id="43" w:name="_Toc467676202"/>
      <w:r>
        <w:lastRenderedPageBreak/>
        <w:t>IMPLEMENTATION STRATEGY</w:t>
      </w:r>
      <w:bookmarkEnd w:id="43"/>
      <w:r>
        <w:t xml:space="preserve"> </w:t>
      </w:r>
    </w:p>
    <w:p w:rsidR="003404B2" w:rsidRDefault="003404B2" w:rsidP="002A1B48">
      <w:pPr>
        <w:pStyle w:val="BodyContent"/>
        <w:ind w:left="0"/>
      </w:pPr>
      <w:r>
        <w:t xml:space="preserve">This section provides further details regarding how the collecting agency intends to implement the DCP. In particular, this section clearly identifies the rationale for the implementation strategy and details the various measures that have been adopted to reduce the risk posed by the DCP to all parties. </w:t>
      </w:r>
    </w:p>
    <w:p w:rsidR="003404B2" w:rsidRDefault="003404B2" w:rsidP="00A07662">
      <w:pPr>
        <w:pStyle w:val="Heading2"/>
      </w:pPr>
      <w:bookmarkStart w:id="44" w:name="_Toc467676203"/>
      <w:r>
        <w:t>Rationale for the implementation strategy</w:t>
      </w:r>
      <w:bookmarkEnd w:id="44"/>
    </w:p>
    <w:p w:rsidR="003404B2" w:rsidRDefault="003404B2" w:rsidP="002A1B48">
      <w:pPr>
        <w:pStyle w:val="BodyContent"/>
        <w:ind w:left="0"/>
      </w:pPr>
      <w:r>
        <w:t xml:space="preserve">This implementation strategy has been included to provide certainty to both the collecting agency and development proponents. The implementation strategy </w:t>
      </w:r>
      <w:proofErr w:type="spellStart"/>
      <w:r>
        <w:t>recognises</w:t>
      </w:r>
      <w:proofErr w:type="spellEnd"/>
      <w:r>
        <w:t xml:space="preserve"> the complexities associated with infrastructure provision and funding and seeks to </w:t>
      </w:r>
      <w:proofErr w:type="spellStart"/>
      <w:r>
        <w:t>minimise</w:t>
      </w:r>
      <w:proofErr w:type="spellEnd"/>
      <w:r>
        <w:t xml:space="preserve"> risk to the collecting agency, development agency, development proponent and future community. </w:t>
      </w:r>
    </w:p>
    <w:p w:rsidR="003404B2" w:rsidRDefault="003404B2" w:rsidP="002A1B48">
      <w:pPr>
        <w:pStyle w:val="BodyContent"/>
        <w:ind w:left="0"/>
      </w:pPr>
      <w:r>
        <w:t xml:space="preserve">This implementation strategy has been formulated by: </w:t>
      </w:r>
    </w:p>
    <w:p w:rsidR="003404B2" w:rsidRDefault="003404B2" w:rsidP="002A1B48">
      <w:pPr>
        <w:pStyle w:val="List1bullet"/>
      </w:pPr>
      <w:r>
        <w:t>Assessing the PSP</w:t>
      </w:r>
    </w:p>
    <w:p w:rsidR="003404B2" w:rsidRDefault="003404B2" w:rsidP="002A1B48">
      <w:pPr>
        <w:pStyle w:val="List1bullet"/>
      </w:pPr>
      <w:r>
        <w:t>Having regard to the development context</w:t>
      </w:r>
    </w:p>
    <w:p w:rsidR="003404B2" w:rsidRDefault="003404B2" w:rsidP="002A1B48">
      <w:pPr>
        <w:pStyle w:val="List1bullet"/>
      </w:pPr>
      <w:r>
        <w:t>Assessing the need for finance requirements including upfront financing and pooling of funds</w:t>
      </w:r>
    </w:p>
    <w:p w:rsidR="003404B2" w:rsidRDefault="003404B2" w:rsidP="002A1B48">
      <w:pPr>
        <w:pStyle w:val="List1bullet"/>
      </w:pPr>
      <w:r>
        <w:t>Agreeing the land value and indexing it appropriately (where possible)</w:t>
      </w:r>
    </w:p>
    <w:p w:rsidR="003404B2" w:rsidRDefault="003404B2" w:rsidP="002A1B48">
      <w:pPr>
        <w:pStyle w:val="List1bullet"/>
      </w:pPr>
      <w:r>
        <w:t>Identifying preferred implementation mechanisms to achieve the above outcomes and reducing the risk associated with the DCP to ensure that it will be delivered as intended.</w:t>
      </w:r>
    </w:p>
    <w:p w:rsidR="003404B2" w:rsidRDefault="003404B2" w:rsidP="00A07662">
      <w:pPr>
        <w:pStyle w:val="Heading2"/>
      </w:pPr>
      <w:bookmarkStart w:id="45" w:name="_Toc467676204"/>
      <w:r>
        <w:t>Implementation mechanism</w:t>
      </w:r>
      <w:bookmarkEnd w:id="45"/>
    </w:p>
    <w:p w:rsidR="003404B2" w:rsidRDefault="003404B2" w:rsidP="002A1B48">
      <w:pPr>
        <w:pStyle w:val="BodyContent"/>
        <w:ind w:left="0"/>
      </w:pPr>
      <w:r>
        <w:t>Under section 46P of the Act, the collecting agency may accept (with the consent of the development agency where the collecting agency is not also the development agency) the provision of land, works, services or facilities by the applicant in part or full satisfaction of the amount of levy payment. This can be agreement with the collecting agency before or after the application for the permit is made or before the development is carried out.</w:t>
      </w:r>
    </w:p>
    <w:p w:rsidR="003404B2" w:rsidRDefault="003404B2" w:rsidP="002A1B48">
      <w:pPr>
        <w:pStyle w:val="BodyContent"/>
        <w:ind w:left="0"/>
      </w:pPr>
      <w:r>
        <w:t xml:space="preserve">To coordinate the provision of infrastructure, Schedule 7 to the Urban Growth Zone in the Melton Planning Scheme for the PSP requires an application for subdivision to be accompanied by an infrastructure plan to the satisfaction of the responsibility authority. </w:t>
      </w:r>
    </w:p>
    <w:p w:rsidR="003404B2" w:rsidRDefault="003404B2" w:rsidP="002A1B48">
      <w:pPr>
        <w:pStyle w:val="BodyContent"/>
        <w:ind w:left="0"/>
      </w:pPr>
      <w:r>
        <w:t>The Public Infrastructure Plan needs to show the location, type, staging and timing of infrastructure on the land as identified in the Rockbank PSP or reasonably required as a result of the subdivision of the land and address the following:</w:t>
      </w:r>
    </w:p>
    <w:p w:rsidR="003404B2" w:rsidRDefault="003404B2" w:rsidP="002A1B48">
      <w:pPr>
        <w:pStyle w:val="BULLETSContent"/>
        <w:ind w:left="0" w:firstLine="0"/>
      </w:pPr>
      <w:proofErr w:type="spellStart"/>
      <w:r>
        <w:t>Stormwater</w:t>
      </w:r>
      <w:proofErr w:type="spellEnd"/>
      <w:r>
        <w:t xml:space="preserve"> drainage works</w:t>
      </w:r>
    </w:p>
    <w:p w:rsidR="003404B2" w:rsidRDefault="003404B2" w:rsidP="002A1B48">
      <w:pPr>
        <w:pStyle w:val="List1bullet"/>
      </w:pPr>
      <w:r>
        <w:t>Road works internal or external to the land consistent with any relevant traffic report or assessment</w:t>
      </w:r>
    </w:p>
    <w:p w:rsidR="003404B2" w:rsidRDefault="003404B2" w:rsidP="002A1B48">
      <w:pPr>
        <w:pStyle w:val="List1bullet"/>
      </w:pPr>
      <w:r>
        <w:t>The reserving or encumbrance of land for infrastructure, including for community facilities, sports reserves and open space</w:t>
      </w:r>
    </w:p>
    <w:p w:rsidR="003404B2" w:rsidRDefault="003404B2" w:rsidP="002A1B48">
      <w:pPr>
        <w:pStyle w:val="List1bullet"/>
      </w:pPr>
      <w:r>
        <w:t>Any infrastructure works that an applicant proposes to provide in lieu of development contributions in accordance with the DCP</w:t>
      </w:r>
    </w:p>
    <w:p w:rsidR="003404B2" w:rsidRDefault="003404B2" w:rsidP="002A1B48">
      <w:pPr>
        <w:pStyle w:val="List1bullet"/>
      </w:pPr>
      <w:r>
        <w:t>The effects of the provision of infrastructure on the land or any other land</w:t>
      </w:r>
    </w:p>
    <w:p w:rsidR="003404B2" w:rsidRDefault="003404B2" w:rsidP="002A1B48">
      <w:pPr>
        <w:pStyle w:val="List1bullet"/>
      </w:pPr>
      <w:r>
        <w:t xml:space="preserve">Any other relevant matter related to the provision of infrastructure reasonably required by the responsible authority. </w:t>
      </w:r>
    </w:p>
    <w:p w:rsidR="003404B2" w:rsidRDefault="003404B2" w:rsidP="002A1B48">
      <w:pPr>
        <w:pStyle w:val="BodyContent"/>
        <w:ind w:left="0"/>
      </w:pPr>
      <w:r>
        <w:t>Through the approval of these agreements, Melton City Council (acting as the collecting agency) will consider if and what infrastructure should be provided as works in kind under the DCP in accordance with section 46P of the Act. The agreement must include a list of the DCP infrastructure projects that the collecting agency has agreed in writing to allow to be provided as works and/or land in lieu.</w:t>
      </w:r>
    </w:p>
    <w:p w:rsidR="003404B2" w:rsidRDefault="003404B2" w:rsidP="003404B2">
      <w:pPr>
        <w:pStyle w:val="BodyContent"/>
      </w:pPr>
    </w:p>
    <w:p w:rsidR="003404B2" w:rsidRDefault="003404B2" w:rsidP="003404B2">
      <w:pPr>
        <w:pStyle w:val="BodyContent"/>
      </w:pPr>
    </w:p>
    <w:p w:rsidR="003404B2" w:rsidRDefault="003404B2" w:rsidP="00A07662">
      <w:pPr>
        <w:pStyle w:val="Heading1"/>
      </w:pPr>
      <w:bookmarkStart w:id="46" w:name="_Toc467676205"/>
      <w:r>
        <w:lastRenderedPageBreak/>
        <w:t>APPENDICES</w:t>
      </w:r>
      <w:bookmarkEnd w:id="46"/>
    </w:p>
    <w:p w:rsidR="003404B2" w:rsidRDefault="003404B2" w:rsidP="003404B2">
      <w:pPr>
        <w:pStyle w:val="BodyContent"/>
        <w:ind w:left="0"/>
      </w:pPr>
      <w:r>
        <w:t>Refer to separate appendices document.</w:t>
      </w:r>
    </w:p>
    <w:p w:rsidR="003404B2" w:rsidRDefault="003404B2" w:rsidP="00A07662">
      <w:pPr>
        <w:pStyle w:val="Heading2nonumbers"/>
      </w:pPr>
      <w:bookmarkStart w:id="47" w:name="_Toc467676206"/>
      <w:r>
        <w:t>Appendix A – Detailed land budget (property-specific)</w:t>
      </w:r>
      <w:bookmarkEnd w:id="47"/>
    </w:p>
    <w:p w:rsidR="003404B2" w:rsidRDefault="003404B2" w:rsidP="00A07662">
      <w:pPr>
        <w:pStyle w:val="Heading2nonumbers"/>
      </w:pPr>
      <w:bookmarkStart w:id="48" w:name="_Toc467676207"/>
      <w:r>
        <w:t>Appendix B – Transport project cost sheets</w:t>
      </w:r>
      <w:bookmarkEnd w:id="48"/>
    </w:p>
    <w:p w:rsidR="003404B2" w:rsidRDefault="003404B2" w:rsidP="00A07662">
      <w:pPr>
        <w:pStyle w:val="Heading2nonumbers"/>
      </w:pPr>
      <w:bookmarkStart w:id="49" w:name="_Toc467676208"/>
      <w:r>
        <w:t>Appendix C – Community facilities and active recreation project cost sheets</w:t>
      </w:r>
      <w:bookmarkEnd w:id="49"/>
    </w:p>
    <w:p w:rsidR="003404B2" w:rsidRPr="00A07662" w:rsidRDefault="003404B2" w:rsidP="00A07662">
      <w:pPr>
        <w:pStyle w:val="Heading2nonumbers"/>
        <w:rPr>
          <w:rFonts w:ascii="Arial" w:hAnsi="Arial"/>
          <w:b/>
          <w:bCs/>
          <w:sz w:val="17"/>
          <w:szCs w:val="17"/>
        </w:rPr>
      </w:pPr>
      <w:bookmarkStart w:id="50" w:name="_Toc467676209"/>
      <w:r>
        <w:t>Appendix D – Land valuation ‘over’ and ‘under’ provision of public land table</w:t>
      </w:r>
      <w:bookmarkEnd w:id="50"/>
    </w:p>
    <w:p w:rsidR="00A25E1D" w:rsidRDefault="00A25E1D" w:rsidP="00084BEC"/>
    <w:p w:rsidR="00A25E1D" w:rsidRPr="00084BEC" w:rsidRDefault="00A25E1D" w:rsidP="00084BEC"/>
    <w:sectPr w:rsidR="00A25E1D" w:rsidRPr="00084BEC" w:rsidSect="00A25E1D">
      <w:headerReference w:type="default" r:id="rId13"/>
      <w:footerReference w:type="even" r:id="rId14"/>
      <w:footerReference w:type="default" r:id="rId15"/>
      <w:pgSz w:w="11901" w:h="16846" w:code="9"/>
      <w:pgMar w:top="1701" w:right="1418" w:bottom="851" w:left="1985" w:header="284"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2C3A" w:rsidRDefault="008B2C3A">
      <w:pPr>
        <w:spacing w:before="0"/>
      </w:pPr>
      <w:r>
        <w:separator/>
      </w:r>
    </w:p>
    <w:p w:rsidR="008B2C3A" w:rsidRDefault="008B2C3A"/>
    <w:p w:rsidR="008B2C3A" w:rsidRDefault="008B2C3A"/>
  </w:endnote>
  <w:endnote w:type="continuationSeparator" w:id="0">
    <w:p w:rsidR="008B2C3A" w:rsidRDefault="008B2C3A">
      <w:pPr>
        <w:spacing w:before="0"/>
      </w:pPr>
      <w:r>
        <w:continuationSeparator/>
      </w:r>
    </w:p>
    <w:p w:rsidR="008B2C3A" w:rsidRDefault="008B2C3A"/>
    <w:p w:rsidR="008B2C3A" w:rsidRDefault="008B2C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VIC SemiBold">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embedRegular r:id="rId1" w:fontKey="{AFD8782C-B674-48AF-94E4-3F37817C50FF}"/>
    <w:embedBold r:id="rId2" w:fontKey="{789C73FF-CB03-4166-822A-DFAFCA3A47A9}"/>
    <w:embedItalic r:id="rId3" w:fontKey="{82D9B261-DEB0-432D-B9F3-35CEEB9AB27F}"/>
    <w:embedBoldItalic r:id="rId4" w:fontKey="{699868A1-ABBD-4076-9697-4A201FEB6206}"/>
  </w:font>
  <w:font w:name="Times">
    <w:panose1 w:val="02020603050405020304"/>
    <w:charset w:val="00"/>
    <w:family w:val="roman"/>
    <w:pitch w:val="variable"/>
    <w:sig w:usb0="E0002AFF" w:usb1="C0007841" w:usb2="00000009" w:usb3="00000000" w:csb0="000001FF" w:csb1="00000000"/>
  </w:font>
  <w:font w:name="VIC">
    <w:panose1 w:val="00000000000000000000"/>
    <w:charset w:val="00"/>
    <w:family w:val="modern"/>
    <w:notTrueType/>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wis721 BlkCn BT">
    <w:altName w:val="Arial"/>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Myriad Pro Light">
    <w:panose1 w:val="00000000000000000000"/>
    <w:charset w:val="00"/>
    <w:family w:val="swiss"/>
    <w:notTrueType/>
    <w:pitch w:val="variable"/>
    <w:sig w:usb0="20000287" w:usb1="00000001" w:usb2="00000000" w:usb3="00000000" w:csb0="0000019F" w:csb1="00000000"/>
  </w:font>
  <w:font w:name="Humnst777 BT">
    <w:altName w:val="Myriad Pro"/>
    <w:charset w:val="00"/>
    <w:family w:val="swiss"/>
    <w:pitch w:val="variable"/>
    <w:sig w:usb0="00000001" w:usb1="1000204A" w:usb2="00000000" w:usb3="00000000" w:csb0="00000011" w:csb1="00000000"/>
  </w:font>
  <w:font w:name="Humnst777 BT (TT) Bold">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Myriad Pro">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embedRegular r:id="rId5" w:subsetted="1" w:fontKey="{C3767632-B2E1-4190-ACA7-397076435276}"/>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339" w:type="dxa"/>
      <w:tblInd w:w="-1701" w:type="dxa"/>
      <w:tblBorders>
        <w:bottom w:val="none" w:sz="0" w:space="0" w:color="auto"/>
        <w:insideH w:val="none" w:sz="0" w:space="0" w:color="auto"/>
      </w:tblBorders>
      <w:shd w:val="clear" w:color="auto" w:fill="005EA1" w:themeFill="accent1"/>
      <w:tblLook w:val="04A0" w:firstRow="1" w:lastRow="0" w:firstColumn="1" w:lastColumn="0" w:noHBand="0" w:noVBand="1"/>
    </w:tblPr>
    <w:tblGrid>
      <w:gridCol w:w="567"/>
      <w:gridCol w:w="10772"/>
    </w:tblGrid>
    <w:tr w:rsidR="008B2C3A" w:rsidTr="00A61404">
      <w:trPr>
        <w:trHeight w:val="283"/>
      </w:trPr>
      <w:tc>
        <w:tcPr>
          <w:tcW w:w="567" w:type="dxa"/>
          <w:shd w:val="clear" w:color="auto" w:fill="63B9E9"/>
          <w:vAlign w:val="center"/>
        </w:tcPr>
        <w:p w:rsidR="008B2C3A" w:rsidRPr="008D7974" w:rsidRDefault="008B2C3A" w:rsidP="0049555B">
          <w:pPr>
            <w:keepLines/>
            <w:numPr>
              <w:ilvl w:val="0"/>
              <w:numId w:val="26"/>
            </w:numPr>
            <w:spacing w:before="0"/>
            <w:ind w:left="568" w:hanging="284"/>
            <w:jc w:val="left"/>
            <w:rPr>
              <w:rFonts w:ascii="VIC SemiBold" w:hAnsi="VIC SemiBold"/>
            </w:rPr>
          </w:pPr>
          <w:r>
            <w:rPr>
              <w:rFonts w:ascii="VIC SemiBold" w:hAnsi="VIC SemiBold"/>
              <w:color w:val="FFFFFF" w:themeColor="background1"/>
            </w:rPr>
            <w:fldChar w:fldCharType="begin"/>
          </w:r>
          <w:r>
            <w:rPr>
              <w:rFonts w:ascii="VIC SemiBold" w:hAnsi="VIC SemiBold"/>
              <w:color w:val="FFFFFF" w:themeColor="background1"/>
            </w:rPr>
            <w:instrText xml:space="preserve"> PAGE  \* roman  \* MERGEFORMAT </w:instrText>
          </w:r>
          <w:r>
            <w:rPr>
              <w:rFonts w:ascii="VIC SemiBold" w:hAnsi="VIC SemiBold"/>
              <w:color w:val="FFFFFF" w:themeColor="background1"/>
            </w:rPr>
            <w:fldChar w:fldCharType="separate"/>
          </w:r>
          <w:r>
            <w:rPr>
              <w:rFonts w:ascii="VIC SemiBold" w:hAnsi="VIC SemiBold"/>
              <w:noProof/>
              <w:color w:val="FFFFFF" w:themeColor="background1"/>
            </w:rPr>
            <w:t>iv</w:t>
          </w:r>
          <w:r>
            <w:rPr>
              <w:rFonts w:ascii="VIC SemiBold" w:hAnsi="VIC SemiBold"/>
              <w:color w:val="FFFFFF" w:themeColor="background1"/>
            </w:rPr>
            <w:fldChar w:fldCharType="end"/>
          </w:r>
        </w:p>
      </w:tc>
      <w:tc>
        <w:tcPr>
          <w:tcW w:w="10772" w:type="dxa"/>
          <w:shd w:val="clear" w:color="auto" w:fill="005EA1" w:themeFill="accent1"/>
          <w:vAlign w:val="center"/>
        </w:tcPr>
        <w:p w:rsidR="008B2C3A" w:rsidRPr="00552F9A" w:rsidRDefault="008B2C3A" w:rsidP="0049555B">
          <w:pPr>
            <w:keepLines/>
            <w:numPr>
              <w:ilvl w:val="0"/>
              <w:numId w:val="26"/>
            </w:numPr>
            <w:spacing w:before="0"/>
            <w:ind w:left="568" w:hanging="284"/>
            <w:jc w:val="right"/>
            <w:rPr>
              <w:rFonts w:cs="Arial"/>
              <w:caps/>
            </w:rPr>
          </w:pPr>
          <w:r w:rsidRPr="00552F9A">
            <w:rPr>
              <w:rFonts w:cs="Arial"/>
              <w:caps/>
              <w:color w:val="FFFFFF" w:themeColor="background1"/>
            </w:rPr>
            <w:t>PROJECT NAME – PUBLICATION MONTH YEAR</w:t>
          </w:r>
        </w:p>
      </w:tc>
    </w:tr>
  </w:tbl>
  <w:p w:rsidR="008B2C3A" w:rsidRDefault="008B2C3A" w:rsidP="009957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339" w:type="dxa"/>
      <w:tblInd w:w="-1701" w:type="dxa"/>
      <w:tblBorders>
        <w:bottom w:val="none" w:sz="0" w:space="0" w:color="auto"/>
        <w:insideH w:val="none" w:sz="0" w:space="0" w:color="auto"/>
      </w:tblBorders>
      <w:shd w:val="clear" w:color="auto" w:fill="005EA1" w:themeFill="accent1"/>
      <w:tblLook w:val="04A0" w:firstRow="1" w:lastRow="0" w:firstColumn="1" w:lastColumn="0" w:noHBand="0" w:noVBand="1"/>
    </w:tblPr>
    <w:tblGrid>
      <w:gridCol w:w="10526"/>
      <w:gridCol w:w="813"/>
    </w:tblGrid>
    <w:tr w:rsidR="008B2C3A" w:rsidTr="00A61404">
      <w:trPr>
        <w:trHeight w:val="283"/>
      </w:trPr>
      <w:tc>
        <w:tcPr>
          <w:tcW w:w="10772" w:type="dxa"/>
          <w:shd w:val="clear" w:color="auto" w:fill="005EA1" w:themeFill="accent1"/>
          <w:vAlign w:val="center"/>
        </w:tcPr>
        <w:p w:rsidR="008B2C3A" w:rsidRPr="00552F9A" w:rsidRDefault="008B2C3A" w:rsidP="00522731">
          <w:pPr>
            <w:keepLines/>
            <w:numPr>
              <w:ilvl w:val="0"/>
              <w:numId w:val="26"/>
            </w:numPr>
            <w:spacing w:before="0"/>
            <w:ind w:left="568" w:hanging="284"/>
            <w:jc w:val="left"/>
            <w:rPr>
              <w:rFonts w:ascii="VIC" w:hAnsi="VIC"/>
              <w:caps/>
            </w:rPr>
          </w:pPr>
          <w:r>
            <w:rPr>
              <w:rFonts w:ascii="VIC" w:hAnsi="VIC"/>
              <w:caps/>
              <w:color w:val="FFFFFF" w:themeColor="background1"/>
            </w:rPr>
            <w:t>Rockbank Development Contributions  Plan</w:t>
          </w:r>
          <w:r w:rsidRPr="00552F9A">
            <w:rPr>
              <w:rFonts w:ascii="VIC" w:hAnsi="VIC"/>
              <w:caps/>
              <w:color w:val="FFFFFF" w:themeColor="background1"/>
            </w:rPr>
            <w:t xml:space="preserve"> – </w:t>
          </w:r>
          <w:r>
            <w:rPr>
              <w:rFonts w:ascii="VIC" w:hAnsi="VIC"/>
              <w:caps/>
              <w:color w:val="FFFFFF" w:themeColor="background1"/>
            </w:rPr>
            <w:t>August 2016</w:t>
          </w:r>
        </w:p>
      </w:tc>
      <w:tc>
        <w:tcPr>
          <w:tcW w:w="567" w:type="dxa"/>
          <w:shd w:val="clear" w:color="auto" w:fill="63B9E9"/>
        </w:tcPr>
        <w:p w:rsidR="008B2C3A" w:rsidRPr="008D7974" w:rsidRDefault="008B2C3A" w:rsidP="0049555B">
          <w:pPr>
            <w:keepLines/>
            <w:numPr>
              <w:ilvl w:val="0"/>
              <w:numId w:val="26"/>
            </w:numPr>
            <w:spacing w:before="0"/>
            <w:ind w:left="568" w:hanging="284"/>
            <w:jc w:val="right"/>
            <w:rPr>
              <w:rFonts w:ascii="VIC SemiBold" w:hAnsi="VIC SemiBold"/>
              <w:color w:val="FFFFFF" w:themeColor="background1"/>
            </w:rPr>
          </w:pPr>
          <w:r>
            <w:rPr>
              <w:rFonts w:ascii="VIC SemiBold" w:hAnsi="VIC SemiBold"/>
              <w:color w:val="FFFFFF" w:themeColor="background1"/>
            </w:rPr>
            <w:fldChar w:fldCharType="begin"/>
          </w:r>
          <w:r>
            <w:rPr>
              <w:rFonts w:ascii="VIC SemiBold" w:hAnsi="VIC SemiBold"/>
              <w:color w:val="FFFFFF" w:themeColor="background1"/>
            </w:rPr>
            <w:instrText xml:space="preserve"> PAGE  \* roman  \* MERGEFORMAT </w:instrText>
          </w:r>
          <w:r>
            <w:rPr>
              <w:rFonts w:ascii="VIC SemiBold" w:hAnsi="VIC SemiBold"/>
              <w:color w:val="FFFFFF" w:themeColor="background1"/>
            </w:rPr>
            <w:fldChar w:fldCharType="separate"/>
          </w:r>
          <w:r w:rsidR="008240EC">
            <w:rPr>
              <w:rFonts w:ascii="VIC SemiBold" w:hAnsi="VIC SemiBold"/>
              <w:noProof/>
              <w:color w:val="FFFFFF" w:themeColor="background1"/>
            </w:rPr>
            <w:t>iv</w:t>
          </w:r>
          <w:r>
            <w:rPr>
              <w:rFonts w:ascii="VIC SemiBold" w:hAnsi="VIC SemiBold"/>
              <w:color w:val="FFFFFF" w:themeColor="background1"/>
            </w:rPr>
            <w:fldChar w:fldCharType="end"/>
          </w:r>
        </w:p>
      </w:tc>
    </w:tr>
  </w:tbl>
  <w:p w:rsidR="008B2C3A" w:rsidRDefault="008B2C3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C3A" w:rsidRDefault="008B2C3A" w:rsidP="00937364">
    <w:pPr>
      <w:ind w:left="-709"/>
      <w:jc w:val="center"/>
      <w:rPr>
        <w:sz w:val="16"/>
      </w:rPr>
    </w:pPr>
    <w:r>
      <w:rPr>
        <w:rFonts w:ascii="Trebuchet MS" w:hAnsi="Trebuchet MS"/>
        <w:noProof/>
        <w:color w:val="9CA0A3" w:themeColor="accent4"/>
        <w:sz w:val="28"/>
        <w:szCs w:val="28"/>
      </w:rPr>
      <w:drawing>
        <wp:inline distT="0" distB="0" distL="0" distR="0" wp14:anchorId="79CB179F" wp14:editId="7F561FD3">
          <wp:extent cx="1629187" cy="666301"/>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PA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9187" cy="666301"/>
                  </a:xfrm>
                  <a:prstGeom prst="rect">
                    <a:avLst/>
                  </a:prstGeom>
                </pic:spPr>
              </pic:pic>
            </a:graphicData>
          </a:graphic>
        </wp:inline>
      </w:drawing>
    </w:r>
  </w:p>
  <w:p w:rsidR="008B2C3A" w:rsidRPr="00A9595C" w:rsidRDefault="008B2C3A" w:rsidP="00937364">
    <w:pPr>
      <w:ind w:left="-709"/>
      <w:jc w:val="center"/>
      <w:rPr>
        <w:rFonts w:ascii="VIC" w:hAnsi="VIC"/>
        <w:color w:val="9CA0A3" w:themeColor="accent4"/>
        <w:sz w:val="28"/>
        <w:szCs w:val="28"/>
      </w:rPr>
    </w:pPr>
    <w:r w:rsidRPr="00A9595C">
      <w:rPr>
        <w:rFonts w:ascii="VIC" w:hAnsi="VIC"/>
        <w:sz w:val="28"/>
        <w:szCs w:val="28"/>
      </w:rPr>
      <w:t xml:space="preserve">PSP Name Precinct Structure Plan </w:t>
    </w:r>
    <w:r w:rsidRPr="00A9595C">
      <w:rPr>
        <w:rFonts w:ascii="VIC" w:hAnsi="VIC"/>
        <w:color w:val="9CA0A3" w:themeColor="accent4"/>
        <w:sz w:val="28"/>
        <w:szCs w:val="28"/>
      </w:rPr>
      <w:t>Month Year</w:t>
    </w:r>
  </w:p>
  <w:p w:rsidR="008B2C3A" w:rsidRDefault="008B2C3A" w:rsidP="009957D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339" w:type="dxa"/>
      <w:tblInd w:w="-1701" w:type="dxa"/>
      <w:tblBorders>
        <w:bottom w:val="none" w:sz="0" w:space="0" w:color="auto"/>
        <w:insideH w:val="none" w:sz="0" w:space="0" w:color="auto"/>
      </w:tblBorders>
      <w:shd w:val="clear" w:color="auto" w:fill="005EA1" w:themeFill="accent1"/>
      <w:tblLook w:val="04A0" w:firstRow="1" w:lastRow="0" w:firstColumn="1" w:lastColumn="0" w:noHBand="0" w:noVBand="1"/>
    </w:tblPr>
    <w:tblGrid>
      <w:gridCol w:w="10772"/>
      <w:gridCol w:w="567"/>
    </w:tblGrid>
    <w:tr w:rsidR="008B2C3A" w:rsidTr="0049555B">
      <w:trPr>
        <w:trHeight w:val="283"/>
      </w:trPr>
      <w:tc>
        <w:tcPr>
          <w:tcW w:w="10772" w:type="dxa"/>
          <w:shd w:val="clear" w:color="auto" w:fill="005EA1" w:themeFill="accent1"/>
          <w:vAlign w:val="center"/>
        </w:tcPr>
        <w:p w:rsidR="008B2C3A" w:rsidRPr="00552F9A" w:rsidRDefault="008B2C3A" w:rsidP="00A25E1D">
          <w:pPr>
            <w:tabs>
              <w:tab w:val="clear" w:pos="425"/>
              <w:tab w:val="clear" w:pos="709"/>
              <w:tab w:val="clear" w:pos="992"/>
            </w:tabs>
            <w:spacing w:before="0"/>
            <w:jc w:val="left"/>
            <w:rPr>
              <w:rFonts w:ascii="VIC" w:hAnsi="VIC"/>
              <w:caps/>
            </w:rPr>
          </w:pPr>
          <w:r w:rsidRPr="00552F9A">
            <w:rPr>
              <w:rFonts w:ascii="VIC" w:hAnsi="VIC"/>
              <w:caps/>
              <w:color w:val="FFFFFF" w:themeColor="background1"/>
              <w:sz w:val="18"/>
            </w:rPr>
            <w:t>PROJECT NAME – PUBLICATION MONTH YEAR</w:t>
          </w:r>
        </w:p>
      </w:tc>
      <w:tc>
        <w:tcPr>
          <w:tcW w:w="567" w:type="dxa"/>
          <w:shd w:val="clear" w:color="auto" w:fill="63B9E9"/>
        </w:tcPr>
        <w:p w:rsidR="008B2C3A" w:rsidRPr="008D7974" w:rsidRDefault="008B2C3A" w:rsidP="00A25E1D">
          <w:pPr>
            <w:spacing w:before="0"/>
            <w:jc w:val="right"/>
            <w:rPr>
              <w:rFonts w:ascii="VIC SemiBold" w:hAnsi="VIC SemiBold"/>
              <w:color w:val="FFFFFF" w:themeColor="background1"/>
            </w:rPr>
          </w:pPr>
          <w:r>
            <w:rPr>
              <w:rFonts w:ascii="VIC SemiBold" w:hAnsi="VIC SemiBold"/>
              <w:color w:val="FFFFFF" w:themeColor="background1"/>
            </w:rPr>
            <w:fldChar w:fldCharType="begin"/>
          </w:r>
          <w:r>
            <w:rPr>
              <w:rFonts w:ascii="VIC SemiBold" w:hAnsi="VIC SemiBold"/>
              <w:color w:val="FFFFFF" w:themeColor="background1"/>
            </w:rPr>
            <w:instrText xml:space="preserve"> PAGE  \* Arabic  \* MERGEFORMAT </w:instrText>
          </w:r>
          <w:r>
            <w:rPr>
              <w:rFonts w:ascii="VIC SemiBold" w:hAnsi="VIC SemiBold"/>
              <w:color w:val="FFFFFF" w:themeColor="background1"/>
            </w:rPr>
            <w:fldChar w:fldCharType="separate"/>
          </w:r>
          <w:r w:rsidR="008240EC">
            <w:rPr>
              <w:rFonts w:ascii="VIC SemiBold" w:hAnsi="VIC SemiBold"/>
              <w:noProof/>
              <w:color w:val="FFFFFF" w:themeColor="background1"/>
            </w:rPr>
            <w:t>21</w:t>
          </w:r>
          <w:r>
            <w:rPr>
              <w:rFonts w:ascii="VIC SemiBold" w:hAnsi="VIC SemiBold"/>
              <w:color w:val="FFFFFF" w:themeColor="background1"/>
            </w:rPr>
            <w:fldChar w:fldCharType="end"/>
          </w:r>
        </w:p>
      </w:tc>
    </w:tr>
  </w:tbl>
  <w:p w:rsidR="008B2C3A" w:rsidRDefault="008B2C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2C3A" w:rsidRDefault="008B2C3A">
      <w:pPr>
        <w:spacing w:before="0"/>
      </w:pPr>
      <w:r>
        <w:separator/>
      </w:r>
    </w:p>
    <w:p w:rsidR="008B2C3A" w:rsidRDefault="008B2C3A"/>
    <w:p w:rsidR="008B2C3A" w:rsidRDefault="008B2C3A"/>
  </w:footnote>
  <w:footnote w:type="continuationSeparator" w:id="0">
    <w:p w:rsidR="008B2C3A" w:rsidRDefault="008B2C3A">
      <w:pPr>
        <w:spacing w:before="0"/>
      </w:pPr>
      <w:r>
        <w:continuationSeparator/>
      </w:r>
    </w:p>
    <w:p w:rsidR="008B2C3A" w:rsidRDefault="008B2C3A"/>
    <w:p w:rsidR="008B2C3A" w:rsidRDefault="008B2C3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C3A" w:rsidRDefault="008B2C3A">
    <w:r>
      <w:rPr>
        <w:noProof/>
      </w:rPr>
      <w:drawing>
        <wp:anchor distT="0" distB="0" distL="114300" distR="114300" simplePos="0" relativeHeight="251662336" behindDoc="0" locked="1" layoutInCell="1" allowOverlap="1" wp14:anchorId="0418199F" wp14:editId="2B9BA2E9">
          <wp:simplePos x="0" y="0"/>
          <wp:positionH relativeFrom="page">
            <wp:posOffset>180340</wp:posOffset>
          </wp:positionH>
          <wp:positionV relativeFrom="page">
            <wp:posOffset>179070</wp:posOffset>
          </wp:positionV>
          <wp:extent cx="7200000" cy="49680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P_Header_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496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C3A" w:rsidRDefault="008B2C3A">
    <w:r>
      <w:rPr>
        <w:noProof/>
      </w:rPr>
      <w:drawing>
        <wp:anchor distT="0" distB="0" distL="114300" distR="114300" simplePos="0" relativeHeight="251661312" behindDoc="0" locked="1" layoutInCell="1" allowOverlap="1" wp14:anchorId="0CC58D52" wp14:editId="11CB2E5D">
          <wp:simplePos x="0" y="0"/>
          <wp:positionH relativeFrom="page">
            <wp:posOffset>179705</wp:posOffset>
          </wp:positionH>
          <wp:positionV relativeFrom="page">
            <wp:posOffset>182880</wp:posOffset>
          </wp:positionV>
          <wp:extent cx="7199630" cy="497205"/>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P_Header_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9630" cy="49720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C3A" w:rsidRDefault="008B2C3A">
    <w:pPr>
      <w:pStyle w:val="Header"/>
    </w:pPr>
    <w:r>
      <w:rPr>
        <w:noProof/>
      </w:rPr>
      <w:drawing>
        <wp:anchor distT="0" distB="0" distL="114300" distR="114300" simplePos="0" relativeHeight="251659264" behindDoc="0" locked="1" layoutInCell="1" allowOverlap="1" wp14:anchorId="279613A5" wp14:editId="437C7815">
          <wp:simplePos x="0" y="0"/>
          <wp:positionH relativeFrom="page">
            <wp:posOffset>180340</wp:posOffset>
          </wp:positionH>
          <wp:positionV relativeFrom="page">
            <wp:posOffset>179705</wp:posOffset>
          </wp:positionV>
          <wp:extent cx="7200000" cy="496800"/>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P_Header_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496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DD6DDA6"/>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12801340"/>
    <w:lvl w:ilvl="0">
      <w:start w:val="1"/>
      <w:numFmt w:val="decimal"/>
      <w:lvlText w:val="%1."/>
      <w:lvlJc w:val="left"/>
      <w:pPr>
        <w:tabs>
          <w:tab w:val="num" w:pos="643"/>
        </w:tabs>
        <w:ind w:left="643" w:hanging="360"/>
      </w:pPr>
    </w:lvl>
  </w:abstractNum>
  <w:abstractNum w:abstractNumId="2" w15:restartNumberingAfterBreak="0">
    <w:nsid w:val="07EC1767"/>
    <w:multiLevelType w:val="hybridMultilevel"/>
    <w:tmpl w:val="22B628FE"/>
    <w:lvl w:ilvl="0" w:tplc="04848CDE">
      <w:start w:val="1"/>
      <w:numFmt w:val="bullet"/>
      <w:pStyle w:val="Tablelis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4120C3"/>
    <w:multiLevelType w:val="hybridMultilevel"/>
    <w:tmpl w:val="6BF073CA"/>
    <w:lvl w:ilvl="0" w:tplc="7598D2DE">
      <w:start w:val="1"/>
      <w:numFmt w:val="decimal"/>
      <w:lvlText w:val="%1."/>
      <w:lvlJc w:val="left"/>
      <w:pPr>
        <w:ind w:left="1145" w:hanging="360"/>
      </w:pPr>
      <w:rPr>
        <w:rFonts w:ascii="Franklin Gothic Book" w:hAnsi="Franklin Gothic Book" w:hint="default"/>
        <w:b w:val="0"/>
        <w:i w:val="0"/>
        <w:color w:val="005EA1" w:themeColor="accent1"/>
      </w:rPr>
    </w:lvl>
    <w:lvl w:ilvl="1" w:tplc="04090003">
      <w:start w:val="1"/>
      <w:numFmt w:val="bullet"/>
      <w:lvlText w:val="o"/>
      <w:lvlJc w:val="left"/>
      <w:pPr>
        <w:ind w:left="1865" w:hanging="360"/>
      </w:pPr>
      <w:rPr>
        <w:rFonts w:ascii="Courier New" w:hAnsi="Courier New" w:cs="Symbol" w:hint="default"/>
      </w:rPr>
    </w:lvl>
    <w:lvl w:ilvl="2" w:tplc="04090005">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Symbol"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Symbol" w:hint="default"/>
      </w:rPr>
    </w:lvl>
    <w:lvl w:ilvl="8" w:tplc="04090005" w:tentative="1">
      <w:start w:val="1"/>
      <w:numFmt w:val="bullet"/>
      <w:lvlText w:val=""/>
      <w:lvlJc w:val="left"/>
      <w:pPr>
        <w:ind w:left="6905" w:hanging="360"/>
      </w:pPr>
      <w:rPr>
        <w:rFonts w:ascii="Wingdings" w:hAnsi="Wingdings" w:hint="default"/>
      </w:rPr>
    </w:lvl>
  </w:abstractNum>
  <w:abstractNum w:abstractNumId="4" w15:restartNumberingAfterBreak="0">
    <w:nsid w:val="0A7A2D79"/>
    <w:multiLevelType w:val="hybridMultilevel"/>
    <w:tmpl w:val="7C08D48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CB477F"/>
    <w:multiLevelType w:val="hybridMultilevel"/>
    <w:tmpl w:val="26A60872"/>
    <w:lvl w:ilvl="0" w:tplc="0C09000F">
      <w:start w:val="1"/>
      <w:numFmt w:val="decimal"/>
      <w:lvlText w:val="%1."/>
      <w:lvlJc w:val="left"/>
      <w:pPr>
        <w:ind w:left="785"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B90385F"/>
    <w:multiLevelType w:val="hybridMultilevel"/>
    <w:tmpl w:val="C87A690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9B3324"/>
    <w:multiLevelType w:val="hybridMultilevel"/>
    <w:tmpl w:val="56B2480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516E5E"/>
    <w:multiLevelType w:val="hybridMultilevel"/>
    <w:tmpl w:val="4366EE42"/>
    <w:lvl w:ilvl="0" w:tplc="79BE0B34">
      <w:start w:val="1"/>
      <w:numFmt w:val="decimal"/>
      <w:pStyle w:val="Tablenoreq"/>
      <w:lvlText w:val="R%1"/>
      <w:lvlJc w:val="left"/>
      <w:pPr>
        <w:ind w:left="360" w:hanging="360"/>
      </w:pPr>
      <w:rPr>
        <w:rFonts w:hint="default"/>
        <w:b w:val="0"/>
        <w:i w:val="0"/>
        <w:color w:val="95C11F"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E14ED2"/>
    <w:multiLevelType w:val="hybridMultilevel"/>
    <w:tmpl w:val="4468B82C"/>
    <w:lvl w:ilvl="0" w:tplc="DAA0B1B0">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0" w15:restartNumberingAfterBreak="0">
    <w:nsid w:val="1A770351"/>
    <w:multiLevelType w:val="multilevel"/>
    <w:tmpl w:val="0160F844"/>
    <w:lvl w:ilvl="0">
      <w:start w:val="1"/>
      <w:numFmt w:val="decimal"/>
      <w:pStyle w:val="List1numb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D5C141E"/>
    <w:multiLevelType w:val="hybridMultilevel"/>
    <w:tmpl w:val="E4BA798A"/>
    <w:lvl w:ilvl="0" w:tplc="C7106070">
      <w:start w:val="1"/>
      <w:numFmt w:val="decimal"/>
      <w:lvlText w:val="%1."/>
      <w:lvlJc w:val="left"/>
      <w:pPr>
        <w:ind w:left="785" w:hanging="360"/>
      </w:pPr>
      <w:rPr>
        <w:rFonts w:ascii="Corbel" w:hAnsi="Corbe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4A17CA6"/>
    <w:multiLevelType w:val="hybridMultilevel"/>
    <w:tmpl w:val="96D6FFE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1C7393"/>
    <w:multiLevelType w:val="multilevel"/>
    <w:tmpl w:val="0060C338"/>
    <w:styleLink w:val="NumberedList"/>
    <w:lvl w:ilvl="0">
      <w:start w:val="1"/>
      <w:numFmt w:val="decimal"/>
      <w:lvlText w:val="%1."/>
      <w:lvlJc w:val="left"/>
      <w:pPr>
        <w:ind w:left="720" w:hanging="360"/>
      </w:pPr>
      <w:rPr>
        <w:rFonts w:ascii="Arial Narrow" w:hAnsi="Arial Narr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3364F6A"/>
    <w:multiLevelType w:val="multilevel"/>
    <w:tmpl w:val="394A4F54"/>
    <w:lvl w:ilvl="0">
      <w:start w:val="1"/>
      <w:numFmt w:val="decimal"/>
      <w:lvlText w:val="%1"/>
      <w:lvlJc w:val="left"/>
      <w:pPr>
        <w:ind w:left="0" w:hanging="851"/>
      </w:pPr>
      <w:rPr>
        <w:rFonts w:hint="default"/>
        <w:b w:val="0"/>
        <w:i w:val="0"/>
        <w:color w:val="005EA1" w:themeColor="accent1"/>
      </w:rPr>
    </w:lvl>
    <w:lvl w:ilvl="1">
      <w:start w:val="1"/>
      <w:numFmt w:val="decimal"/>
      <w:lvlText w:val="%1.%2"/>
      <w:lvlJc w:val="left"/>
      <w:pPr>
        <w:ind w:left="0" w:hanging="851"/>
      </w:pPr>
      <w:rPr>
        <w:rFonts w:hint="default"/>
        <w:color w:val="005EA1" w:themeColor="accent1"/>
      </w:rPr>
    </w:lvl>
    <w:lvl w:ilvl="2">
      <w:start w:val="1"/>
      <w:numFmt w:val="decimal"/>
      <w:lvlText w:val="%1.%2.%3"/>
      <w:lvlJc w:val="left"/>
      <w:pPr>
        <w:ind w:left="0" w:hanging="851"/>
      </w:pPr>
      <w:rPr>
        <w:rFonts w:hint="default"/>
        <w:color w:val="005EA1" w:themeColor="accent1"/>
      </w:rPr>
    </w:lvl>
    <w:lvl w:ilvl="3">
      <w:start w:val="1"/>
      <w:numFmt w:val="decimal"/>
      <w:lvlText w:val="%1.%2.%3.%4."/>
      <w:lvlJc w:val="left"/>
      <w:pPr>
        <w:ind w:left="0" w:hanging="851"/>
      </w:pPr>
      <w:rPr>
        <w:rFonts w:hint="default"/>
      </w:rPr>
    </w:lvl>
    <w:lvl w:ilvl="4">
      <w:start w:val="1"/>
      <w:numFmt w:val="decimal"/>
      <w:lvlText w:val="%1.%2.%3.%4.%5."/>
      <w:lvlJc w:val="left"/>
      <w:pPr>
        <w:ind w:left="0" w:hanging="851"/>
      </w:pPr>
      <w:rPr>
        <w:rFonts w:hint="default"/>
      </w:rPr>
    </w:lvl>
    <w:lvl w:ilvl="5">
      <w:start w:val="1"/>
      <w:numFmt w:val="decimal"/>
      <w:lvlText w:val="%1.%2.%3.%4.%5.%6."/>
      <w:lvlJc w:val="left"/>
      <w:pPr>
        <w:ind w:left="0" w:hanging="851"/>
      </w:pPr>
      <w:rPr>
        <w:rFonts w:hint="default"/>
      </w:rPr>
    </w:lvl>
    <w:lvl w:ilvl="6">
      <w:start w:val="1"/>
      <w:numFmt w:val="decimal"/>
      <w:lvlText w:val="%1.%2.%3.%4.%5.%6.%7."/>
      <w:lvlJc w:val="left"/>
      <w:pPr>
        <w:ind w:left="0" w:hanging="851"/>
      </w:pPr>
      <w:rPr>
        <w:rFonts w:hint="default"/>
      </w:rPr>
    </w:lvl>
    <w:lvl w:ilvl="7">
      <w:start w:val="1"/>
      <w:numFmt w:val="decimal"/>
      <w:lvlText w:val="%1.%2.%3.%4.%5.%6.%7.%8."/>
      <w:lvlJc w:val="left"/>
      <w:pPr>
        <w:ind w:left="0" w:hanging="851"/>
      </w:pPr>
      <w:rPr>
        <w:rFonts w:hint="default"/>
      </w:rPr>
    </w:lvl>
    <w:lvl w:ilvl="8">
      <w:start w:val="1"/>
      <w:numFmt w:val="decimal"/>
      <w:lvlText w:val="%1.%2.%3.%4.%5.%6.%7.%8.%9."/>
      <w:lvlJc w:val="left"/>
      <w:pPr>
        <w:ind w:left="0" w:hanging="851"/>
      </w:pPr>
      <w:rPr>
        <w:rFonts w:hint="default"/>
      </w:rPr>
    </w:lvl>
  </w:abstractNum>
  <w:abstractNum w:abstractNumId="15" w15:restartNumberingAfterBreak="0">
    <w:nsid w:val="4396048C"/>
    <w:multiLevelType w:val="multilevel"/>
    <w:tmpl w:val="394A4F54"/>
    <w:lvl w:ilvl="0">
      <w:start w:val="1"/>
      <w:numFmt w:val="decimal"/>
      <w:lvlText w:val="%1"/>
      <w:lvlJc w:val="left"/>
      <w:pPr>
        <w:ind w:left="0" w:hanging="851"/>
      </w:pPr>
      <w:rPr>
        <w:rFonts w:hint="default"/>
        <w:b w:val="0"/>
        <w:i w:val="0"/>
        <w:color w:val="005EA1" w:themeColor="accent1"/>
      </w:rPr>
    </w:lvl>
    <w:lvl w:ilvl="1">
      <w:start w:val="1"/>
      <w:numFmt w:val="decimal"/>
      <w:lvlText w:val="%1.%2"/>
      <w:lvlJc w:val="left"/>
      <w:pPr>
        <w:ind w:left="0" w:hanging="851"/>
      </w:pPr>
      <w:rPr>
        <w:rFonts w:hint="default"/>
        <w:color w:val="005EA1" w:themeColor="accent1"/>
      </w:rPr>
    </w:lvl>
    <w:lvl w:ilvl="2">
      <w:start w:val="1"/>
      <w:numFmt w:val="decimal"/>
      <w:lvlText w:val="%1.%2.%3"/>
      <w:lvlJc w:val="left"/>
      <w:pPr>
        <w:ind w:left="0" w:hanging="851"/>
      </w:pPr>
      <w:rPr>
        <w:rFonts w:hint="default"/>
        <w:color w:val="005EA1" w:themeColor="accent1"/>
      </w:rPr>
    </w:lvl>
    <w:lvl w:ilvl="3">
      <w:start w:val="1"/>
      <w:numFmt w:val="decimal"/>
      <w:lvlText w:val="%1.%2.%3.%4."/>
      <w:lvlJc w:val="left"/>
      <w:pPr>
        <w:ind w:left="0" w:hanging="851"/>
      </w:pPr>
      <w:rPr>
        <w:rFonts w:hint="default"/>
      </w:rPr>
    </w:lvl>
    <w:lvl w:ilvl="4">
      <w:start w:val="1"/>
      <w:numFmt w:val="decimal"/>
      <w:lvlText w:val="%1.%2.%3.%4.%5."/>
      <w:lvlJc w:val="left"/>
      <w:pPr>
        <w:ind w:left="0" w:hanging="851"/>
      </w:pPr>
      <w:rPr>
        <w:rFonts w:hint="default"/>
      </w:rPr>
    </w:lvl>
    <w:lvl w:ilvl="5">
      <w:start w:val="1"/>
      <w:numFmt w:val="decimal"/>
      <w:lvlText w:val="%1.%2.%3.%4.%5.%6."/>
      <w:lvlJc w:val="left"/>
      <w:pPr>
        <w:ind w:left="0" w:hanging="851"/>
      </w:pPr>
      <w:rPr>
        <w:rFonts w:hint="default"/>
      </w:rPr>
    </w:lvl>
    <w:lvl w:ilvl="6">
      <w:start w:val="1"/>
      <w:numFmt w:val="decimal"/>
      <w:lvlText w:val="%1.%2.%3.%4.%5.%6.%7."/>
      <w:lvlJc w:val="left"/>
      <w:pPr>
        <w:ind w:left="0" w:hanging="851"/>
      </w:pPr>
      <w:rPr>
        <w:rFonts w:hint="default"/>
      </w:rPr>
    </w:lvl>
    <w:lvl w:ilvl="7">
      <w:start w:val="1"/>
      <w:numFmt w:val="decimal"/>
      <w:lvlText w:val="%1.%2.%3.%4.%5.%6.%7.%8."/>
      <w:lvlJc w:val="left"/>
      <w:pPr>
        <w:ind w:left="0" w:hanging="851"/>
      </w:pPr>
      <w:rPr>
        <w:rFonts w:hint="default"/>
      </w:rPr>
    </w:lvl>
    <w:lvl w:ilvl="8">
      <w:start w:val="1"/>
      <w:numFmt w:val="decimal"/>
      <w:lvlText w:val="%1.%2.%3.%4.%5.%6.%7.%8.%9."/>
      <w:lvlJc w:val="left"/>
      <w:pPr>
        <w:ind w:left="0" w:hanging="851"/>
      </w:pPr>
      <w:rPr>
        <w:rFonts w:hint="default"/>
      </w:rPr>
    </w:lvl>
  </w:abstractNum>
  <w:abstractNum w:abstractNumId="16" w15:restartNumberingAfterBreak="0">
    <w:nsid w:val="4F826434"/>
    <w:multiLevelType w:val="multilevel"/>
    <w:tmpl w:val="5B3A2EBA"/>
    <w:lvl w:ilvl="0">
      <w:start w:val="1"/>
      <w:numFmt w:val="decimal"/>
      <w:lvlText w:val="%1"/>
      <w:lvlJc w:val="left"/>
      <w:pPr>
        <w:ind w:left="0" w:hanging="1134"/>
      </w:pPr>
      <w:rPr>
        <w:rFonts w:hint="default"/>
      </w:rPr>
    </w:lvl>
    <w:lvl w:ilvl="1">
      <w:start w:val="1"/>
      <w:numFmt w:val="decimal"/>
      <w:lvlText w:val="%1.%2"/>
      <w:lvlJc w:val="left"/>
      <w:pPr>
        <w:ind w:left="0" w:hanging="1134"/>
      </w:pPr>
      <w:rPr>
        <w:rFonts w:hint="default"/>
      </w:rPr>
    </w:lvl>
    <w:lvl w:ilvl="2">
      <w:start w:val="1"/>
      <w:numFmt w:val="decimal"/>
      <w:lvlText w:val="%1.%2.%3"/>
      <w:lvlJc w:val="left"/>
      <w:pPr>
        <w:ind w:left="0" w:hanging="1134"/>
      </w:pPr>
      <w:rPr>
        <w:rFonts w:hint="default"/>
      </w:rPr>
    </w:lvl>
    <w:lvl w:ilvl="3">
      <w:start w:val="1"/>
      <w:numFmt w:val="decimal"/>
      <w:lvlText w:val="%1.%2.%3.%4"/>
      <w:lvlJc w:val="left"/>
      <w:pPr>
        <w:ind w:left="0" w:hanging="1134"/>
      </w:pPr>
      <w:rPr>
        <w:rFonts w:hint="default"/>
      </w:rPr>
    </w:lvl>
    <w:lvl w:ilvl="4">
      <w:start w:val="1"/>
      <w:numFmt w:val="decimal"/>
      <w:lvlText w:val="%1.%2.%3.%4.%5."/>
      <w:lvlJc w:val="left"/>
      <w:pPr>
        <w:ind w:left="0" w:hanging="1134"/>
      </w:pPr>
      <w:rPr>
        <w:rFonts w:hint="default"/>
      </w:rPr>
    </w:lvl>
    <w:lvl w:ilvl="5">
      <w:start w:val="1"/>
      <w:numFmt w:val="decimal"/>
      <w:lvlText w:val="%1.%2.%3.%4.%5.%6."/>
      <w:lvlJc w:val="left"/>
      <w:pPr>
        <w:ind w:left="0" w:hanging="1134"/>
      </w:pPr>
      <w:rPr>
        <w:rFonts w:hint="default"/>
      </w:rPr>
    </w:lvl>
    <w:lvl w:ilvl="6">
      <w:start w:val="1"/>
      <w:numFmt w:val="decimal"/>
      <w:lvlText w:val="%1.%2.%3.%4.%5.%6.%7."/>
      <w:lvlJc w:val="left"/>
      <w:pPr>
        <w:ind w:left="0" w:hanging="1134"/>
      </w:pPr>
      <w:rPr>
        <w:rFonts w:hint="default"/>
      </w:rPr>
    </w:lvl>
    <w:lvl w:ilvl="7">
      <w:start w:val="1"/>
      <w:numFmt w:val="decimal"/>
      <w:lvlText w:val="%1.%2.%3.%4.%5.%6.%7.%8."/>
      <w:lvlJc w:val="left"/>
      <w:pPr>
        <w:ind w:left="0" w:hanging="1134"/>
      </w:pPr>
      <w:rPr>
        <w:rFonts w:hint="default"/>
      </w:rPr>
    </w:lvl>
    <w:lvl w:ilvl="8">
      <w:start w:val="1"/>
      <w:numFmt w:val="decimal"/>
      <w:lvlText w:val="%1.%2.%3.%4.%5.%6.%7.%8.%9."/>
      <w:lvlJc w:val="left"/>
      <w:pPr>
        <w:ind w:left="0" w:hanging="1134"/>
      </w:pPr>
      <w:rPr>
        <w:rFonts w:hint="default"/>
      </w:rPr>
    </w:lvl>
  </w:abstractNum>
  <w:abstractNum w:abstractNumId="17" w15:restartNumberingAfterBreak="0">
    <w:nsid w:val="55FF53B6"/>
    <w:multiLevelType w:val="hybridMultilevel"/>
    <w:tmpl w:val="EA44C27C"/>
    <w:lvl w:ilvl="0" w:tplc="84088F3E">
      <w:start w:val="1"/>
      <w:numFmt w:val="decimal"/>
      <w:pStyle w:val="Tablenoguid"/>
      <w:lvlText w:val="G%1"/>
      <w:lvlJc w:val="left"/>
      <w:pPr>
        <w:ind w:left="360" w:hanging="360"/>
      </w:pPr>
      <w:rPr>
        <w:rFonts w:hint="default"/>
        <w:b w:val="0"/>
        <w:i w:val="0"/>
        <w:color w:val="008BD2" w:themeColor="accen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6152698"/>
    <w:multiLevelType w:val="multilevel"/>
    <w:tmpl w:val="0060C338"/>
    <w:styleLink w:val="Numbers"/>
    <w:lvl w:ilvl="0">
      <w:start w:val="1"/>
      <w:numFmt w:val="decimal"/>
      <w:lvlText w:val="%1."/>
      <w:lvlJc w:val="left"/>
      <w:pPr>
        <w:ind w:left="720" w:hanging="360"/>
      </w:pPr>
      <w:rPr>
        <w:rFonts w:ascii="Arial Narrow" w:hAnsi="Arial Narr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6E97AC7"/>
    <w:multiLevelType w:val="multilevel"/>
    <w:tmpl w:val="026AFB38"/>
    <w:lvl w:ilvl="0">
      <w:start w:val="1"/>
      <w:numFmt w:val="decimal"/>
      <w:lvlText w:val="%1."/>
      <w:lvlJc w:val="left"/>
      <w:pPr>
        <w:ind w:left="360" w:hanging="360"/>
      </w:pPr>
      <w:rPr>
        <w:rFonts w:ascii="Franklin Gothic Demi" w:hAnsi="Franklin Gothic Demi" w:hint="default"/>
        <w:b w:val="0"/>
        <w:i w:val="0"/>
        <w:color w:val="005EA1" w:themeColor="accent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7C029E4"/>
    <w:multiLevelType w:val="hybridMultilevel"/>
    <w:tmpl w:val="89D050B6"/>
    <w:lvl w:ilvl="0" w:tplc="0C090001">
      <w:start w:val="1"/>
      <w:numFmt w:val="bullet"/>
      <w:lvlText w:val=""/>
      <w:lvlJc w:val="left"/>
      <w:pPr>
        <w:ind w:left="1145" w:hanging="360"/>
      </w:pPr>
      <w:rPr>
        <w:rFonts w:ascii="Symbol" w:hAnsi="Symbol" w:hint="default"/>
      </w:rPr>
    </w:lvl>
    <w:lvl w:ilvl="1" w:tplc="04090003">
      <w:start w:val="1"/>
      <w:numFmt w:val="bullet"/>
      <w:lvlText w:val="o"/>
      <w:lvlJc w:val="left"/>
      <w:pPr>
        <w:ind w:left="1865" w:hanging="360"/>
      </w:pPr>
      <w:rPr>
        <w:rFonts w:ascii="Courier New" w:hAnsi="Courier New" w:cs="Symbol" w:hint="default"/>
      </w:rPr>
    </w:lvl>
    <w:lvl w:ilvl="2" w:tplc="04090005">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Symbol"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Symbol" w:hint="default"/>
      </w:rPr>
    </w:lvl>
    <w:lvl w:ilvl="8" w:tplc="04090005" w:tentative="1">
      <w:start w:val="1"/>
      <w:numFmt w:val="bullet"/>
      <w:lvlText w:val=""/>
      <w:lvlJc w:val="left"/>
      <w:pPr>
        <w:ind w:left="6905" w:hanging="360"/>
      </w:pPr>
      <w:rPr>
        <w:rFonts w:ascii="Wingdings" w:hAnsi="Wingdings" w:hint="default"/>
      </w:rPr>
    </w:lvl>
  </w:abstractNum>
  <w:abstractNum w:abstractNumId="21" w15:restartNumberingAfterBreak="0">
    <w:nsid w:val="5BDF52CF"/>
    <w:multiLevelType w:val="hybridMultilevel"/>
    <w:tmpl w:val="799A70CE"/>
    <w:lvl w:ilvl="0" w:tplc="0C090001">
      <w:start w:val="1"/>
      <w:numFmt w:val="decimal"/>
      <w:lvlText w:val="R%1."/>
      <w:lvlJc w:val="righ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2" w15:restartNumberingAfterBreak="0">
    <w:nsid w:val="60E157F5"/>
    <w:multiLevelType w:val="hybridMultilevel"/>
    <w:tmpl w:val="57E44D78"/>
    <w:lvl w:ilvl="0" w:tplc="0C090003">
      <w:start w:val="1"/>
      <w:numFmt w:val="bullet"/>
      <w:lvlText w:val="o"/>
      <w:lvlJc w:val="left"/>
      <w:pPr>
        <w:ind w:left="1145" w:hanging="360"/>
      </w:pPr>
      <w:rPr>
        <w:rFonts w:ascii="Courier New" w:hAnsi="Courier New" w:cs="Courier New" w:hint="default"/>
        <w:color w:val="005EA1" w:themeColor="accent1"/>
      </w:rPr>
    </w:lvl>
    <w:lvl w:ilvl="1" w:tplc="04090003">
      <w:start w:val="1"/>
      <w:numFmt w:val="bullet"/>
      <w:lvlText w:val="o"/>
      <w:lvlJc w:val="left"/>
      <w:pPr>
        <w:ind w:left="1865" w:hanging="360"/>
      </w:pPr>
      <w:rPr>
        <w:rFonts w:ascii="Courier New" w:hAnsi="Courier New" w:cs="Symbol" w:hint="default"/>
      </w:rPr>
    </w:lvl>
    <w:lvl w:ilvl="2" w:tplc="04090005">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Symbol"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Symbol" w:hint="default"/>
      </w:rPr>
    </w:lvl>
    <w:lvl w:ilvl="8" w:tplc="04090005" w:tentative="1">
      <w:start w:val="1"/>
      <w:numFmt w:val="bullet"/>
      <w:lvlText w:val=""/>
      <w:lvlJc w:val="left"/>
      <w:pPr>
        <w:ind w:left="6905" w:hanging="360"/>
      </w:pPr>
      <w:rPr>
        <w:rFonts w:ascii="Wingdings" w:hAnsi="Wingdings" w:hint="default"/>
      </w:rPr>
    </w:lvl>
  </w:abstractNum>
  <w:abstractNum w:abstractNumId="23" w15:restartNumberingAfterBreak="0">
    <w:nsid w:val="618C0288"/>
    <w:multiLevelType w:val="hybridMultilevel"/>
    <w:tmpl w:val="E13C7EEE"/>
    <w:lvl w:ilvl="0" w:tplc="12C438F2">
      <w:start w:val="1"/>
      <w:numFmt w:val="bullet"/>
      <w:pStyle w:val="List3dash"/>
      <w:lvlText w:val=""/>
      <w:lvlJc w:val="left"/>
      <w:pPr>
        <w:ind w:left="1996" w:hanging="360"/>
      </w:pPr>
      <w:rPr>
        <w:rFonts w:ascii="Symbol" w:hAnsi="Symbol" w:hint="default"/>
        <w:color w:val="005EA1" w:themeColor="accent1"/>
      </w:rPr>
    </w:lvl>
    <w:lvl w:ilvl="1" w:tplc="0C090003" w:tentative="1">
      <w:start w:val="1"/>
      <w:numFmt w:val="bullet"/>
      <w:lvlText w:val="o"/>
      <w:lvlJc w:val="left"/>
      <w:pPr>
        <w:ind w:left="2716" w:hanging="360"/>
      </w:pPr>
      <w:rPr>
        <w:rFonts w:ascii="Courier New" w:hAnsi="Courier New" w:cs="Symbol"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Symbol"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Symbol" w:hint="default"/>
      </w:rPr>
    </w:lvl>
    <w:lvl w:ilvl="8" w:tplc="0C090005" w:tentative="1">
      <w:start w:val="1"/>
      <w:numFmt w:val="bullet"/>
      <w:lvlText w:val=""/>
      <w:lvlJc w:val="left"/>
      <w:pPr>
        <w:ind w:left="7756" w:hanging="360"/>
      </w:pPr>
      <w:rPr>
        <w:rFonts w:ascii="Wingdings" w:hAnsi="Wingdings" w:hint="default"/>
      </w:rPr>
    </w:lvl>
  </w:abstractNum>
  <w:abstractNum w:abstractNumId="24" w15:restartNumberingAfterBreak="0">
    <w:nsid w:val="62CF6CD9"/>
    <w:multiLevelType w:val="hybridMultilevel"/>
    <w:tmpl w:val="43C2F74A"/>
    <w:lvl w:ilvl="0" w:tplc="8D465EB6">
      <w:start w:val="1"/>
      <w:numFmt w:val="bullet"/>
      <w:lvlText w:val=""/>
      <w:lvlJc w:val="left"/>
      <w:pPr>
        <w:ind w:left="1996" w:hanging="360"/>
      </w:pPr>
      <w:rPr>
        <w:rFonts w:ascii="Symbol" w:hAnsi="Symbol" w:hint="default"/>
      </w:rPr>
    </w:lvl>
    <w:lvl w:ilvl="1" w:tplc="0C090003" w:tentative="1">
      <w:start w:val="1"/>
      <w:numFmt w:val="bullet"/>
      <w:lvlText w:val="o"/>
      <w:lvlJc w:val="left"/>
      <w:pPr>
        <w:ind w:left="2716" w:hanging="360"/>
      </w:pPr>
      <w:rPr>
        <w:rFonts w:ascii="Courier New" w:hAnsi="Courier New" w:cs="Symbol"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Symbol"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Symbol" w:hint="default"/>
      </w:rPr>
    </w:lvl>
    <w:lvl w:ilvl="8" w:tplc="0C090005" w:tentative="1">
      <w:start w:val="1"/>
      <w:numFmt w:val="bullet"/>
      <w:lvlText w:val=""/>
      <w:lvlJc w:val="left"/>
      <w:pPr>
        <w:ind w:left="7756" w:hanging="360"/>
      </w:pPr>
      <w:rPr>
        <w:rFonts w:ascii="Wingdings" w:hAnsi="Wingdings" w:hint="default"/>
      </w:rPr>
    </w:lvl>
  </w:abstractNum>
  <w:abstractNum w:abstractNumId="25" w15:restartNumberingAfterBreak="0">
    <w:nsid w:val="682F1407"/>
    <w:multiLevelType w:val="hybridMultilevel"/>
    <w:tmpl w:val="1BDE7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7E1148"/>
    <w:multiLevelType w:val="hybridMultilevel"/>
    <w:tmpl w:val="72DA7620"/>
    <w:lvl w:ilvl="0" w:tplc="21DEC20E">
      <w:start w:val="1"/>
      <w:numFmt w:val="bullet"/>
      <w:pStyle w:val="List1bullet"/>
      <w:lvlText w:val=""/>
      <w:lvlJc w:val="left"/>
      <w:pPr>
        <w:ind w:left="1145" w:hanging="360"/>
      </w:pPr>
      <w:rPr>
        <w:rFonts w:ascii="Symbol" w:hAnsi="Symbol" w:hint="default"/>
        <w:color w:val="005EA1" w:themeColor="accent1"/>
      </w:rPr>
    </w:lvl>
    <w:lvl w:ilvl="1" w:tplc="04090003">
      <w:start w:val="1"/>
      <w:numFmt w:val="bullet"/>
      <w:lvlText w:val="o"/>
      <w:lvlJc w:val="left"/>
      <w:pPr>
        <w:ind w:left="1865" w:hanging="360"/>
      </w:pPr>
      <w:rPr>
        <w:rFonts w:ascii="Courier New" w:hAnsi="Courier New" w:cs="Symbol" w:hint="default"/>
      </w:rPr>
    </w:lvl>
    <w:lvl w:ilvl="2" w:tplc="04090005">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Symbol"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Symbol" w:hint="default"/>
      </w:rPr>
    </w:lvl>
    <w:lvl w:ilvl="8" w:tplc="04090005" w:tentative="1">
      <w:start w:val="1"/>
      <w:numFmt w:val="bullet"/>
      <w:lvlText w:val=""/>
      <w:lvlJc w:val="left"/>
      <w:pPr>
        <w:ind w:left="6905" w:hanging="360"/>
      </w:pPr>
      <w:rPr>
        <w:rFonts w:ascii="Wingdings" w:hAnsi="Wingdings" w:hint="default"/>
      </w:rPr>
    </w:lvl>
  </w:abstractNum>
  <w:abstractNum w:abstractNumId="27" w15:restartNumberingAfterBreak="0">
    <w:nsid w:val="71550F91"/>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1564122"/>
    <w:multiLevelType w:val="hybridMultilevel"/>
    <w:tmpl w:val="2AC8BD40"/>
    <w:lvl w:ilvl="0" w:tplc="D3A4BDE4">
      <w:start w:val="1"/>
      <w:numFmt w:val="decimal"/>
      <w:lvlText w:val="O%1"/>
      <w:lvlJc w:val="left"/>
      <w:pPr>
        <w:ind w:left="720" w:hanging="360"/>
      </w:pPr>
      <w:rPr>
        <w:rFonts w:hint="default"/>
        <w:b/>
        <w:i w:val="0"/>
        <w:color w:val="7030A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1D83F97"/>
    <w:multiLevelType w:val="hybridMultilevel"/>
    <w:tmpl w:val="1F149BB6"/>
    <w:lvl w:ilvl="0" w:tplc="C22C9534">
      <w:start w:val="1"/>
      <w:numFmt w:val="bullet"/>
      <w:lvlText w:val=""/>
      <w:lvlJc w:val="left"/>
      <w:pPr>
        <w:ind w:left="1145" w:hanging="360"/>
      </w:pPr>
      <w:rPr>
        <w:rFonts w:ascii="Wingdings" w:hAnsi="Wingdings" w:hint="default"/>
      </w:rPr>
    </w:lvl>
    <w:lvl w:ilvl="1" w:tplc="04090003">
      <w:start w:val="1"/>
      <w:numFmt w:val="bullet"/>
      <w:lvlText w:val="o"/>
      <w:lvlJc w:val="left"/>
      <w:pPr>
        <w:ind w:left="1865" w:hanging="360"/>
      </w:pPr>
      <w:rPr>
        <w:rFonts w:ascii="Courier New" w:hAnsi="Courier New" w:cs="Symbol" w:hint="default"/>
      </w:rPr>
    </w:lvl>
    <w:lvl w:ilvl="2" w:tplc="04090005">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Symbol"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Symbol" w:hint="default"/>
      </w:rPr>
    </w:lvl>
    <w:lvl w:ilvl="8" w:tplc="04090005" w:tentative="1">
      <w:start w:val="1"/>
      <w:numFmt w:val="bullet"/>
      <w:lvlText w:val=""/>
      <w:lvlJc w:val="left"/>
      <w:pPr>
        <w:ind w:left="6905" w:hanging="360"/>
      </w:pPr>
      <w:rPr>
        <w:rFonts w:ascii="Wingdings" w:hAnsi="Wingdings" w:hint="default"/>
      </w:rPr>
    </w:lvl>
  </w:abstractNum>
  <w:abstractNum w:abstractNumId="30" w15:restartNumberingAfterBreak="0">
    <w:nsid w:val="74D54F9A"/>
    <w:multiLevelType w:val="multilevel"/>
    <w:tmpl w:val="60F2B7FC"/>
    <w:lvl w:ilvl="0">
      <w:start w:val="1"/>
      <w:numFmt w:val="decimal"/>
      <w:pStyle w:val="Heading1"/>
      <w:lvlText w:val="%1"/>
      <w:lvlJc w:val="left"/>
      <w:pPr>
        <w:ind w:left="0" w:hanging="851"/>
      </w:pPr>
      <w:rPr>
        <w:rFonts w:ascii="VIC SemiBold" w:hAnsi="VIC SemiBold" w:hint="default"/>
        <w:b w:val="0"/>
        <w:i w:val="0"/>
        <w:color w:val="005EA1" w:themeColor="accent1"/>
      </w:rPr>
    </w:lvl>
    <w:lvl w:ilvl="1">
      <w:start w:val="1"/>
      <w:numFmt w:val="decimal"/>
      <w:pStyle w:val="Heading2"/>
      <w:lvlText w:val="%1.%2"/>
      <w:lvlJc w:val="left"/>
      <w:pPr>
        <w:ind w:left="0" w:hanging="851"/>
      </w:pPr>
      <w:rPr>
        <w:rFonts w:hint="default"/>
        <w:color w:val="005EA1" w:themeColor="accent1"/>
      </w:rPr>
    </w:lvl>
    <w:lvl w:ilvl="2">
      <w:start w:val="1"/>
      <w:numFmt w:val="decimal"/>
      <w:pStyle w:val="Heading3"/>
      <w:lvlText w:val="%1.%2.%3"/>
      <w:lvlJc w:val="left"/>
      <w:pPr>
        <w:ind w:left="0" w:hanging="851"/>
      </w:pPr>
      <w:rPr>
        <w:rFonts w:hint="default"/>
        <w:color w:val="005EA1" w:themeColor="accent1"/>
      </w:rPr>
    </w:lvl>
    <w:lvl w:ilvl="3">
      <w:start w:val="1"/>
      <w:numFmt w:val="decimal"/>
      <w:lvlText w:val="%1.%2.%3.%4."/>
      <w:lvlJc w:val="left"/>
      <w:pPr>
        <w:ind w:left="0" w:hanging="851"/>
      </w:pPr>
      <w:rPr>
        <w:rFonts w:hint="default"/>
      </w:rPr>
    </w:lvl>
    <w:lvl w:ilvl="4">
      <w:start w:val="1"/>
      <w:numFmt w:val="decimal"/>
      <w:lvlText w:val="%1.%2.%3.%4.%5."/>
      <w:lvlJc w:val="left"/>
      <w:pPr>
        <w:ind w:left="0" w:hanging="851"/>
      </w:pPr>
      <w:rPr>
        <w:rFonts w:hint="default"/>
      </w:rPr>
    </w:lvl>
    <w:lvl w:ilvl="5">
      <w:start w:val="1"/>
      <w:numFmt w:val="decimal"/>
      <w:lvlText w:val="%1.%2.%3.%4.%5.%6."/>
      <w:lvlJc w:val="left"/>
      <w:pPr>
        <w:ind w:left="0" w:hanging="851"/>
      </w:pPr>
      <w:rPr>
        <w:rFonts w:hint="default"/>
      </w:rPr>
    </w:lvl>
    <w:lvl w:ilvl="6">
      <w:start w:val="1"/>
      <w:numFmt w:val="decimal"/>
      <w:lvlText w:val="%1.%2.%3.%4.%5.%6.%7."/>
      <w:lvlJc w:val="left"/>
      <w:pPr>
        <w:ind w:left="0" w:hanging="851"/>
      </w:pPr>
      <w:rPr>
        <w:rFonts w:hint="default"/>
      </w:rPr>
    </w:lvl>
    <w:lvl w:ilvl="7">
      <w:start w:val="1"/>
      <w:numFmt w:val="decimal"/>
      <w:lvlText w:val="%1.%2.%3.%4.%5.%6.%7.%8."/>
      <w:lvlJc w:val="left"/>
      <w:pPr>
        <w:ind w:left="0" w:hanging="851"/>
      </w:pPr>
      <w:rPr>
        <w:rFonts w:hint="default"/>
      </w:rPr>
    </w:lvl>
    <w:lvl w:ilvl="8">
      <w:start w:val="1"/>
      <w:numFmt w:val="decimal"/>
      <w:lvlText w:val="%1.%2.%3.%4.%5.%6.%7.%8.%9."/>
      <w:lvlJc w:val="left"/>
      <w:pPr>
        <w:ind w:left="0" w:hanging="851"/>
      </w:pPr>
      <w:rPr>
        <w:rFonts w:hint="default"/>
      </w:rPr>
    </w:lvl>
  </w:abstractNum>
  <w:abstractNum w:abstractNumId="31" w15:restartNumberingAfterBreak="0">
    <w:nsid w:val="754358D7"/>
    <w:multiLevelType w:val="hybridMultilevel"/>
    <w:tmpl w:val="F7CAB830"/>
    <w:lvl w:ilvl="0" w:tplc="0C090003">
      <w:start w:val="1"/>
      <w:numFmt w:val="bullet"/>
      <w:lvlText w:val="o"/>
      <w:lvlJc w:val="left"/>
      <w:pPr>
        <w:ind w:left="1145" w:hanging="360"/>
      </w:pPr>
      <w:rPr>
        <w:rFonts w:ascii="Courier New" w:hAnsi="Courier New" w:cs="Courier New" w:hint="default"/>
        <w:color w:val="005EA1" w:themeColor="accent1"/>
      </w:rPr>
    </w:lvl>
    <w:lvl w:ilvl="1" w:tplc="04090003">
      <w:start w:val="1"/>
      <w:numFmt w:val="bullet"/>
      <w:lvlText w:val="o"/>
      <w:lvlJc w:val="left"/>
      <w:pPr>
        <w:ind w:left="1865" w:hanging="360"/>
      </w:pPr>
      <w:rPr>
        <w:rFonts w:ascii="Courier New" w:hAnsi="Courier New" w:cs="Symbol" w:hint="default"/>
      </w:rPr>
    </w:lvl>
    <w:lvl w:ilvl="2" w:tplc="04090005">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Symbol"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Symbol" w:hint="default"/>
      </w:rPr>
    </w:lvl>
    <w:lvl w:ilvl="8" w:tplc="04090005" w:tentative="1">
      <w:start w:val="1"/>
      <w:numFmt w:val="bullet"/>
      <w:lvlText w:val=""/>
      <w:lvlJc w:val="left"/>
      <w:pPr>
        <w:ind w:left="6905" w:hanging="360"/>
      </w:pPr>
      <w:rPr>
        <w:rFonts w:ascii="Wingdings" w:hAnsi="Wingdings" w:hint="default"/>
      </w:rPr>
    </w:lvl>
  </w:abstractNum>
  <w:abstractNum w:abstractNumId="32" w15:restartNumberingAfterBreak="0">
    <w:nsid w:val="79A87DA7"/>
    <w:multiLevelType w:val="hybridMultilevel"/>
    <w:tmpl w:val="7ACC7A8A"/>
    <w:lvl w:ilvl="0" w:tplc="0C090003">
      <w:start w:val="1"/>
      <w:numFmt w:val="bullet"/>
      <w:lvlText w:val="o"/>
      <w:lvlJc w:val="left"/>
      <w:pPr>
        <w:ind w:left="1145" w:hanging="360"/>
      </w:pPr>
      <w:rPr>
        <w:rFonts w:ascii="Courier New" w:hAnsi="Courier New" w:cs="Courier New" w:hint="default"/>
        <w:color w:val="005EA1" w:themeColor="accent1"/>
      </w:rPr>
    </w:lvl>
    <w:lvl w:ilvl="1" w:tplc="04090003">
      <w:start w:val="1"/>
      <w:numFmt w:val="bullet"/>
      <w:lvlText w:val="o"/>
      <w:lvlJc w:val="left"/>
      <w:pPr>
        <w:ind w:left="1865" w:hanging="360"/>
      </w:pPr>
      <w:rPr>
        <w:rFonts w:ascii="Courier New" w:hAnsi="Courier New" w:cs="Symbol" w:hint="default"/>
      </w:rPr>
    </w:lvl>
    <w:lvl w:ilvl="2" w:tplc="04090005">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Symbol"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Symbol" w:hint="default"/>
      </w:rPr>
    </w:lvl>
    <w:lvl w:ilvl="8" w:tplc="04090005" w:tentative="1">
      <w:start w:val="1"/>
      <w:numFmt w:val="bullet"/>
      <w:lvlText w:val=""/>
      <w:lvlJc w:val="left"/>
      <w:pPr>
        <w:ind w:left="6905" w:hanging="360"/>
      </w:pPr>
      <w:rPr>
        <w:rFonts w:ascii="Wingdings" w:hAnsi="Wingdings" w:hint="default"/>
      </w:rPr>
    </w:lvl>
  </w:abstractNum>
  <w:abstractNum w:abstractNumId="33" w15:restartNumberingAfterBreak="0">
    <w:nsid w:val="7B5C3F53"/>
    <w:multiLevelType w:val="multilevel"/>
    <w:tmpl w:val="0060C338"/>
    <w:numStyleLink w:val="NumberedList"/>
  </w:abstractNum>
  <w:abstractNum w:abstractNumId="34" w15:restartNumberingAfterBreak="0">
    <w:nsid w:val="7F45563A"/>
    <w:multiLevelType w:val="hybridMultilevel"/>
    <w:tmpl w:val="A620B504"/>
    <w:lvl w:ilvl="0" w:tplc="0292E5C0">
      <w:start w:val="1"/>
      <w:numFmt w:val="decimal"/>
      <w:pStyle w:val="Tablenoobj"/>
      <w:lvlText w:val="O%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18"/>
  </w:num>
  <w:num w:numId="3">
    <w:abstractNumId w:val="2"/>
  </w:num>
  <w:num w:numId="4">
    <w:abstractNumId w:val="29"/>
  </w:num>
  <w:num w:numId="5">
    <w:abstractNumId w:val="9"/>
  </w:num>
  <w:num w:numId="6">
    <w:abstractNumId w:val="24"/>
  </w:num>
  <w:num w:numId="7">
    <w:abstractNumId w:val="11"/>
  </w:num>
  <w:num w:numId="8">
    <w:abstractNumId w:val="16"/>
  </w:num>
  <w:num w:numId="9">
    <w:abstractNumId w:val="25"/>
  </w:num>
  <w:num w:numId="10">
    <w:abstractNumId w:val="1"/>
  </w:num>
  <w:num w:numId="11">
    <w:abstractNumId w:val="0"/>
  </w:num>
  <w:num w:numId="12">
    <w:abstractNumId w:val="16"/>
  </w:num>
  <w:num w:numId="13">
    <w:abstractNumId w:val="16"/>
  </w:num>
  <w:num w:numId="14">
    <w:abstractNumId w:val="24"/>
  </w:num>
  <w:num w:numId="15">
    <w:abstractNumId w:val="11"/>
  </w:num>
  <w:num w:numId="16">
    <w:abstractNumId w:val="2"/>
  </w:num>
  <w:num w:numId="17">
    <w:abstractNumId w:val="29"/>
  </w:num>
  <w:num w:numId="18">
    <w:abstractNumId w:val="9"/>
  </w:num>
  <w:num w:numId="19">
    <w:abstractNumId w:val="19"/>
  </w:num>
  <w:num w:numId="20">
    <w:abstractNumId w:val="30"/>
  </w:num>
  <w:num w:numId="21">
    <w:abstractNumId w:val="27"/>
  </w:num>
  <w:num w:numId="22">
    <w:abstractNumId w:val="30"/>
    <w:lvlOverride w:ilvl="0">
      <w:lvl w:ilvl="0">
        <w:start w:val="1"/>
        <w:numFmt w:val="decimal"/>
        <w:pStyle w:val="Heading1"/>
        <w:lvlText w:val="%1."/>
        <w:lvlJc w:val="left"/>
        <w:pPr>
          <w:ind w:left="0" w:hanging="851"/>
        </w:pPr>
        <w:rPr>
          <w:rFonts w:ascii="Franklin Gothic Demi" w:hAnsi="Franklin Gothic Demi" w:hint="default"/>
          <w:b w:val="0"/>
          <w:i w:val="0"/>
          <w:color w:val="005EA1" w:themeColor="accent1"/>
        </w:rPr>
      </w:lvl>
    </w:lvlOverride>
    <w:lvlOverride w:ilvl="1">
      <w:lvl w:ilvl="1">
        <w:start w:val="1"/>
        <w:numFmt w:val="decimal"/>
        <w:pStyle w:val="Heading2"/>
        <w:lvlText w:val="%1.%2."/>
        <w:lvlJc w:val="left"/>
        <w:pPr>
          <w:ind w:left="0" w:hanging="709"/>
        </w:pPr>
        <w:rPr>
          <w:rFonts w:hint="default"/>
          <w:color w:val="005EA1" w:themeColor="accent1"/>
        </w:rPr>
      </w:lvl>
    </w:lvlOverride>
    <w:lvlOverride w:ilvl="2">
      <w:lvl w:ilvl="2">
        <w:start w:val="1"/>
        <w:numFmt w:val="decimal"/>
        <w:pStyle w:val="Heading3"/>
        <w:lvlText w:val="%1.%2.%3."/>
        <w:lvlJc w:val="left"/>
        <w:pPr>
          <w:ind w:left="0" w:hanging="709"/>
        </w:pPr>
        <w:rPr>
          <w:rFonts w:hint="default"/>
        </w:rPr>
      </w:lvl>
    </w:lvlOverride>
    <w:lvlOverride w:ilvl="3">
      <w:lvl w:ilvl="3">
        <w:start w:val="1"/>
        <w:numFmt w:val="decimal"/>
        <w:lvlText w:val="%1.%2.%3.%4."/>
        <w:lvlJc w:val="left"/>
        <w:pPr>
          <w:ind w:left="0" w:hanging="709"/>
        </w:pPr>
        <w:rPr>
          <w:rFonts w:hint="default"/>
        </w:rPr>
      </w:lvl>
    </w:lvlOverride>
    <w:lvlOverride w:ilvl="4">
      <w:lvl w:ilvl="4">
        <w:start w:val="1"/>
        <w:numFmt w:val="decimal"/>
        <w:lvlText w:val="%1.%2.%3.%4.%5."/>
        <w:lvlJc w:val="left"/>
        <w:pPr>
          <w:ind w:left="0" w:hanging="709"/>
        </w:pPr>
        <w:rPr>
          <w:rFonts w:hint="default"/>
        </w:rPr>
      </w:lvl>
    </w:lvlOverride>
    <w:lvlOverride w:ilvl="5">
      <w:lvl w:ilvl="5">
        <w:start w:val="1"/>
        <w:numFmt w:val="decimal"/>
        <w:lvlText w:val="%1.%2.%3.%4.%5.%6."/>
        <w:lvlJc w:val="left"/>
        <w:pPr>
          <w:ind w:left="0" w:hanging="709"/>
        </w:pPr>
        <w:rPr>
          <w:rFonts w:hint="default"/>
        </w:rPr>
      </w:lvl>
    </w:lvlOverride>
    <w:lvlOverride w:ilvl="6">
      <w:lvl w:ilvl="6">
        <w:start w:val="1"/>
        <w:numFmt w:val="decimal"/>
        <w:lvlText w:val="%1.%2.%3.%4.%5.%6.%7."/>
        <w:lvlJc w:val="left"/>
        <w:pPr>
          <w:ind w:left="0" w:hanging="709"/>
        </w:pPr>
        <w:rPr>
          <w:rFonts w:hint="default"/>
        </w:rPr>
      </w:lvl>
    </w:lvlOverride>
    <w:lvlOverride w:ilvl="7">
      <w:lvl w:ilvl="7">
        <w:start w:val="1"/>
        <w:numFmt w:val="decimal"/>
        <w:lvlText w:val="%1.%2.%3.%4.%5.%6.%7.%8."/>
        <w:lvlJc w:val="left"/>
        <w:pPr>
          <w:ind w:left="0" w:hanging="709"/>
        </w:pPr>
        <w:rPr>
          <w:rFonts w:hint="default"/>
        </w:rPr>
      </w:lvl>
    </w:lvlOverride>
    <w:lvlOverride w:ilvl="8">
      <w:lvl w:ilvl="8">
        <w:start w:val="1"/>
        <w:numFmt w:val="decimal"/>
        <w:lvlText w:val="%1.%2.%3.%4.%5.%6.%7.%8.%9."/>
        <w:lvlJc w:val="left"/>
        <w:pPr>
          <w:ind w:left="0" w:hanging="709"/>
        </w:pPr>
        <w:rPr>
          <w:rFonts w:hint="default"/>
        </w:rPr>
      </w:lvl>
    </w:lvlOverride>
  </w:num>
  <w:num w:numId="23">
    <w:abstractNumId w:val="30"/>
    <w:lvlOverride w:ilvl="0">
      <w:lvl w:ilvl="0">
        <w:start w:val="1"/>
        <w:numFmt w:val="decimal"/>
        <w:pStyle w:val="Heading1"/>
        <w:lvlText w:val="%1."/>
        <w:lvlJc w:val="left"/>
        <w:pPr>
          <w:ind w:left="0" w:hanging="851"/>
        </w:pPr>
        <w:rPr>
          <w:rFonts w:ascii="Franklin Gothic Demi" w:hAnsi="Franklin Gothic Demi" w:hint="default"/>
          <w:b w:val="0"/>
          <w:i w:val="0"/>
          <w:color w:val="005EA1" w:themeColor="accent1"/>
        </w:rPr>
      </w:lvl>
    </w:lvlOverride>
    <w:lvlOverride w:ilvl="1">
      <w:lvl w:ilvl="1">
        <w:start w:val="1"/>
        <w:numFmt w:val="decimal"/>
        <w:pStyle w:val="Heading2"/>
        <w:lvlText w:val="%1.%2."/>
        <w:lvlJc w:val="left"/>
        <w:pPr>
          <w:ind w:left="0" w:hanging="851"/>
        </w:pPr>
        <w:rPr>
          <w:rFonts w:hint="default"/>
          <w:color w:val="005EA1" w:themeColor="accent1"/>
        </w:rPr>
      </w:lvl>
    </w:lvlOverride>
    <w:lvlOverride w:ilvl="2">
      <w:lvl w:ilvl="2">
        <w:start w:val="1"/>
        <w:numFmt w:val="decimal"/>
        <w:pStyle w:val="Heading3"/>
        <w:lvlText w:val="%1.%2.%3."/>
        <w:lvlJc w:val="left"/>
        <w:pPr>
          <w:ind w:left="0" w:hanging="851"/>
        </w:pPr>
        <w:rPr>
          <w:rFonts w:hint="default"/>
          <w:color w:val="005EA1" w:themeColor="accent1"/>
        </w:rPr>
      </w:lvl>
    </w:lvlOverride>
    <w:lvlOverride w:ilvl="3">
      <w:lvl w:ilvl="3">
        <w:start w:val="1"/>
        <w:numFmt w:val="decimal"/>
        <w:lvlText w:val="%1.%2.%3.%4."/>
        <w:lvlJc w:val="left"/>
        <w:pPr>
          <w:ind w:left="0" w:hanging="851"/>
        </w:pPr>
        <w:rPr>
          <w:rFonts w:hint="default"/>
        </w:rPr>
      </w:lvl>
    </w:lvlOverride>
    <w:lvlOverride w:ilvl="4">
      <w:lvl w:ilvl="4">
        <w:start w:val="1"/>
        <w:numFmt w:val="decimal"/>
        <w:lvlText w:val="%1.%2.%3.%4.%5."/>
        <w:lvlJc w:val="left"/>
        <w:pPr>
          <w:ind w:left="0" w:hanging="851"/>
        </w:pPr>
        <w:rPr>
          <w:rFonts w:hint="default"/>
        </w:rPr>
      </w:lvl>
    </w:lvlOverride>
    <w:lvlOverride w:ilvl="5">
      <w:lvl w:ilvl="5">
        <w:start w:val="1"/>
        <w:numFmt w:val="decimal"/>
        <w:lvlText w:val="%1.%2.%3.%4.%5.%6."/>
        <w:lvlJc w:val="left"/>
        <w:pPr>
          <w:ind w:left="0" w:hanging="851"/>
        </w:pPr>
        <w:rPr>
          <w:rFonts w:hint="default"/>
        </w:rPr>
      </w:lvl>
    </w:lvlOverride>
    <w:lvlOverride w:ilvl="6">
      <w:lvl w:ilvl="6">
        <w:start w:val="1"/>
        <w:numFmt w:val="decimal"/>
        <w:lvlText w:val="%1.%2.%3.%4.%5.%6.%7."/>
        <w:lvlJc w:val="left"/>
        <w:pPr>
          <w:ind w:left="0" w:hanging="851"/>
        </w:pPr>
        <w:rPr>
          <w:rFonts w:hint="default"/>
        </w:rPr>
      </w:lvl>
    </w:lvlOverride>
    <w:lvlOverride w:ilvl="7">
      <w:lvl w:ilvl="7">
        <w:start w:val="1"/>
        <w:numFmt w:val="decimal"/>
        <w:lvlText w:val="%1.%2.%3.%4.%5.%6.%7.%8."/>
        <w:lvlJc w:val="left"/>
        <w:pPr>
          <w:ind w:left="0" w:hanging="851"/>
        </w:pPr>
        <w:rPr>
          <w:rFonts w:hint="default"/>
        </w:rPr>
      </w:lvl>
    </w:lvlOverride>
    <w:lvlOverride w:ilvl="8">
      <w:lvl w:ilvl="8">
        <w:start w:val="1"/>
        <w:numFmt w:val="decimal"/>
        <w:lvlText w:val="%1.%2.%3.%4.%5.%6.%7.%8.%9."/>
        <w:lvlJc w:val="left"/>
        <w:pPr>
          <w:ind w:left="0" w:hanging="851"/>
        </w:pPr>
        <w:rPr>
          <w:rFonts w:hint="default"/>
        </w:rPr>
      </w:lvl>
    </w:lvlOverride>
  </w:num>
  <w:num w:numId="24">
    <w:abstractNumId w:val="20"/>
  </w:num>
  <w:num w:numId="25">
    <w:abstractNumId w:val="26"/>
  </w:num>
  <w:num w:numId="26">
    <w:abstractNumId w:val="23"/>
  </w:num>
  <w:num w:numId="27">
    <w:abstractNumId w:val="5"/>
  </w:num>
  <w:num w:numId="28">
    <w:abstractNumId w:val="30"/>
    <w:lvlOverride w:ilvl="0">
      <w:lvl w:ilvl="0">
        <w:start w:val="1"/>
        <w:numFmt w:val="decimal"/>
        <w:pStyle w:val="Heading1"/>
        <w:lvlText w:val="%1"/>
        <w:lvlJc w:val="left"/>
        <w:pPr>
          <w:ind w:left="0" w:hanging="851"/>
        </w:pPr>
        <w:rPr>
          <w:rFonts w:hint="default"/>
          <w:b w:val="0"/>
          <w:i w:val="0"/>
          <w:color w:val="005EA1" w:themeColor="accent1"/>
        </w:rPr>
      </w:lvl>
    </w:lvlOverride>
    <w:lvlOverride w:ilvl="1">
      <w:lvl w:ilvl="1">
        <w:start w:val="1"/>
        <w:numFmt w:val="decimal"/>
        <w:pStyle w:val="Heading2"/>
        <w:lvlText w:val="%1.%2"/>
        <w:lvlJc w:val="left"/>
        <w:pPr>
          <w:ind w:left="0" w:hanging="851"/>
        </w:pPr>
        <w:rPr>
          <w:rFonts w:hint="default"/>
          <w:color w:val="005EA1" w:themeColor="accent1"/>
        </w:rPr>
      </w:lvl>
    </w:lvlOverride>
    <w:lvlOverride w:ilvl="2">
      <w:lvl w:ilvl="2">
        <w:start w:val="1"/>
        <w:numFmt w:val="decimal"/>
        <w:pStyle w:val="Heading3"/>
        <w:lvlText w:val="%1.%2.%3"/>
        <w:lvlJc w:val="left"/>
        <w:pPr>
          <w:ind w:left="0" w:hanging="851"/>
        </w:pPr>
        <w:rPr>
          <w:rFonts w:hint="default"/>
          <w:color w:val="005EA1" w:themeColor="accent1"/>
        </w:rPr>
      </w:lvl>
    </w:lvlOverride>
    <w:lvlOverride w:ilvl="3">
      <w:lvl w:ilvl="3">
        <w:start w:val="1"/>
        <w:numFmt w:val="decimal"/>
        <w:lvlText w:val="%1.%2.%3.%4."/>
        <w:lvlJc w:val="left"/>
        <w:pPr>
          <w:ind w:left="0" w:hanging="851"/>
        </w:pPr>
        <w:rPr>
          <w:rFonts w:hint="default"/>
        </w:rPr>
      </w:lvl>
    </w:lvlOverride>
    <w:lvlOverride w:ilvl="4">
      <w:lvl w:ilvl="4">
        <w:start w:val="1"/>
        <w:numFmt w:val="decimal"/>
        <w:lvlText w:val="%1.%2.%3.%4.%5."/>
        <w:lvlJc w:val="left"/>
        <w:pPr>
          <w:ind w:left="0" w:hanging="851"/>
        </w:pPr>
        <w:rPr>
          <w:rFonts w:hint="default"/>
        </w:rPr>
      </w:lvl>
    </w:lvlOverride>
    <w:lvlOverride w:ilvl="5">
      <w:lvl w:ilvl="5">
        <w:start w:val="1"/>
        <w:numFmt w:val="decimal"/>
        <w:lvlText w:val="%1.%2.%3.%4.%5.%6."/>
        <w:lvlJc w:val="left"/>
        <w:pPr>
          <w:ind w:left="0" w:hanging="851"/>
        </w:pPr>
        <w:rPr>
          <w:rFonts w:hint="default"/>
        </w:rPr>
      </w:lvl>
    </w:lvlOverride>
    <w:lvlOverride w:ilvl="6">
      <w:lvl w:ilvl="6">
        <w:start w:val="1"/>
        <w:numFmt w:val="decimal"/>
        <w:lvlText w:val="%1.%2.%3.%4.%5.%6.%7."/>
        <w:lvlJc w:val="left"/>
        <w:pPr>
          <w:ind w:left="0" w:hanging="851"/>
        </w:pPr>
        <w:rPr>
          <w:rFonts w:hint="default"/>
        </w:rPr>
      </w:lvl>
    </w:lvlOverride>
    <w:lvlOverride w:ilvl="7">
      <w:lvl w:ilvl="7">
        <w:start w:val="1"/>
        <w:numFmt w:val="decimal"/>
        <w:lvlText w:val="%1.%2.%3.%4.%5.%6.%7.%8."/>
        <w:lvlJc w:val="left"/>
        <w:pPr>
          <w:ind w:left="0" w:hanging="851"/>
        </w:pPr>
        <w:rPr>
          <w:rFonts w:hint="default"/>
        </w:rPr>
      </w:lvl>
    </w:lvlOverride>
    <w:lvlOverride w:ilvl="8">
      <w:lvl w:ilvl="8">
        <w:start w:val="1"/>
        <w:numFmt w:val="decimal"/>
        <w:lvlText w:val="%1.%2.%3.%4.%5.%6.%7.%8.%9."/>
        <w:lvlJc w:val="left"/>
        <w:pPr>
          <w:ind w:left="0" w:hanging="851"/>
        </w:pPr>
        <w:rPr>
          <w:rFonts w:hint="default"/>
        </w:rPr>
      </w:lvl>
    </w:lvlOverride>
  </w:num>
  <w:num w:numId="29">
    <w:abstractNumId w:val="34"/>
  </w:num>
  <w:num w:numId="30">
    <w:abstractNumId w:val="28"/>
  </w:num>
  <w:num w:numId="31">
    <w:abstractNumId w:val="8"/>
  </w:num>
  <w:num w:numId="32">
    <w:abstractNumId w:val="17"/>
  </w:num>
  <w:num w:numId="33">
    <w:abstractNumId w:val="21"/>
  </w:num>
  <w:num w:numId="34">
    <w:abstractNumId w:val="14"/>
  </w:num>
  <w:num w:numId="35">
    <w:abstractNumId w:val="15"/>
  </w:num>
  <w:num w:numId="36">
    <w:abstractNumId w:val="30"/>
    <w:lvlOverride w:ilvl="0">
      <w:lvl w:ilvl="0">
        <w:start w:val="1"/>
        <w:numFmt w:val="decimal"/>
        <w:pStyle w:val="Heading1"/>
        <w:lvlText w:val="%1"/>
        <w:lvlJc w:val="left"/>
        <w:pPr>
          <w:ind w:left="0" w:hanging="851"/>
        </w:pPr>
        <w:rPr>
          <w:rFonts w:ascii="VIC SemiBold" w:hAnsi="VIC SemiBold" w:hint="default"/>
          <w:b w:val="0"/>
          <w:i w:val="0"/>
          <w:color w:val="005EA1" w:themeColor="accent1"/>
        </w:rPr>
      </w:lvl>
    </w:lvlOverride>
    <w:lvlOverride w:ilvl="1">
      <w:lvl w:ilvl="1">
        <w:start w:val="1"/>
        <w:numFmt w:val="decimal"/>
        <w:pStyle w:val="Heading2"/>
        <w:lvlText w:val="%1.%2"/>
        <w:lvlJc w:val="left"/>
        <w:pPr>
          <w:ind w:left="0" w:hanging="851"/>
        </w:pPr>
        <w:rPr>
          <w:rFonts w:ascii="VIC SemiBold" w:hAnsi="VIC SemiBold" w:hint="default"/>
          <w:color w:val="005EA1" w:themeColor="accent1"/>
        </w:rPr>
      </w:lvl>
    </w:lvlOverride>
    <w:lvlOverride w:ilvl="2">
      <w:lvl w:ilvl="2">
        <w:start w:val="1"/>
        <w:numFmt w:val="decimal"/>
        <w:pStyle w:val="Heading3"/>
        <w:lvlText w:val="%1.%2.%3"/>
        <w:lvlJc w:val="left"/>
        <w:pPr>
          <w:ind w:left="0" w:hanging="851"/>
        </w:pPr>
        <w:rPr>
          <w:rFonts w:hint="default"/>
          <w:color w:val="005EA1" w:themeColor="accent1"/>
        </w:rPr>
      </w:lvl>
    </w:lvlOverride>
    <w:lvlOverride w:ilvl="3">
      <w:lvl w:ilvl="3">
        <w:start w:val="1"/>
        <w:numFmt w:val="decimal"/>
        <w:lvlText w:val="%1.%2.%3.%4."/>
        <w:lvlJc w:val="left"/>
        <w:pPr>
          <w:ind w:left="0" w:hanging="851"/>
        </w:pPr>
        <w:rPr>
          <w:rFonts w:hint="default"/>
        </w:rPr>
      </w:lvl>
    </w:lvlOverride>
    <w:lvlOverride w:ilvl="4">
      <w:lvl w:ilvl="4">
        <w:start w:val="1"/>
        <w:numFmt w:val="decimal"/>
        <w:lvlText w:val="%1.%2.%3.%4.%5."/>
        <w:lvlJc w:val="left"/>
        <w:pPr>
          <w:ind w:left="0" w:hanging="851"/>
        </w:pPr>
        <w:rPr>
          <w:rFonts w:hint="default"/>
        </w:rPr>
      </w:lvl>
    </w:lvlOverride>
    <w:lvlOverride w:ilvl="5">
      <w:lvl w:ilvl="5">
        <w:start w:val="1"/>
        <w:numFmt w:val="decimal"/>
        <w:lvlText w:val="%1.%2.%3.%4.%5.%6."/>
        <w:lvlJc w:val="left"/>
        <w:pPr>
          <w:ind w:left="0" w:hanging="851"/>
        </w:pPr>
        <w:rPr>
          <w:rFonts w:hint="default"/>
        </w:rPr>
      </w:lvl>
    </w:lvlOverride>
    <w:lvlOverride w:ilvl="6">
      <w:lvl w:ilvl="6">
        <w:start w:val="1"/>
        <w:numFmt w:val="decimal"/>
        <w:lvlText w:val="%1.%2.%3.%4.%5.%6.%7."/>
        <w:lvlJc w:val="left"/>
        <w:pPr>
          <w:ind w:left="0" w:hanging="851"/>
        </w:pPr>
        <w:rPr>
          <w:rFonts w:hint="default"/>
        </w:rPr>
      </w:lvl>
    </w:lvlOverride>
    <w:lvlOverride w:ilvl="7">
      <w:lvl w:ilvl="7">
        <w:start w:val="1"/>
        <w:numFmt w:val="decimal"/>
        <w:lvlText w:val="%1.%2.%3.%4.%5.%6.%7.%8."/>
        <w:lvlJc w:val="left"/>
        <w:pPr>
          <w:ind w:left="0" w:hanging="851"/>
        </w:pPr>
        <w:rPr>
          <w:rFonts w:hint="default"/>
        </w:rPr>
      </w:lvl>
    </w:lvlOverride>
    <w:lvlOverride w:ilvl="8">
      <w:lvl w:ilvl="8">
        <w:start w:val="1"/>
        <w:numFmt w:val="decimal"/>
        <w:lvlText w:val="%1.%2.%3.%4.%5.%6.%7.%8.%9."/>
        <w:lvlJc w:val="left"/>
        <w:pPr>
          <w:ind w:left="0" w:hanging="851"/>
        </w:pPr>
        <w:rPr>
          <w:rFonts w:hint="default"/>
        </w:rPr>
      </w:lvl>
    </w:lvlOverride>
  </w:num>
  <w:num w:numId="37">
    <w:abstractNumId w:val="30"/>
    <w:lvlOverride w:ilvl="0">
      <w:lvl w:ilvl="0">
        <w:start w:val="1"/>
        <w:numFmt w:val="decimal"/>
        <w:pStyle w:val="Heading1"/>
        <w:lvlText w:val="%1"/>
        <w:lvlJc w:val="left"/>
        <w:pPr>
          <w:ind w:left="0" w:hanging="851"/>
        </w:pPr>
        <w:rPr>
          <w:rFonts w:ascii="VIC SemiBold" w:hAnsi="VIC SemiBold" w:hint="default"/>
          <w:b w:val="0"/>
          <w:i w:val="0"/>
          <w:color w:val="005EA1" w:themeColor="accent1"/>
        </w:rPr>
      </w:lvl>
    </w:lvlOverride>
    <w:lvlOverride w:ilvl="1">
      <w:lvl w:ilvl="1">
        <w:start w:val="1"/>
        <w:numFmt w:val="decimal"/>
        <w:pStyle w:val="Heading2"/>
        <w:lvlText w:val="%1.%2"/>
        <w:lvlJc w:val="left"/>
        <w:pPr>
          <w:ind w:left="0" w:hanging="851"/>
        </w:pPr>
        <w:rPr>
          <w:rFonts w:ascii="VIC SemiBold" w:hAnsi="VIC SemiBold" w:hint="default"/>
          <w:color w:val="005EA1" w:themeColor="accent1"/>
        </w:rPr>
      </w:lvl>
    </w:lvlOverride>
    <w:lvlOverride w:ilvl="2">
      <w:lvl w:ilvl="2">
        <w:start w:val="1"/>
        <w:numFmt w:val="decimal"/>
        <w:pStyle w:val="Heading3"/>
        <w:lvlText w:val="%1.%2.%3"/>
        <w:lvlJc w:val="left"/>
        <w:pPr>
          <w:ind w:left="0" w:hanging="851"/>
        </w:pPr>
        <w:rPr>
          <w:rFonts w:ascii="VIC SemiBold" w:hAnsi="VIC SemiBold" w:hint="default"/>
          <w:color w:val="005EA1" w:themeColor="accent1"/>
        </w:rPr>
      </w:lvl>
    </w:lvlOverride>
    <w:lvlOverride w:ilvl="3">
      <w:lvl w:ilvl="3">
        <w:start w:val="1"/>
        <w:numFmt w:val="decimal"/>
        <w:lvlText w:val="%1.%2.%3.%4."/>
        <w:lvlJc w:val="left"/>
        <w:pPr>
          <w:ind w:left="0" w:hanging="851"/>
        </w:pPr>
        <w:rPr>
          <w:rFonts w:hint="default"/>
        </w:rPr>
      </w:lvl>
    </w:lvlOverride>
    <w:lvlOverride w:ilvl="4">
      <w:lvl w:ilvl="4">
        <w:start w:val="1"/>
        <w:numFmt w:val="decimal"/>
        <w:lvlText w:val="%1.%2.%3.%4.%5."/>
        <w:lvlJc w:val="left"/>
        <w:pPr>
          <w:ind w:left="0" w:hanging="851"/>
        </w:pPr>
        <w:rPr>
          <w:rFonts w:hint="default"/>
        </w:rPr>
      </w:lvl>
    </w:lvlOverride>
    <w:lvlOverride w:ilvl="5">
      <w:lvl w:ilvl="5">
        <w:start w:val="1"/>
        <w:numFmt w:val="decimal"/>
        <w:lvlText w:val="%1.%2.%3.%4.%5.%6."/>
        <w:lvlJc w:val="left"/>
        <w:pPr>
          <w:ind w:left="0" w:hanging="851"/>
        </w:pPr>
        <w:rPr>
          <w:rFonts w:hint="default"/>
        </w:rPr>
      </w:lvl>
    </w:lvlOverride>
    <w:lvlOverride w:ilvl="6">
      <w:lvl w:ilvl="6">
        <w:start w:val="1"/>
        <w:numFmt w:val="decimal"/>
        <w:lvlText w:val="%1.%2.%3.%4.%5.%6.%7."/>
        <w:lvlJc w:val="left"/>
        <w:pPr>
          <w:ind w:left="0" w:hanging="851"/>
        </w:pPr>
        <w:rPr>
          <w:rFonts w:hint="default"/>
        </w:rPr>
      </w:lvl>
    </w:lvlOverride>
    <w:lvlOverride w:ilvl="7">
      <w:lvl w:ilvl="7">
        <w:start w:val="1"/>
        <w:numFmt w:val="decimal"/>
        <w:lvlText w:val="%1.%2.%3.%4.%5.%6.%7.%8."/>
        <w:lvlJc w:val="left"/>
        <w:pPr>
          <w:ind w:left="0" w:hanging="851"/>
        </w:pPr>
        <w:rPr>
          <w:rFonts w:hint="default"/>
        </w:rPr>
      </w:lvl>
    </w:lvlOverride>
    <w:lvlOverride w:ilvl="8">
      <w:lvl w:ilvl="8">
        <w:start w:val="1"/>
        <w:numFmt w:val="decimal"/>
        <w:lvlText w:val="%1.%2.%3.%4.%5.%6.%7.%8.%9."/>
        <w:lvlJc w:val="left"/>
        <w:pPr>
          <w:ind w:left="0" w:hanging="851"/>
        </w:pPr>
        <w:rPr>
          <w:rFonts w:hint="default"/>
        </w:rPr>
      </w:lvl>
    </w:lvlOverride>
  </w:num>
  <w:num w:numId="38">
    <w:abstractNumId w:val="3"/>
  </w:num>
  <w:num w:numId="39">
    <w:abstractNumId w:val="33"/>
  </w:num>
  <w:num w:numId="40">
    <w:abstractNumId w:val="10"/>
  </w:num>
  <w:num w:numId="41">
    <w:abstractNumId w:val="6"/>
  </w:num>
  <w:num w:numId="42">
    <w:abstractNumId w:val="22"/>
  </w:num>
  <w:num w:numId="43">
    <w:abstractNumId w:val="7"/>
  </w:num>
  <w:num w:numId="44">
    <w:abstractNumId w:val="12"/>
  </w:num>
  <w:num w:numId="45">
    <w:abstractNumId w:val="32"/>
  </w:num>
  <w:num w:numId="46">
    <w:abstractNumId w:val="31"/>
  </w:num>
  <w:num w:numId="47">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formatting="1" w:enforcement="1" w:cryptProviderType="rsaAES" w:cryptAlgorithmClass="hash" w:cryptAlgorithmType="typeAny" w:cryptAlgorithmSid="14" w:cryptSpinCount="100000" w:hash="AZxnTkEv0oJHlSVP7uhgF0wXtGfSXsx2CzyTp9azGfuqCnffXvNe4BzBo3YRo1HlZltU5tx18MRqLQ/KHMuD1g==" w:salt="eHFZIPVmOwvzacytOM/bbw=="/>
  <w:defaultTabStop w:val="709"/>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4B2"/>
    <w:rsid w:val="00007FCC"/>
    <w:rsid w:val="0001745F"/>
    <w:rsid w:val="0003639D"/>
    <w:rsid w:val="0004111B"/>
    <w:rsid w:val="000455B0"/>
    <w:rsid w:val="00065392"/>
    <w:rsid w:val="00073058"/>
    <w:rsid w:val="0008382A"/>
    <w:rsid w:val="00084BEC"/>
    <w:rsid w:val="00085705"/>
    <w:rsid w:val="000A328E"/>
    <w:rsid w:val="000A60B0"/>
    <w:rsid w:val="000B2876"/>
    <w:rsid w:val="000C28B1"/>
    <w:rsid w:val="000C73D1"/>
    <w:rsid w:val="000E1D93"/>
    <w:rsid w:val="000E6341"/>
    <w:rsid w:val="000F36DC"/>
    <w:rsid w:val="000F3D5F"/>
    <w:rsid w:val="00100076"/>
    <w:rsid w:val="00106314"/>
    <w:rsid w:val="001352AE"/>
    <w:rsid w:val="00136EE1"/>
    <w:rsid w:val="00137B47"/>
    <w:rsid w:val="00151100"/>
    <w:rsid w:val="00165845"/>
    <w:rsid w:val="001A465C"/>
    <w:rsid w:val="001B43BF"/>
    <w:rsid w:val="001C1179"/>
    <w:rsid w:val="001C66E4"/>
    <w:rsid w:val="001C6B21"/>
    <w:rsid w:val="001C6BD9"/>
    <w:rsid w:val="002024A7"/>
    <w:rsid w:val="002054DA"/>
    <w:rsid w:val="0022602A"/>
    <w:rsid w:val="00237BB7"/>
    <w:rsid w:val="002461EB"/>
    <w:rsid w:val="00252250"/>
    <w:rsid w:val="00255934"/>
    <w:rsid w:val="00287C35"/>
    <w:rsid w:val="002A1B48"/>
    <w:rsid w:val="002A7BB3"/>
    <w:rsid w:val="002B7444"/>
    <w:rsid w:val="00333785"/>
    <w:rsid w:val="00337B9D"/>
    <w:rsid w:val="003404B2"/>
    <w:rsid w:val="003435FC"/>
    <w:rsid w:val="00351ACD"/>
    <w:rsid w:val="003561D3"/>
    <w:rsid w:val="003704B0"/>
    <w:rsid w:val="0037719F"/>
    <w:rsid w:val="00392409"/>
    <w:rsid w:val="003D1377"/>
    <w:rsid w:val="003F07F0"/>
    <w:rsid w:val="003F2D9F"/>
    <w:rsid w:val="0045269F"/>
    <w:rsid w:val="004534E2"/>
    <w:rsid w:val="004614FA"/>
    <w:rsid w:val="00467552"/>
    <w:rsid w:val="00481C3C"/>
    <w:rsid w:val="0049555B"/>
    <w:rsid w:val="004D5044"/>
    <w:rsid w:val="004D7343"/>
    <w:rsid w:val="004E4F99"/>
    <w:rsid w:val="00507B1A"/>
    <w:rsid w:val="00521693"/>
    <w:rsid w:val="00522731"/>
    <w:rsid w:val="0053280D"/>
    <w:rsid w:val="00543609"/>
    <w:rsid w:val="00543DEB"/>
    <w:rsid w:val="00545D48"/>
    <w:rsid w:val="00552F9A"/>
    <w:rsid w:val="00572A90"/>
    <w:rsid w:val="00581A4E"/>
    <w:rsid w:val="005A0886"/>
    <w:rsid w:val="005A728A"/>
    <w:rsid w:val="005B15ED"/>
    <w:rsid w:val="005B5340"/>
    <w:rsid w:val="005B6C28"/>
    <w:rsid w:val="005C0D72"/>
    <w:rsid w:val="005D6B50"/>
    <w:rsid w:val="005E5986"/>
    <w:rsid w:val="005E64C6"/>
    <w:rsid w:val="005F57E2"/>
    <w:rsid w:val="006025C6"/>
    <w:rsid w:val="00610326"/>
    <w:rsid w:val="00632AA1"/>
    <w:rsid w:val="00673BF4"/>
    <w:rsid w:val="006746F2"/>
    <w:rsid w:val="006A4D34"/>
    <w:rsid w:val="006A715A"/>
    <w:rsid w:val="006C38E1"/>
    <w:rsid w:val="006D3D19"/>
    <w:rsid w:val="006F797F"/>
    <w:rsid w:val="00754C26"/>
    <w:rsid w:val="00756D2C"/>
    <w:rsid w:val="00764DCA"/>
    <w:rsid w:val="0077490F"/>
    <w:rsid w:val="0078355D"/>
    <w:rsid w:val="00784D31"/>
    <w:rsid w:val="007900B2"/>
    <w:rsid w:val="007902DF"/>
    <w:rsid w:val="00791F1B"/>
    <w:rsid w:val="00797790"/>
    <w:rsid w:val="007A23C8"/>
    <w:rsid w:val="007E203E"/>
    <w:rsid w:val="007E2E88"/>
    <w:rsid w:val="007E4E62"/>
    <w:rsid w:val="007F0B30"/>
    <w:rsid w:val="008240EC"/>
    <w:rsid w:val="00850F80"/>
    <w:rsid w:val="0086193B"/>
    <w:rsid w:val="008654AB"/>
    <w:rsid w:val="00866594"/>
    <w:rsid w:val="008B0A44"/>
    <w:rsid w:val="008B2B4C"/>
    <w:rsid w:val="008B2C3A"/>
    <w:rsid w:val="008C0BBB"/>
    <w:rsid w:val="008C5740"/>
    <w:rsid w:val="008D7974"/>
    <w:rsid w:val="008E1C62"/>
    <w:rsid w:val="009069C2"/>
    <w:rsid w:val="00937364"/>
    <w:rsid w:val="0095183A"/>
    <w:rsid w:val="00960918"/>
    <w:rsid w:val="00985C5F"/>
    <w:rsid w:val="00987CB7"/>
    <w:rsid w:val="009920B2"/>
    <w:rsid w:val="009957D3"/>
    <w:rsid w:val="009A0103"/>
    <w:rsid w:val="009B0F78"/>
    <w:rsid w:val="009D0417"/>
    <w:rsid w:val="009E0313"/>
    <w:rsid w:val="009F44C7"/>
    <w:rsid w:val="00A026A8"/>
    <w:rsid w:val="00A07662"/>
    <w:rsid w:val="00A116B6"/>
    <w:rsid w:val="00A25E1D"/>
    <w:rsid w:val="00A54BF7"/>
    <w:rsid w:val="00A61404"/>
    <w:rsid w:val="00A616A8"/>
    <w:rsid w:val="00A6488F"/>
    <w:rsid w:val="00A77293"/>
    <w:rsid w:val="00A81C71"/>
    <w:rsid w:val="00A8299B"/>
    <w:rsid w:val="00A86E17"/>
    <w:rsid w:val="00A9595C"/>
    <w:rsid w:val="00AA5F37"/>
    <w:rsid w:val="00AD0FDC"/>
    <w:rsid w:val="00AD4DBA"/>
    <w:rsid w:val="00B21758"/>
    <w:rsid w:val="00B25E21"/>
    <w:rsid w:val="00B6402D"/>
    <w:rsid w:val="00B7210B"/>
    <w:rsid w:val="00B77892"/>
    <w:rsid w:val="00B952E8"/>
    <w:rsid w:val="00BC2895"/>
    <w:rsid w:val="00BC38C5"/>
    <w:rsid w:val="00BE145B"/>
    <w:rsid w:val="00C24320"/>
    <w:rsid w:val="00C5425D"/>
    <w:rsid w:val="00C5549D"/>
    <w:rsid w:val="00C603A8"/>
    <w:rsid w:val="00C73C71"/>
    <w:rsid w:val="00C86778"/>
    <w:rsid w:val="00C92B9B"/>
    <w:rsid w:val="00CB3A49"/>
    <w:rsid w:val="00CB4476"/>
    <w:rsid w:val="00CD3E97"/>
    <w:rsid w:val="00CF75FF"/>
    <w:rsid w:val="00D23473"/>
    <w:rsid w:val="00D271C1"/>
    <w:rsid w:val="00D60B69"/>
    <w:rsid w:val="00D671D9"/>
    <w:rsid w:val="00D8680D"/>
    <w:rsid w:val="00D879C8"/>
    <w:rsid w:val="00D913E1"/>
    <w:rsid w:val="00D968DC"/>
    <w:rsid w:val="00DA32A6"/>
    <w:rsid w:val="00DB421A"/>
    <w:rsid w:val="00DC2717"/>
    <w:rsid w:val="00DF758C"/>
    <w:rsid w:val="00E11707"/>
    <w:rsid w:val="00E34FA9"/>
    <w:rsid w:val="00E572E9"/>
    <w:rsid w:val="00E6380D"/>
    <w:rsid w:val="00E75B3A"/>
    <w:rsid w:val="00E76841"/>
    <w:rsid w:val="00E84FF9"/>
    <w:rsid w:val="00E87E23"/>
    <w:rsid w:val="00E91979"/>
    <w:rsid w:val="00EA0BB1"/>
    <w:rsid w:val="00EB06F8"/>
    <w:rsid w:val="00EC54A1"/>
    <w:rsid w:val="00ED593D"/>
    <w:rsid w:val="00ED5BE7"/>
    <w:rsid w:val="00EE1649"/>
    <w:rsid w:val="00EE2C46"/>
    <w:rsid w:val="00EE4BC2"/>
    <w:rsid w:val="00EF1C5F"/>
    <w:rsid w:val="00F00B8E"/>
    <w:rsid w:val="00F056BF"/>
    <w:rsid w:val="00F15103"/>
    <w:rsid w:val="00F15237"/>
    <w:rsid w:val="00F16B89"/>
    <w:rsid w:val="00F17671"/>
    <w:rsid w:val="00F2422A"/>
    <w:rsid w:val="00F32B77"/>
    <w:rsid w:val="00F46727"/>
    <w:rsid w:val="00F85A6B"/>
    <w:rsid w:val="00F95F5C"/>
    <w:rsid w:val="00FB638D"/>
    <w:rsid w:val="00FC0E91"/>
    <w:rsid w:val="00FC3134"/>
    <w:rsid w:val="00FD3307"/>
    <w:rsid w:val="00FD6A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FE38048-6541-49C6-A80B-C3AC2D0CD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w:hAnsi="Arial" w:cs="Times New Roman"/>
        <w:sz w:val="18"/>
        <w:szCs w:val="18"/>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DBA"/>
    <w:pPr>
      <w:suppressAutoHyphens/>
      <w:spacing w:before="200" w:line="276" w:lineRule="auto"/>
      <w:jc w:val="both"/>
    </w:pPr>
  </w:style>
  <w:style w:type="paragraph" w:styleId="Heading1">
    <w:name w:val="heading 1"/>
    <w:basedOn w:val="Normal"/>
    <w:next w:val="Normal"/>
    <w:link w:val="Heading1Char"/>
    <w:qFormat/>
    <w:rsid w:val="009F44C7"/>
    <w:pPr>
      <w:keepNext/>
      <w:pageBreakBefore/>
      <w:numPr>
        <w:numId w:val="20"/>
      </w:numPr>
      <w:pBdr>
        <w:bottom w:val="single" w:sz="4" w:space="1" w:color="005EA1" w:themeColor="accent1"/>
      </w:pBdr>
      <w:suppressAutoHyphens w:val="0"/>
      <w:spacing w:before="0" w:after="40"/>
      <w:jc w:val="left"/>
      <w:outlineLvl w:val="0"/>
    </w:pPr>
    <w:rPr>
      <w:rFonts w:ascii="VIC" w:hAnsi="VIC" w:cs="Arial"/>
      <w:caps/>
      <w:sz w:val="32"/>
      <w:szCs w:val="32"/>
      <w:lang w:eastAsia="en-US"/>
    </w:rPr>
  </w:style>
  <w:style w:type="paragraph" w:styleId="Heading2">
    <w:name w:val="heading 2"/>
    <w:basedOn w:val="Heading1"/>
    <w:next w:val="Normal"/>
    <w:link w:val="Heading2Char"/>
    <w:qFormat/>
    <w:rsid w:val="0045269F"/>
    <w:pPr>
      <w:pageBreakBefore w:val="0"/>
      <w:numPr>
        <w:ilvl w:val="1"/>
        <w:numId w:val="36"/>
      </w:numPr>
      <w:pBdr>
        <w:bottom w:val="none" w:sz="0" w:space="0" w:color="auto"/>
      </w:pBdr>
      <w:spacing w:before="320"/>
      <w:outlineLvl w:val="1"/>
    </w:pPr>
    <w:rPr>
      <w:caps w:val="0"/>
      <w:sz w:val="26"/>
      <w:szCs w:val="28"/>
    </w:rPr>
  </w:style>
  <w:style w:type="paragraph" w:styleId="Heading3">
    <w:name w:val="heading 3"/>
    <w:basedOn w:val="Heading2"/>
    <w:next w:val="Normal"/>
    <w:link w:val="Heading3Char"/>
    <w:qFormat/>
    <w:rsid w:val="0045269F"/>
    <w:pPr>
      <w:numPr>
        <w:ilvl w:val="2"/>
        <w:numId w:val="37"/>
      </w:numPr>
      <w:spacing w:before="280"/>
      <w:outlineLvl w:val="2"/>
    </w:pPr>
    <w:rPr>
      <w:sz w:val="22"/>
      <w:szCs w:val="22"/>
    </w:rPr>
  </w:style>
  <w:style w:type="paragraph" w:styleId="Heading4">
    <w:name w:val="heading 4"/>
    <w:basedOn w:val="Normal"/>
    <w:next w:val="Normal"/>
    <w:link w:val="Heading4Char"/>
    <w:rsid w:val="0045269F"/>
    <w:pPr>
      <w:keepNext/>
      <w:spacing w:before="240" w:after="40"/>
      <w:outlineLvl w:val="3"/>
    </w:pPr>
    <w:rPr>
      <w:rFonts w:ascii="VIC" w:hAnsi="VIC"/>
      <w:color w:val="005EA1" w:themeColor="accent1"/>
      <w:lang w:eastAsia="en-US"/>
    </w:rPr>
  </w:style>
  <w:style w:type="paragraph" w:styleId="Heading5">
    <w:name w:val="heading 5"/>
    <w:basedOn w:val="Heading4"/>
    <w:next w:val="Normal"/>
    <w:link w:val="Heading5Char"/>
    <w:uiPriority w:val="98"/>
    <w:semiHidden/>
    <w:rsid w:val="00F878B0"/>
    <w:pPr>
      <w:outlineLvl w:val="4"/>
    </w:pPr>
    <w:rPr>
      <w:rFonts w:eastAsia="Times New Roman"/>
      <w:u w:color="808080"/>
    </w:rPr>
  </w:style>
  <w:style w:type="paragraph" w:styleId="Heading6">
    <w:name w:val="heading 6"/>
    <w:basedOn w:val="NormalLeftAlign"/>
    <w:next w:val="Normal"/>
    <w:semiHidden/>
    <w:unhideWhenUsed/>
    <w:rsid w:val="008F228F"/>
    <w:pPr>
      <w:keepNext/>
      <w:tabs>
        <w:tab w:val="left" w:pos="357"/>
      </w:tabs>
      <w:spacing w:before="240"/>
      <w:outlineLvl w:val="5"/>
    </w:pPr>
    <w:rPr>
      <w:rFonts w:eastAsia="Times New Roman"/>
    </w:rPr>
  </w:style>
  <w:style w:type="paragraph" w:styleId="Heading7">
    <w:name w:val="heading 7"/>
    <w:basedOn w:val="NormalLeftAlign"/>
    <w:next w:val="Normal"/>
    <w:semiHidden/>
    <w:unhideWhenUsed/>
    <w:rsid w:val="00EE6E35"/>
    <w:pPr>
      <w:keepNext/>
      <w:spacing w:before="200"/>
      <w:outlineLvl w:val="6"/>
    </w:pPr>
  </w:style>
  <w:style w:type="paragraph" w:styleId="Heading8">
    <w:name w:val="heading 8"/>
    <w:basedOn w:val="Normal"/>
    <w:next w:val="Normal"/>
    <w:semiHidden/>
    <w:rsid w:val="00D03EDA"/>
    <w:pPr>
      <w:spacing w:after="40"/>
      <w:outlineLvl w:val="7"/>
    </w:pPr>
  </w:style>
  <w:style w:type="paragraph" w:styleId="Heading9">
    <w:name w:val="heading 9"/>
    <w:basedOn w:val="Heading8"/>
    <w:next w:val="Normal"/>
    <w:link w:val="Heading9Char"/>
    <w:semiHidden/>
    <w:unhideWhenUsed/>
    <w:qFormat/>
    <w:rsid w:val="00756D2C"/>
    <w:pPr>
      <w:keepNext/>
      <w:keepLines/>
      <w:outlineLvl w:val="8"/>
    </w:pPr>
    <w:rPr>
      <w:rFonts w:eastAsiaTheme="majorEastAsia" w:cstheme="majorBidi"/>
      <w:i/>
      <w:iCs/>
      <w:color w:val="404040" w:themeColor="text1" w:themeTint="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ListBigIndent">
    <w:name w:val="Indent List Big Indent"/>
    <w:basedOn w:val="NormalLeftAlign"/>
    <w:semiHidden/>
    <w:rsid w:val="006A4B4A"/>
    <w:pPr>
      <w:tabs>
        <w:tab w:val="left" w:pos="1134"/>
        <w:tab w:val="left" w:pos="1985"/>
      </w:tabs>
      <w:spacing w:before="0"/>
      <w:ind w:left="1134"/>
    </w:pPr>
  </w:style>
  <w:style w:type="table" w:styleId="TableGrid">
    <w:name w:val="Table Grid"/>
    <w:basedOn w:val="TableNormal"/>
    <w:rsid w:val="005D6B50"/>
    <w:pPr>
      <w:tabs>
        <w:tab w:val="left" w:pos="425"/>
        <w:tab w:val="left" w:pos="709"/>
        <w:tab w:val="left" w:pos="992"/>
      </w:tabs>
      <w:suppressAutoHyphens/>
    </w:pPr>
    <w:rPr>
      <w:sz w:val="20"/>
    </w:rPr>
    <w:tblPr>
      <w:tblBorders>
        <w:bottom w:val="single" w:sz="4" w:space="0" w:color="808080"/>
        <w:insideH w:val="single" w:sz="4" w:space="0" w:color="808080"/>
      </w:tblBorders>
    </w:tblPr>
  </w:style>
  <w:style w:type="character" w:customStyle="1" w:styleId="TableheadingsChar">
    <w:name w:val="Table / headings Char"/>
    <w:basedOn w:val="DefaultParagraphFont"/>
    <w:link w:val="Tableheadings"/>
    <w:rsid w:val="00F16B89"/>
    <w:rPr>
      <w:rFonts w:ascii="VIC SemiBold" w:hAnsi="VIC SemiBold"/>
      <w:b/>
      <w:caps/>
      <w:color w:val="FFFFFF" w:themeColor="background1"/>
      <w:sz w:val="16"/>
    </w:rPr>
  </w:style>
  <w:style w:type="character" w:customStyle="1" w:styleId="TabletextChar">
    <w:name w:val="Table / text Char"/>
    <w:basedOn w:val="TableheadingsChar"/>
    <w:link w:val="Tabletext"/>
    <w:rsid w:val="001B43BF"/>
    <w:rPr>
      <w:rFonts w:ascii="VIC SemiBold" w:hAnsi="VIC SemiBold"/>
      <w:b w:val="0"/>
      <w:caps w:val="0"/>
      <w:color w:val="262626" w:themeColor="text1" w:themeTint="D9"/>
      <w:sz w:val="16"/>
    </w:rPr>
  </w:style>
  <w:style w:type="paragraph" w:customStyle="1" w:styleId="Marginbox">
    <w:name w:val="Margin box"/>
    <w:basedOn w:val="NormalLeftAlign"/>
    <w:next w:val="Normal"/>
    <w:semiHidden/>
    <w:rsid w:val="002F2B1E"/>
    <w:pPr>
      <w:spacing w:before="0"/>
      <w:ind w:right="113"/>
      <w:jc w:val="right"/>
    </w:pPr>
    <w:rPr>
      <w:i/>
      <w:sz w:val="24"/>
    </w:rPr>
  </w:style>
  <w:style w:type="paragraph" w:customStyle="1" w:styleId="NormalLeftAlign">
    <w:name w:val="Normal Left Align"/>
    <w:semiHidden/>
    <w:rsid w:val="00960299"/>
    <w:pPr>
      <w:suppressAutoHyphens/>
      <w:spacing w:before="160"/>
    </w:pPr>
    <w:rPr>
      <w:sz w:val="21"/>
      <w:lang w:eastAsia="en-US"/>
    </w:rPr>
  </w:style>
  <w:style w:type="paragraph" w:customStyle="1" w:styleId="Tableheadings">
    <w:name w:val="Table / headings"/>
    <w:basedOn w:val="Normal"/>
    <w:link w:val="TableheadingsChar"/>
    <w:rsid w:val="00F16B89"/>
    <w:pPr>
      <w:keepNext/>
      <w:spacing w:before="120" w:after="80"/>
      <w:jc w:val="left"/>
    </w:pPr>
    <w:rPr>
      <w:rFonts w:ascii="VIC SemiBold" w:hAnsi="VIC SemiBold"/>
      <w:b/>
      <w:caps/>
      <w:color w:val="FFFFFF" w:themeColor="background1"/>
      <w:sz w:val="16"/>
    </w:rPr>
  </w:style>
  <w:style w:type="paragraph" w:customStyle="1" w:styleId="List3dash">
    <w:name w:val="List 3 / dash"/>
    <w:basedOn w:val="Normal"/>
    <w:qFormat/>
    <w:rsid w:val="00B7210B"/>
    <w:pPr>
      <w:keepLines/>
      <w:numPr>
        <w:numId w:val="26"/>
      </w:numPr>
      <w:spacing w:before="40"/>
      <w:ind w:left="568" w:hanging="284"/>
      <w:jc w:val="left"/>
    </w:pPr>
    <w:rPr>
      <w:rFonts w:eastAsia="Arial Unicode MS" w:cs="Arial"/>
      <w:lang w:eastAsia="en-US"/>
    </w:rPr>
  </w:style>
  <w:style w:type="character" w:customStyle="1" w:styleId="TablenoobjChar">
    <w:name w:val="Table / no. obj Char"/>
    <w:basedOn w:val="TabletextChar"/>
    <w:link w:val="Tablenoobj"/>
    <w:rsid w:val="00D23473"/>
    <w:rPr>
      <w:rFonts w:ascii="VIC SemiBold" w:hAnsi="VIC SemiBold"/>
      <w:b w:val="0"/>
      <w:caps w:val="0"/>
      <w:color w:val="003C74" w:themeColor="text2"/>
      <w:sz w:val="28"/>
    </w:rPr>
  </w:style>
  <w:style w:type="paragraph" w:customStyle="1" w:styleId="Tabletext">
    <w:name w:val="Table / text"/>
    <w:basedOn w:val="Normal"/>
    <w:link w:val="TabletextChar"/>
    <w:qFormat/>
    <w:rsid w:val="001B43BF"/>
    <w:pPr>
      <w:spacing w:before="40" w:after="40"/>
      <w:jc w:val="left"/>
    </w:pPr>
    <w:rPr>
      <w:color w:val="262626" w:themeColor="text1" w:themeTint="D9"/>
      <w:sz w:val="16"/>
    </w:rPr>
  </w:style>
  <w:style w:type="paragraph" w:styleId="BodyTextIndent">
    <w:name w:val="Body Text Indent"/>
    <w:aliases w:val="Quote1"/>
    <w:basedOn w:val="Normal"/>
    <w:link w:val="BodyTextIndentChar"/>
    <w:semiHidden/>
    <w:rsid w:val="00181D1D"/>
    <w:pPr>
      <w:tabs>
        <w:tab w:val="left" w:pos="426"/>
      </w:tabs>
      <w:ind w:left="426"/>
    </w:pPr>
    <w:rPr>
      <w:i/>
    </w:rPr>
  </w:style>
  <w:style w:type="paragraph" w:customStyle="1" w:styleId="List2indent">
    <w:name w:val="List 2 / indent"/>
    <w:basedOn w:val="Normal"/>
    <w:qFormat/>
    <w:rsid w:val="00B7210B"/>
    <w:pPr>
      <w:keepLines/>
      <w:spacing w:before="120"/>
      <w:ind w:left="284"/>
      <w:jc w:val="left"/>
    </w:pPr>
    <w:rPr>
      <w:rFonts w:eastAsia="Arial Unicode MS" w:cs="Arial"/>
    </w:rPr>
  </w:style>
  <w:style w:type="paragraph" w:styleId="BodyText">
    <w:name w:val="Body Text"/>
    <w:basedOn w:val="Normal"/>
    <w:link w:val="BodyTextChar"/>
    <w:semiHidden/>
    <w:rsid w:val="00F93BB6"/>
    <w:rPr>
      <w:color w:val="000000"/>
    </w:rPr>
  </w:style>
  <w:style w:type="numbering" w:customStyle="1" w:styleId="NumberedList">
    <w:name w:val="Numbered List"/>
    <w:basedOn w:val="NoList"/>
    <w:rsid w:val="00FE70B6"/>
    <w:pPr>
      <w:numPr>
        <w:numId w:val="1"/>
      </w:numPr>
    </w:pPr>
  </w:style>
  <w:style w:type="paragraph" w:customStyle="1" w:styleId="Heading1nonumbers">
    <w:name w:val="Heading 1 no numbers"/>
    <w:basedOn w:val="Heading1"/>
    <w:next w:val="Normal"/>
    <w:qFormat/>
    <w:rsid w:val="005A728A"/>
    <w:pPr>
      <w:numPr>
        <w:numId w:val="0"/>
      </w:numPr>
    </w:pPr>
  </w:style>
  <w:style w:type="numbering" w:customStyle="1" w:styleId="Numbers">
    <w:name w:val="Numbers"/>
    <w:basedOn w:val="NoList"/>
    <w:rsid w:val="00FE70B6"/>
    <w:pPr>
      <w:numPr>
        <w:numId w:val="2"/>
      </w:numPr>
    </w:pPr>
  </w:style>
  <w:style w:type="paragraph" w:styleId="Footer">
    <w:name w:val="footer"/>
    <w:basedOn w:val="Normal"/>
    <w:link w:val="FooterChar"/>
    <w:uiPriority w:val="99"/>
    <w:unhideWhenUsed/>
    <w:qFormat/>
    <w:rsid w:val="000A60B0"/>
    <w:pPr>
      <w:tabs>
        <w:tab w:val="center" w:pos="4513"/>
        <w:tab w:val="right" w:pos="9026"/>
      </w:tabs>
      <w:spacing w:before="0"/>
    </w:pPr>
  </w:style>
  <w:style w:type="character" w:customStyle="1" w:styleId="Heading1Char">
    <w:name w:val="Heading 1 Char"/>
    <w:basedOn w:val="DefaultParagraphFont"/>
    <w:link w:val="Heading1"/>
    <w:rsid w:val="009F44C7"/>
    <w:rPr>
      <w:rFonts w:ascii="VIC" w:hAnsi="VIC" w:cs="Arial"/>
      <w:caps/>
      <w:sz w:val="32"/>
      <w:szCs w:val="32"/>
      <w:lang w:eastAsia="en-US"/>
    </w:rPr>
  </w:style>
  <w:style w:type="character" w:customStyle="1" w:styleId="Heading2Char">
    <w:name w:val="Heading 2 Char"/>
    <w:basedOn w:val="DefaultParagraphFont"/>
    <w:link w:val="Heading2"/>
    <w:rsid w:val="0045269F"/>
    <w:rPr>
      <w:rFonts w:ascii="VIC" w:hAnsi="VIC" w:cs="Arial"/>
      <w:sz w:val="26"/>
      <w:szCs w:val="28"/>
      <w:lang w:eastAsia="en-US"/>
    </w:rPr>
  </w:style>
  <w:style w:type="character" w:customStyle="1" w:styleId="Heading3Char">
    <w:name w:val="Heading 3 Char"/>
    <w:basedOn w:val="DefaultParagraphFont"/>
    <w:link w:val="Heading3"/>
    <w:rsid w:val="0045269F"/>
    <w:rPr>
      <w:rFonts w:ascii="VIC" w:hAnsi="VIC" w:cs="Arial"/>
      <w:sz w:val="22"/>
      <w:szCs w:val="22"/>
      <w:lang w:eastAsia="en-US"/>
    </w:rPr>
  </w:style>
  <w:style w:type="character" w:customStyle="1" w:styleId="Heading4Char">
    <w:name w:val="Heading 4 Char"/>
    <w:basedOn w:val="DefaultParagraphFont"/>
    <w:link w:val="Heading4"/>
    <w:rsid w:val="0045269F"/>
    <w:rPr>
      <w:rFonts w:ascii="VIC" w:hAnsi="VIC"/>
      <w:color w:val="005EA1" w:themeColor="accent1"/>
      <w:lang w:eastAsia="en-US"/>
    </w:rPr>
  </w:style>
  <w:style w:type="character" w:customStyle="1" w:styleId="Heading5Char">
    <w:name w:val="Heading 5 Char"/>
    <w:basedOn w:val="DefaultParagraphFont"/>
    <w:link w:val="Heading5"/>
    <w:uiPriority w:val="98"/>
    <w:semiHidden/>
    <w:rsid w:val="000361CF"/>
    <w:rPr>
      <w:rFonts w:ascii="Swis721 BlkCn BT" w:eastAsia="Times New Roman" w:hAnsi="Swis721 BlkCn BT"/>
      <w:u w:color="808080"/>
      <w:lang w:eastAsia="en-US"/>
    </w:rPr>
  </w:style>
  <w:style w:type="paragraph" w:customStyle="1" w:styleId="Tablelists">
    <w:name w:val="Table / lists"/>
    <w:basedOn w:val="Tabletext"/>
    <w:qFormat/>
    <w:rsid w:val="00B7210B"/>
    <w:pPr>
      <w:numPr>
        <w:numId w:val="16"/>
      </w:numPr>
      <w:ind w:left="284" w:hanging="284"/>
    </w:pPr>
    <w:rPr>
      <w:rFonts w:cs="Tahoma"/>
      <w:szCs w:val="16"/>
    </w:rPr>
  </w:style>
  <w:style w:type="paragraph" w:customStyle="1" w:styleId="List1bullet">
    <w:name w:val="List 1 / bullet"/>
    <w:basedOn w:val="Normal"/>
    <w:qFormat/>
    <w:rsid w:val="0045269F"/>
    <w:pPr>
      <w:keepLines/>
      <w:numPr>
        <w:numId w:val="25"/>
      </w:numPr>
      <w:spacing w:before="120"/>
      <w:ind w:left="284" w:hanging="284"/>
      <w:jc w:val="left"/>
    </w:pPr>
    <w:rPr>
      <w:rFonts w:eastAsia="Arial Unicode MS" w:cs="Arial"/>
    </w:rPr>
  </w:style>
  <w:style w:type="paragraph" w:customStyle="1" w:styleId="Tablenoobj">
    <w:name w:val="Table / no. obj"/>
    <w:basedOn w:val="Tabletext"/>
    <w:link w:val="TablenoobjChar"/>
    <w:qFormat/>
    <w:rsid w:val="00D23473"/>
    <w:pPr>
      <w:numPr>
        <w:numId w:val="29"/>
      </w:numPr>
      <w:tabs>
        <w:tab w:val="left" w:pos="425"/>
        <w:tab w:val="left" w:pos="709"/>
        <w:tab w:val="left" w:pos="992"/>
      </w:tabs>
      <w:jc w:val="center"/>
    </w:pPr>
    <w:rPr>
      <w:rFonts w:ascii="VIC SemiBold" w:hAnsi="VIC SemiBold"/>
      <w:color w:val="003C74" w:themeColor="text2"/>
      <w:sz w:val="28"/>
    </w:rPr>
  </w:style>
  <w:style w:type="character" w:customStyle="1" w:styleId="FooterChar">
    <w:name w:val="Footer Char"/>
    <w:basedOn w:val="DefaultParagraphFont"/>
    <w:link w:val="Footer"/>
    <w:uiPriority w:val="99"/>
    <w:rsid w:val="000A60B0"/>
  </w:style>
  <w:style w:type="table" w:customStyle="1" w:styleId="Lined">
    <w:name w:val="Lined"/>
    <w:basedOn w:val="TableNormal"/>
    <w:uiPriority w:val="99"/>
    <w:qFormat/>
    <w:rsid w:val="00E04BEC"/>
    <w:tblPr>
      <w:tblBorders>
        <w:top w:val="single" w:sz="12" w:space="0" w:color="auto"/>
        <w:bottom w:val="single" w:sz="12" w:space="0" w:color="auto"/>
        <w:insideH w:val="single" w:sz="4" w:space="0" w:color="auto"/>
      </w:tblBorders>
      <w:tblCellMar>
        <w:top w:w="57" w:type="dxa"/>
        <w:left w:w="57" w:type="dxa"/>
        <w:bottom w:w="57" w:type="dxa"/>
        <w:right w:w="57" w:type="dxa"/>
      </w:tblCellMar>
    </w:tblPr>
    <w:trPr>
      <w:cantSplit/>
    </w:trPr>
    <w:tblStylePr w:type="firstRow">
      <w:tblPr/>
      <w:tcPr>
        <w:tcBorders>
          <w:top w:val="single" w:sz="12" w:space="0" w:color="auto"/>
          <w:left w:val="nil"/>
          <w:bottom w:val="single" w:sz="4" w:space="0" w:color="auto"/>
          <w:right w:val="nil"/>
          <w:insideH w:val="nil"/>
          <w:insideV w:val="nil"/>
          <w:tl2br w:val="nil"/>
          <w:tr2bl w:val="nil"/>
        </w:tcBorders>
      </w:tcPr>
    </w:tblStylePr>
    <w:tblStylePr w:type="lastRow">
      <w:rPr>
        <w:rFonts w:ascii="Arial" w:hAnsi="Arial"/>
      </w:rPr>
      <w:tblPr/>
      <w:tcPr>
        <w:tcBorders>
          <w:top w:val="single" w:sz="4" w:space="0" w:color="auto"/>
          <w:left w:val="nil"/>
          <w:bottom w:val="single" w:sz="12" w:space="0" w:color="auto"/>
          <w:right w:val="nil"/>
          <w:insideH w:val="nil"/>
          <w:insideV w:val="nil"/>
          <w:tl2br w:val="nil"/>
          <w:tr2bl w:val="nil"/>
        </w:tcBorders>
      </w:tcPr>
    </w:tblStylePr>
  </w:style>
  <w:style w:type="table" w:styleId="Table3Deffects3">
    <w:name w:val="Table 3D effects 3"/>
    <w:basedOn w:val="TableNormal"/>
    <w:rsid w:val="00F76502"/>
    <w:pPr>
      <w:tabs>
        <w:tab w:val="left" w:pos="425"/>
        <w:tab w:val="left" w:pos="709"/>
        <w:tab w:val="left" w:pos="992"/>
      </w:tabs>
      <w:suppressAutoHyphens/>
      <w:spacing w:before="16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Base">
    <w:name w:val="Table Base"/>
    <w:basedOn w:val="TableNormal"/>
    <w:uiPriority w:val="99"/>
    <w:qFormat/>
    <w:rsid w:val="001723E4"/>
    <w:tblPr/>
  </w:style>
  <w:style w:type="table" w:customStyle="1" w:styleId="MPA">
    <w:name w:val="MPA"/>
    <w:basedOn w:val="TableNormal"/>
    <w:uiPriority w:val="99"/>
    <w:rsid w:val="00065392"/>
    <w:rPr>
      <w:sz w:val="20"/>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b w:val="0"/>
        <w:color w:val="FFFFFF" w:themeColor="background1"/>
      </w:rPr>
      <w:tblPr/>
      <w:tcPr>
        <w:tcBorders>
          <w:top w:val="nil"/>
          <w:left w:val="nil"/>
          <w:bottom w:val="nil"/>
          <w:right w:val="nil"/>
          <w:insideH w:val="nil"/>
          <w:insideV w:val="nil"/>
          <w:tl2br w:val="nil"/>
          <w:tr2bl w:val="nil"/>
        </w:tcBorders>
        <w:shd w:val="solid" w:color="7030A0" w:fill="7030A0"/>
      </w:tcPr>
    </w:tblStylePr>
  </w:style>
  <w:style w:type="paragraph" w:styleId="BalloonText">
    <w:name w:val="Balloon Text"/>
    <w:basedOn w:val="Normal"/>
    <w:link w:val="BalloonTextChar"/>
    <w:semiHidden/>
    <w:unhideWhenUsed/>
    <w:rsid w:val="00587F30"/>
    <w:pPr>
      <w:spacing w:before="0"/>
    </w:pPr>
    <w:rPr>
      <w:rFonts w:cs="Tahoma"/>
      <w:sz w:val="16"/>
      <w:szCs w:val="16"/>
    </w:rPr>
  </w:style>
  <w:style w:type="character" w:customStyle="1" w:styleId="BalloonTextChar">
    <w:name w:val="Balloon Text Char"/>
    <w:basedOn w:val="DefaultParagraphFont"/>
    <w:link w:val="BalloonText"/>
    <w:semiHidden/>
    <w:rsid w:val="00587F30"/>
    <w:rPr>
      <w:rFonts w:cs="Tahoma"/>
      <w:sz w:val="16"/>
      <w:szCs w:val="16"/>
      <w:lang w:eastAsia="en-US"/>
    </w:rPr>
  </w:style>
  <w:style w:type="paragraph" w:customStyle="1" w:styleId="Tablenoreq">
    <w:name w:val="Table / no. req"/>
    <w:basedOn w:val="Tablenoobj"/>
    <w:qFormat/>
    <w:rsid w:val="008C5740"/>
    <w:pPr>
      <w:numPr>
        <w:numId w:val="31"/>
      </w:numPr>
    </w:pPr>
    <w:rPr>
      <w:color w:val="95C11F" w:themeColor="accent3"/>
    </w:rPr>
  </w:style>
  <w:style w:type="paragraph" w:customStyle="1" w:styleId="Tablenoguid">
    <w:name w:val="Table / no. guid"/>
    <w:basedOn w:val="Tablenoobj"/>
    <w:qFormat/>
    <w:rsid w:val="008C5740"/>
    <w:pPr>
      <w:numPr>
        <w:numId w:val="32"/>
      </w:numPr>
    </w:pPr>
    <w:rPr>
      <w:color w:val="008BD2" w:themeColor="accent2"/>
    </w:rPr>
  </w:style>
  <w:style w:type="table" w:styleId="TableClassic1">
    <w:name w:val="Table Classic 1"/>
    <w:basedOn w:val="TableNormal"/>
    <w:rsid w:val="00411E4E"/>
    <w:pPr>
      <w:suppressAutoHyphens/>
      <w:spacing w:before="160" w:line="264"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411E4E"/>
    <w:pPr>
      <w:suppressAutoHyphens/>
      <w:spacing w:before="160" w:line="264"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GreyBar">
    <w:name w:val="Grey Bar"/>
    <w:basedOn w:val="Lined"/>
    <w:uiPriority w:val="99"/>
    <w:qFormat/>
    <w:rsid w:val="00B5012F"/>
    <w:tblPr>
      <w:tblBorders>
        <w:top w:val="none" w:sz="0" w:space="0" w:color="auto"/>
        <w:bottom w:val="single" w:sz="8" w:space="0" w:color="A6A6A6" w:themeColor="background1" w:themeShade="A6"/>
        <w:insideH w:val="single" w:sz="8" w:space="0" w:color="A6A6A6" w:themeColor="background1" w:themeShade="A6"/>
      </w:tblBorders>
    </w:tblPr>
    <w:tblStylePr w:type="firstRow">
      <w:rPr>
        <w:color w:val="FFFFFF" w:themeColor="background1"/>
      </w:rPr>
      <w:tblPr/>
      <w:tcPr>
        <w:tcBorders>
          <w:top w:val="nil"/>
          <w:left w:val="nil"/>
          <w:bottom w:val="nil"/>
          <w:right w:val="nil"/>
          <w:insideH w:val="nil"/>
          <w:insideV w:val="nil"/>
          <w:tl2br w:val="nil"/>
          <w:tr2bl w:val="nil"/>
        </w:tcBorders>
        <w:shd w:val="clear" w:color="auto" w:fill="A6A6A6" w:themeFill="background1" w:themeFillShade="A6"/>
      </w:tcPr>
    </w:tblStylePr>
    <w:tblStylePr w:type="lastRow">
      <w:rPr>
        <w:rFonts w:ascii="Arial" w:hAnsi="Arial"/>
      </w:rPr>
      <w:tblPr/>
      <w:tcPr>
        <w:tcBorders>
          <w:top w:val="single" w:sz="8" w:space="0" w:color="A6A6A6" w:themeColor="background1" w:themeShade="A6"/>
          <w:left w:val="nil"/>
          <w:bottom w:val="single" w:sz="8" w:space="0" w:color="A6A6A6" w:themeColor="background1" w:themeShade="A6"/>
          <w:right w:val="nil"/>
          <w:insideH w:val="nil"/>
          <w:insideV w:val="nil"/>
          <w:tl2br w:val="nil"/>
          <w:tr2bl w:val="nil"/>
        </w:tcBorders>
      </w:tcPr>
    </w:tblStylePr>
    <w:tblStylePr w:type="band1Horz">
      <w:tblPr/>
      <w:tcPr>
        <w:tcBorders>
          <w:top w:val="nil"/>
          <w:bottom w:val="nil"/>
          <w:insideH w:val="single" w:sz="4" w:space="0" w:color="auto"/>
        </w:tcBorders>
      </w:tcPr>
    </w:tblStylePr>
  </w:style>
  <w:style w:type="table" w:styleId="MediumGrid2-Accent6">
    <w:name w:val="Medium Grid 2 Accent 6"/>
    <w:basedOn w:val="TableNormal"/>
    <w:uiPriority w:val="68"/>
    <w:rsid w:val="00587F30"/>
    <w:rPr>
      <w:rFonts w:eastAsiaTheme="majorEastAsia" w:cstheme="majorBidi"/>
      <w:color w:val="000000" w:themeColor="text1"/>
    </w:rPr>
    <w:tblPr>
      <w:tblStyleRowBandSize w:val="1"/>
      <w:tblStyleColBandSize w:val="1"/>
      <w:tblBorders>
        <w:top w:val="single" w:sz="8" w:space="0" w:color="63B9E9" w:themeColor="accent6"/>
        <w:left w:val="single" w:sz="8" w:space="0" w:color="63B9E9" w:themeColor="accent6"/>
        <w:bottom w:val="single" w:sz="8" w:space="0" w:color="63B9E9" w:themeColor="accent6"/>
        <w:right w:val="single" w:sz="8" w:space="0" w:color="63B9E9" w:themeColor="accent6"/>
        <w:insideH w:val="single" w:sz="8" w:space="0" w:color="63B9E9" w:themeColor="accent6"/>
        <w:insideV w:val="single" w:sz="8" w:space="0" w:color="63B9E9" w:themeColor="accent6"/>
      </w:tblBorders>
    </w:tblPr>
    <w:tcPr>
      <w:shd w:val="clear" w:color="auto" w:fill="D8EDF9" w:themeFill="accent6" w:themeFillTint="3F"/>
    </w:tcPr>
    <w:tblStylePr w:type="firstRow">
      <w:rPr>
        <w:b/>
        <w:bCs/>
        <w:color w:val="000000" w:themeColor="text1"/>
      </w:rPr>
      <w:tblPr/>
      <w:tcPr>
        <w:shd w:val="clear" w:color="auto" w:fill="EFF8F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A" w:themeFill="accent6" w:themeFillTint="33"/>
      </w:tcPr>
    </w:tblStylePr>
    <w:tblStylePr w:type="band1Vert">
      <w:tblPr/>
      <w:tcPr>
        <w:shd w:val="clear" w:color="auto" w:fill="B1DBF4" w:themeFill="accent6" w:themeFillTint="7F"/>
      </w:tcPr>
    </w:tblStylePr>
    <w:tblStylePr w:type="band1Horz">
      <w:tblPr/>
      <w:tcPr>
        <w:tcBorders>
          <w:insideH w:val="single" w:sz="6" w:space="0" w:color="63B9E9" w:themeColor="accent6"/>
          <w:insideV w:val="single" w:sz="6" w:space="0" w:color="63B9E9" w:themeColor="accent6"/>
        </w:tcBorders>
        <w:shd w:val="clear" w:color="auto" w:fill="B1DBF4" w:themeFill="accent6"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87F30"/>
    <w:rPr>
      <w:rFonts w:eastAsiaTheme="majorEastAsia" w:cstheme="majorBidi"/>
      <w:color w:val="000000" w:themeColor="text1"/>
    </w:rPr>
    <w:tblPr>
      <w:tblStyleRowBandSize w:val="1"/>
      <w:tblStyleColBandSize w:val="1"/>
      <w:tblBorders>
        <w:top w:val="single" w:sz="8" w:space="0" w:color="4CA22F" w:themeColor="accent5"/>
        <w:left w:val="single" w:sz="8" w:space="0" w:color="4CA22F" w:themeColor="accent5"/>
        <w:bottom w:val="single" w:sz="8" w:space="0" w:color="4CA22F" w:themeColor="accent5"/>
        <w:right w:val="single" w:sz="8" w:space="0" w:color="4CA22F" w:themeColor="accent5"/>
        <w:insideH w:val="single" w:sz="8" w:space="0" w:color="4CA22F" w:themeColor="accent5"/>
        <w:insideV w:val="single" w:sz="8" w:space="0" w:color="4CA22F" w:themeColor="accent5"/>
      </w:tblBorders>
    </w:tblPr>
    <w:tcPr>
      <w:shd w:val="clear" w:color="auto" w:fill="CFEEC5" w:themeFill="accent5" w:themeFillTint="3F"/>
    </w:tcPr>
    <w:tblStylePr w:type="firstRow">
      <w:rPr>
        <w:b/>
        <w:bCs/>
        <w:color w:val="000000" w:themeColor="text1"/>
      </w:rPr>
      <w:tblPr/>
      <w:tcPr>
        <w:shd w:val="clear" w:color="auto" w:fill="ECF8E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1D0" w:themeFill="accent5" w:themeFillTint="33"/>
      </w:tcPr>
    </w:tblStylePr>
    <w:tblStylePr w:type="band1Vert">
      <w:tblPr/>
      <w:tcPr>
        <w:shd w:val="clear" w:color="auto" w:fill="9FDD8A" w:themeFill="accent5" w:themeFillTint="7F"/>
      </w:tcPr>
    </w:tblStylePr>
    <w:tblStylePr w:type="band1Horz">
      <w:tblPr/>
      <w:tcPr>
        <w:tcBorders>
          <w:insideH w:val="single" w:sz="6" w:space="0" w:color="4CA22F" w:themeColor="accent5"/>
          <w:insideV w:val="single" w:sz="6" w:space="0" w:color="4CA22F" w:themeColor="accent5"/>
        </w:tcBorders>
        <w:shd w:val="clear" w:color="auto" w:fill="9FDD8A" w:themeFill="accent5"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87F30"/>
    <w:rPr>
      <w:rFonts w:eastAsiaTheme="majorEastAsia" w:cstheme="majorBidi"/>
      <w:color w:val="000000" w:themeColor="text1"/>
    </w:rPr>
    <w:tblPr>
      <w:tblStyleRowBandSize w:val="1"/>
      <w:tblStyleColBandSize w:val="1"/>
      <w:tblBorders>
        <w:top w:val="single" w:sz="8" w:space="0" w:color="9CA0A3" w:themeColor="accent4"/>
        <w:left w:val="single" w:sz="8" w:space="0" w:color="9CA0A3" w:themeColor="accent4"/>
        <w:bottom w:val="single" w:sz="8" w:space="0" w:color="9CA0A3" w:themeColor="accent4"/>
        <w:right w:val="single" w:sz="8" w:space="0" w:color="9CA0A3" w:themeColor="accent4"/>
        <w:insideH w:val="single" w:sz="8" w:space="0" w:color="9CA0A3" w:themeColor="accent4"/>
        <w:insideV w:val="single" w:sz="8" w:space="0" w:color="9CA0A3" w:themeColor="accent4"/>
      </w:tblBorders>
    </w:tblPr>
    <w:tcPr>
      <w:shd w:val="clear" w:color="auto" w:fill="E6E7E8" w:themeFill="accent4" w:themeFillTint="3F"/>
    </w:tcPr>
    <w:tblStylePr w:type="firstRow">
      <w:rPr>
        <w:b/>
        <w:bCs/>
        <w:color w:val="000000" w:themeColor="text1"/>
      </w:rPr>
      <w:tblPr/>
      <w:tcPr>
        <w:shd w:val="clear" w:color="auto" w:fill="F5F5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BEC" w:themeFill="accent4" w:themeFillTint="33"/>
      </w:tcPr>
    </w:tblStylePr>
    <w:tblStylePr w:type="band1Vert">
      <w:tblPr/>
      <w:tcPr>
        <w:shd w:val="clear" w:color="auto" w:fill="CDCFD1" w:themeFill="accent4" w:themeFillTint="7F"/>
      </w:tcPr>
    </w:tblStylePr>
    <w:tblStylePr w:type="band1Horz">
      <w:tblPr/>
      <w:tcPr>
        <w:tcBorders>
          <w:insideH w:val="single" w:sz="6" w:space="0" w:color="9CA0A3" w:themeColor="accent4"/>
          <w:insideV w:val="single" w:sz="6" w:space="0" w:color="9CA0A3" w:themeColor="accent4"/>
        </w:tcBorders>
        <w:shd w:val="clear" w:color="auto" w:fill="CDCFD1" w:themeFill="accent4"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87F30"/>
    <w:rPr>
      <w:rFonts w:eastAsiaTheme="majorEastAsia" w:cstheme="majorBidi"/>
      <w:color w:val="000000" w:themeColor="text1"/>
    </w:rPr>
    <w:tblPr>
      <w:tblStyleRowBandSize w:val="1"/>
      <w:tblStyleColBandSize w:val="1"/>
      <w:tblBorders>
        <w:top w:val="single" w:sz="8" w:space="0" w:color="95C11F" w:themeColor="accent3"/>
        <w:left w:val="single" w:sz="8" w:space="0" w:color="95C11F" w:themeColor="accent3"/>
        <w:bottom w:val="single" w:sz="8" w:space="0" w:color="95C11F" w:themeColor="accent3"/>
        <w:right w:val="single" w:sz="8" w:space="0" w:color="95C11F" w:themeColor="accent3"/>
        <w:insideH w:val="single" w:sz="8" w:space="0" w:color="95C11F" w:themeColor="accent3"/>
        <w:insideV w:val="single" w:sz="8" w:space="0" w:color="95C11F" w:themeColor="accent3"/>
      </w:tblBorders>
    </w:tblPr>
    <w:tcPr>
      <w:shd w:val="clear" w:color="auto" w:fill="E7F5C2" w:themeFill="accent3" w:themeFillTint="3F"/>
    </w:tcPr>
    <w:tblStylePr w:type="firstRow">
      <w:rPr>
        <w:b/>
        <w:bCs/>
        <w:color w:val="000000" w:themeColor="text1"/>
      </w:rPr>
      <w:tblPr/>
      <w:tcPr>
        <w:shd w:val="clear" w:color="auto" w:fill="F5FBE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7CD" w:themeFill="accent3" w:themeFillTint="33"/>
      </w:tcPr>
    </w:tblStylePr>
    <w:tblStylePr w:type="band1Vert">
      <w:tblPr/>
      <w:tcPr>
        <w:shd w:val="clear" w:color="auto" w:fill="CEEB84" w:themeFill="accent3" w:themeFillTint="7F"/>
      </w:tcPr>
    </w:tblStylePr>
    <w:tblStylePr w:type="band1Horz">
      <w:tblPr/>
      <w:tcPr>
        <w:tcBorders>
          <w:insideH w:val="single" w:sz="6" w:space="0" w:color="95C11F" w:themeColor="accent3"/>
          <w:insideV w:val="single" w:sz="6" w:space="0" w:color="95C11F" w:themeColor="accent3"/>
        </w:tcBorders>
        <w:shd w:val="clear" w:color="auto" w:fill="CEEB84" w:themeFill="accent3"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87F30"/>
    <w:rPr>
      <w:rFonts w:eastAsiaTheme="majorEastAsia" w:cstheme="majorBidi"/>
      <w:color w:val="000000" w:themeColor="text1"/>
    </w:rPr>
    <w:tblPr>
      <w:tblStyleRowBandSize w:val="1"/>
      <w:tblStyleColBandSize w:val="1"/>
      <w:tblBorders>
        <w:top w:val="single" w:sz="8" w:space="0" w:color="008BD2" w:themeColor="accent2"/>
        <w:left w:val="single" w:sz="8" w:space="0" w:color="008BD2" w:themeColor="accent2"/>
        <w:bottom w:val="single" w:sz="8" w:space="0" w:color="008BD2" w:themeColor="accent2"/>
        <w:right w:val="single" w:sz="8" w:space="0" w:color="008BD2" w:themeColor="accent2"/>
        <w:insideH w:val="single" w:sz="8" w:space="0" w:color="008BD2" w:themeColor="accent2"/>
        <w:insideV w:val="single" w:sz="8" w:space="0" w:color="008BD2" w:themeColor="accent2"/>
      </w:tblBorders>
    </w:tblPr>
    <w:tcPr>
      <w:shd w:val="clear" w:color="auto" w:fill="B4E5FF" w:themeFill="accent2" w:themeFillTint="3F"/>
    </w:tcPr>
    <w:tblStylePr w:type="firstRow">
      <w:rPr>
        <w:b/>
        <w:bCs/>
        <w:color w:val="000000" w:themeColor="text1"/>
      </w:rPr>
      <w:tblPr/>
      <w:tcPr>
        <w:shd w:val="clear" w:color="auto" w:fill="E1F4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AFF" w:themeFill="accent2" w:themeFillTint="33"/>
      </w:tcPr>
    </w:tblStylePr>
    <w:tblStylePr w:type="band1Vert">
      <w:tblPr/>
      <w:tcPr>
        <w:shd w:val="clear" w:color="auto" w:fill="69CBFF" w:themeFill="accent2" w:themeFillTint="7F"/>
      </w:tcPr>
    </w:tblStylePr>
    <w:tblStylePr w:type="band1Horz">
      <w:tblPr/>
      <w:tcPr>
        <w:tcBorders>
          <w:insideH w:val="single" w:sz="6" w:space="0" w:color="008BD2" w:themeColor="accent2"/>
          <w:insideV w:val="single" w:sz="6" w:space="0" w:color="008BD2" w:themeColor="accent2"/>
        </w:tcBorders>
        <w:shd w:val="clear" w:color="auto" w:fill="69CBFF"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87F30"/>
    <w:rPr>
      <w:rFonts w:eastAsiaTheme="majorEastAsia" w:cstheme="majorBidi"/>
      <w:color w:val="000000" w:themeColor="text1"/>
    </w:rPr>
    <w:tblPr>
      <w:tblStyleRowBandSize w:val="1"/>
      <w:tblStyleColBandSize w:val="1"/>
      <w:tblBorders>
        <w:top w:val="single" w:sz="8" w:space="0" w:color="005EA1" w:themeColor="accent1"/>
        <w:left w:val="single" w:sz="8" w:space="0" w:color="005EA1" w:themeColor="accent1"/>
        <w:bottom w:val="single" w:sz="8" w:space="0" w:color="005EA1" w:themeColor="accent1"/>
        <w:right w:val="single" w:sz="8" w:space="0" w:color="005EA1" w:themeColor="accent1"/>
        <w:insideH w:val="single" w:sz="8" w:space="0" w:color="005EA1" w:themeColor="accent1"/>
        <w:insideV w:val="single" w:sz="8" w:space="0" w:color="005EA1" w:themeColor="accent1"/>
      </w:tblBorders>
    </w:tblPr>
    <w:tcPr>
      <w:shd w:val="clear" w:color="auto" w:fill="A8DAFF" w:themeFill="accent1" w:themeFillTint="3F"/>
    </w:tcPr>
    <w:tblStylePr w:type="firstRow">
      <w:rPr>
        <w:b/>
        <w:bCs/>
        <w:color w:val="000000" w:themeColor="text1"/>
      </w:rPr>
      <w:tblPr/>
      <w:tcPr>
        <w:shd w:val="clear" w:color="auto" w:fill="DCF0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E1FF" w:themeFill="accent1" w:themeFillTint="33"/>
      </w:tcPr>
    </w:tblStylePr>
    <w:tblStylePr w:type="band1Vert">
      <w:tblPr/>
      <w:tcPr>
        <w:shd w:val="clear" w:color="auto" w:fill="51B5FF" w:themeFill="accent1" w:themeFillTint="7F"/>
      </w:tcPr>
    </w:tblStylePr>
    <w:tblStylePr w:type="band1Horz">
      <w:tblPr/>
      <w:tcPr>
        <w:tcBorders>
          <w:insideH w:val="single" w:sz="6" w:space="0" w:color="005EA1" w:themeColor="accent1"/>
          <w:insideV w:val="single" w:sz="6" w:space="0" w:color="005EA1" w:themeColor="accent1"/>
        </w:tcBorders>
        <w:shd w:val="clear" w:color="auto" w:fill="51B5FF" w:themeFill="accent1" w:themeFillTint="7F"/>
      </w:tcPr>
    </w:tblStylePr>
    <w:tblStylePr w:type="nwCell">
      <w:tblPr/>
      <w:tcPr>
        <w:shd w:val="clear" w:color="auto" w:fill="FFFFFF" w:themeFill="background1"/>
      </w:tcPr>
    </w:tblStylePr>
  </w:style>
  <w:style w:type="table" w:customStyle="1" w:styleId="MediumGrid21">
    <w:name w:val="Medium Grid 21"/>
    <w:basedOn w:val="TableNormal"/>
    <w:uiPriority w:val="68"/>
    <w:rsid w:val="00587F30"/>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List2-Accent6">
    <w:name w:val="Medium List 2 Accent 6"/>
    <w:basedOn w:val="TableNormal"/>
    <w:uiPriority w:val="66"/>
    <w:rsid w:val="00587F30"/>
    <w:rPr>
      <w:rFonts w:eastAsiaTheme="majorEastAsia" w:cstheme="majorBidi"/>
      <w:color w:val="000000" w:themeColor="text1"/>
    </w:rPr>
    <w:tblPr>
      <w:tblStyleRowBandSize w:val="1"/>
      <w:tblStyleColBandSize w:val="1"/>
      <w:tblBorders>
        <w:top w:val="single" w:sz="8" w:space="0" w:color="63B9E9" w:themeColor="accent6"/>
        <w:left w:val="single" w:sz="8" w:space="0" w:color="63B9E9" w:themeColor="accent6"/>
        <w:bottom w:val="single" w:sz="8" w:space="0" w:color="63B9E9" w:themeColor="accent6"/>
        <w:right w:val="single" w:sz="8" w:space="0" w:color="63B9E9" w:themeColor="accent6"/>
      </w:tblBorders>
    </w:tblPr>
    <w:tblStylePr w:type="firstRow">
      <w:rPr>
        <w:sz w:val="24"/>
        <w:szCs w:val="24"/>
      </w:rPr>
      <w:tblPr/>
      <w:tcPr>
        <w:tcBorders>
          <w:top w:val="nil"/>
          <w:left w:val="nil"/>
          <w:bottom w:val="single" w:sz="24" w:space="0" w:color="63B9E9" w:themeColor="accent6"/>
          <w:right w:val="nil"/>
          <w:insideH w:val="nil"/>
          <w:insideV w:val="nil"/>
        </w:tcBorders>
        <w:shd w:val="clear" w:color="auto" w:fill="FFFFFF" w:themeFill="background1"/>
      </w:tcPr>
    </w:tblStylePr>
    <w:tblStylePr w:type="lastRow">
      <w:tblPr/>
      <w:tcPr>
        <w:tcBorders>
          <w:top w:val="single" w:sz="8" w:space="0" w:color="63B9E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B9E9" w:themeColor="accent6"/>
          <w:insideH w:val="nil"/>
          <w:insideV w:val="nil"/>
        </w:tcBorders>
        <w:shd w:val="clear" w:color="auto" w:fill="FFFFFF" w:themeFill="background1"/>
      </w:tcPr>
    </w:tblStylePr>
    <w:tblStylePr w:type="lastCol">
      <w:tblPr/>
      <w:tcPr>
        <w:tcBorders>
          <w:top w:val="nil"/>
          <w:left w:val="single" w:sz="8" w:space="0" w:color="63B9E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DF9" w:themeFill="accent6" w:themeFillTint="3F"/>
      </w:tcPr>
    </w:tblStylePr>
    <w:tblStylePr w:type="band1Horz">
      <w:tblPr/>
      <w:tcPr>
        <w:tcBorders>
          <w:top w:val="nil"/>
          <w:bottom w:val="nil"/>
          <w:insideH w:val="nil"/>
          <w:insideV w:val="nil"/>
        </w:tcBorders>
        <w:shd w:val="clear" w:color="auto" w:fill="D8EDF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87F30"/>
    <w:rPr>
      <w:rFonts w:eastAsiaTheme="majorEastAsia" w:cstheme="majorBidi"/>
      <w:color w:val="000000" w:themeColor="text1"/>
    </w:rPr>
    <w:tblPr>
      <w:tblStyleRowBandSize w:val="1"/>
      <w:tblStyleColBandSize w:val="1"/>
      <w:tblBorders>
        <w:top w:val="single" w:sz="8" w:space="0" w:color="4CA22F" w:themeColor="accent5"/>
        <w:left w:val="single" w:sz="8" w:space="0" w:color="4CA22F" w:themeColor="accent5"/>
        <w:bottom w:val="single" w:sz="8" w:space="0" w:color="4CA22F" w:themeColor="accent5"/>
        <w:right w:val="single" w:sz="8" w:space="0" w:color="4CA22F" w:themeColor="accent5"/>
      </w:tblBorders>
    </w:tblPr>
    <w:tblStylePr w:type="firstRow">
      <w:rPr>
        <w:sz w:val="24"/>
        <w:szCs w:val="24"/>
      </w:rPr>
      <w:tblPr/>
      <w:tcPr>
        <w:tcBorders>
          <w:top w:val="nil"/>
          <w:left w:val="nil"/>
          <w:bottom w:val="single" w:sz="24" w:space="0" w:color="4CA22F" w:themeColor="accent5"/>
          <w:right w:val="nil"/>
          <w:insideH w:val="nil"/>
          <w:insideV w:val="nil"/>
        </w:tcBorders>
        <w:shd w:val="clear" w:color="auto" w:fill="FFFFFF" w:themeFill="background1"/>
      </w:tcPr>
    </w:tblStylePr>
    <w:tblStylePr w:type="lastRow">
      <w:tblPr/>
      <w:tcPr>
        <w:tcBorders>
          <w:top w:val="single" w:sz="8" w:space="0" w:color="4CA22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A22F" w:themeColor="accent5"/>
          <w:insideH w:val="nil"/>
          <w:insideV w:val="nil"/>
        </w:tcBorders>
        <w:shd w:val="clear" w:color="auto" w:fill="FFFFFF" w:themeFill="background1"/>
      </w:tcPr>
    </w:tblStylePr>
    <w:tblStylePr w:type="lastCol">
      <w:tblPr/>
      <w:tcPr>
        <w:tcBorders>
          <w:top w:val="nil"/>
          <w:left w:val="single" w:sz="8" w:space="0" w:color="4CA22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EEC5" w:themeFill="accent5" w:themeFillTint="3F"/>
      </w:tcPr>
    </w:tblStylePr>
    <w:tblStylePr w:type="band1Horz">
      <w:tblPr/>
      <w:tcPr>
        <w:tcBorders>
          <w:top w:val="nil"/>
          <w:bottom w:val="nil"/>
          <w:insideH w:val="nil"/>
          <w:insideV w:val="nil"/>
        </w:tcBorders>
        <w:shd w:val="clear" w:color="auto" w:fill="CFEEC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87F30"/>
    <w:rPr>
      <w:rFonts w:eastAsiaTheme="majorEastAsia" w:cstheme="majorBidi"/>
      <w:color w:val="000000" w:themeColor="text1"/>
    </w:rPr>
    <w:tblPr>
      <w:tblStyleRowBandSize w:val="1"/>
      <w:tblStyleColBandSize w:val="1"/>
      <w:tblBorders>
        <w:top w:val="single" w:sz="8" w:space="0" w:color="9CA0A3" w:themeColor="accent4"/>
        <w:left w:val="single" w:sz="8" w:space="0" w:color="9CA0A3" w:themeColor="accent4"/>
        <w:bottom w:val="single" w:sz="8" w:space="0" w:color="9CA0A3" w:themeColor="accent4"/>
        <w:right w:val="single" w:sz="8" w:space="0" w:color="9CA0A3" w:themeColor="accent4"/>
      </w:tblBorders>
    </w:tblPr>
    <w:tblStylePr w:type="firstRow">
      <w:rPr>
        <w:sz w:val="24"/>
        <w:szCs w:val="24"/>
      </w:rPr>
      <w:tblPr/>
      <w:tcPr>
        <w:tcBorders>
          <w:top w:val="nil"/>
          <w:left w:val="nil"/>
          <w:bottom w:val="single" w:sz="24" w:space="0" w:color="9CA0A3" w:themeColor="accent4"/>
          <w:right w:val="nil"/>
          <w:insideH w:val="nil"/>
          <w:insideV w:val="nil"/>
        </w:tcBorders>
        <w:shd w:val="clear" w:color="auto" w:fill="FFFFFF" w:themeFill="background1"/>
      </w:tcPr>
    </w:tblStylePr>
    <w:tblStylePr w:type="lastRow">
      <w:tblPr/>
      <w:tcPr>
        <w:tcBorders>
          <w:top w:val="single" w:sz="8" w:space="0" w:color="9CA0A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A0A3" w:themeColor="accent4"/>
          <w:insideH w:val="nil"/>
          <w:insideV w:val="nil"/>
        </w:tcBorders>
        <w:shd w:val="clear" w:color="auto" w:fill="FFFFFF" w:themeFill="background1"/>
      </w:tcPr>
    </w:tblStylePr>
    <w:tblStylePr w:type="lastCol">
      <w:tblPr/>
      <w:tcPr>
        <w:tcBorders>
          <w:top w:val="nil"/>
          <w:left w:val="single" w:sz="8" w:space="0" w:color="9CA0A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7E8" w:themeFill="accent4" w:themeFillTint="3F"/>
      </w:tcPr>
    </w:tblStylePr>
    <w:tblStylePr w:type="band1Horz">
      <w:tblPr/>
      <w:tcPr>
        <w:tcBorders>
          <w:top w:val="nil"/>
          <w:bottom w:val="nil"/>
          <w:insideH w:val="nil"/>
          <w:insideV w:val="nil"/>
        </w:tcBorders>
        <w:shd w:val="clear" w:color="auto" w:fill="E6E7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87F30"/>
    <w:rPr>
      <w:rFonts w:eastAsiaTheme="majorEastAsia" w:cstheme="majorBidi"/>
      <w:color w:val="000000" w:themeColor="text1"/>
    </w:rPr>
    <w:tblPr>
      <w:tblStyleRowBandSize w:val="1"/>
      <w:tblStyleColBandSize w:val="1"/>
      <w:tblBorders>
        <w:top w:val="single" w:sz="8" w:space="0" w:color="95C11F" w:themeColor="accent3"/>
        <w:left w:val="single" w:sz="8" w:space="0" w:color="95C11F" w:themeColor="accent3"/>
        <w:bottom w:val="single" w:sz="8" w:space="0" w:color="95C11F" w:themeColor="accent3"/>
        <w:right w:val="single" w:sz="8" w:space="0" w:color="95C11F" w:themeColor="accent3"/>
      </w:tblBorders>
    </w:tblPr>
    <w:tblStylePr w:type="firstRow">
      <w:rPr>
        <w:sz w:val="24"/>
        <w:szCs w:val="24"/>
      </w:rPr>
      <w:tblPr/>
      <w:tcPr>
        <w:tcBorders>
          <w:top w:val="nil"/>
          <w:left w:val="nil"/>
          <w:bottom w:val="single" w:sz="24" w:space="0" w:color="95C11F" w:themeColor="accent3"/>
          <w:right w:val="nil"/>
          <w:insideH w:val="nil"/>
          <w:insideV w:val="nil"/>
        </w:tcBorders>
        <w:shd w:val="clear" w:color="auto" w:fill="FFFFFF" w:themeFill="background1"/>
      </w:tcPr>
    </w:tblStylePr>
    <w:tblStylePr w:type="lastRow">
      <w:tblPr/>
      <w:tcPr>
        <w:tcBorders>
          <w:top w:val="single" w:sz="8" w:space="0" w:color="95C11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C11F" w:themeColor="accent3"/>
          <w:insideH w:val="nil"/>
          <w:insideV w:val="nil"/>
        </w:tcBorders>
        <w:shd w:val="clear" w:color="auto" w:fill="FFFFFF" w:themeFill="background1"/>
      </w:tcPr>
    </w:tblStylePr>
    <w:tblStylePr w:type="lastCol">
      <w:tblPr/>
      <w:tcPr>
        <w:tcBorders>
          <w:top w:val="nil"/>
          <w:left w:val="single" w:sz="8" w:space="0" w:color="95C1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5C2" w:themeFill="accent3" w:themeFillTint="3F"/>
      </w:tcPr>
    </w:tblStylePr>
    <w:tblStylePr w:type="band1Horz">
      <w:tblPr/>
      <w:tcPr>
        <w:tcBorders>
          <w:top w:val="nil"/>
          <w:bottom w:val="nil"/>
          <w:insideH w:val="nil"/>
          <w:insideV w:val="nil"/>
        </w:tcBorders>
        <w:shd w:val="clear" w:color="auto" w:fill="E7F5C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87F30"/>
    <w:rPr>
      <w:rFonts w:eastAsiaTheme="majorEastAsia" w:cstheme="majorBidi"/>
      <w:color w:val="000000" w:themeColor="text1"/>
    </w:rPr>
    <w:tblPr>
      <w:tblStyleRowBandSize w:val="1"/>
      <w:tblStyleColBandSize w:val="1"/>
      <w:tblBorders>
        <w:top w:val="single" w:sz="8" w:space="0" w:color="008BD2" w:themeColor="accent2"/>
        <w:left w:val="single" w:sz="8" w:space="0" w:color="008BD2" w:themeColor="accent2"/>
        <w:bottom w:val="single" w:sz="8" w:space="0" w:color="008BD2" w:themeColor="accent2"/>
        <w:right w:val="single" w:sz="8" w:space="0" w:color="008BD2" w:themeColor="accent2"/>
      </w:tblBorders>
    </w:tblPr>
    <w:tblStylePr w:type="firstRow">
      <w:rPr>
        <w:sz w:val="24"/>
        <w:szCs w:val="24"/>
      </w:rPr>
      <w:tblPr/>
      <w:tcPr>
        <w:tcBorders>
          <w:top w:val="nil"/>
          <w:left w:val="nil"/>
          <w:bottom w:val="single" w:sz="24" w:space="0" w:color="008BD2" w:themeColor="accent2"/>
          <w:right w:val="nil"/>
          <w:insideH w:val="nil"/>
          <w:insideV w:val="nil"/>
        </w:tcBorders>
        <w:shd w:val="clear" w:color="auto" w:fill="FFFFFF" w:themeFill="background1"/>
      </w:tcPr>
    </w:tblStylePr>
    <w:tblStylePr w:type="lastRow">
      <w:tblPr/>
      <w:tcPr>
        <w:tcBorders>
          <w:top w:val="single" w:sz="8" w:space="0" w:color="008BD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BD2" w:themeColor="accent2"/>
          <w:insideH w:val="nil"/>
          <w:insideV w:val="nil"/>
        </w:tcBorders>
        <w:shd w:val="clear" w:color="auto" w:fill="FFFFFF" w:themeFill="background1"/>
      </w:tcPr>
    </w:tblStylePr>
    <w:tblStylePr w:type="lastCol">
      <w:tblPr/>
      <w:tcPr>
        <w:tcBorders>
          <w:top w:val="nil"/>
          <w:left w:val="single" w:sz="8" w:space="0" w:color="008BD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E5FF" w:themeFill="accent2" w:themeFillTint="3F"/>
      </w:tcPr>
    </w:tblStylePr>
    <w:tblStylePr w:type="band1Horz">
      <w:tblPr/>
      <w:tcPr>
        <w:tcBorders>
          <w:top w:val="nil"/>
          <w:bottom w:val="nil"/>
          <w:insideH w:val="nil"/>
          <w:insideV w:val="nil"/>
        </w:tcBorders>
        <w:shd w:val="clear" w:color="auto" w:fill="B4E5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87F30"/>
    <w:rPr>
      <w:rFonts w:eastAsiaTheme="majorEastAsia" w:cstheme="majorBidi"/>
      <w:color w:val="000000" w:themeColor="text1"/>
    </w:rPr>
    <w:tblPr>
      <w:tblStyleRowBandSize w:val="1"/>
      <w:tblStyleColBandSize w:val="1"/>
      <w:tblBorders>
        <w:top w:val="single" w:sz="8" w:space="0" w:color="005EA1" w:themeColor="accent1"/>
        <w:left w:val="single" w:sz="8" w:space="0" w:color="005EA1" w:themeColor="accent1"/>
        <w:bottom w:val="single" w:sz="8" w:space="0" w:color="005EA1" w:themeColor="accent1"/>
        <w:right w:val="single" w:sz="8" w:space="0" w:color="005EA1" w:themeColor="accent1"/>
      </w:tblBorders>
    </w:tblPr>
    <w:tblStylePr w:type="firstRow">
      <w:rPr>
        <w:sz w:val="24"/>
        <w:szCs w:val="24"/>
      </w:rPr>
      <w:tblPr/>
      <w:tcPr>
        <w:tcBorders>
          <w:top w:val="nil"/>
          <w:left w:val="nil"/>
          <w:bottom w:val="single" w:sz="24" w:space="0" w:color="005EA1" w:themeColor="accent1"/>
          <w:right w:val="nil"/>
          <w:insideH w:val="nil"/>
          <w:insideV w:val="nil"/>
        </w:tcBorders>
        <w:shd w:val="clear" w:color="auto" w:fill="FFFFFF" w:themeFill="background1"/>
      </w:tcPr>
    </w:tblStylePr>
    <w:tblStylePr w:type="lastRow">
      <w:tblPr/>
      <w:tcPr>
        <w:tcBorders>
          <w:top w:val="single" w:sz="8" w:space="0" w:color="005EA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EA1" w:themeColor="accent1"/>
          <w:insideH w:val="nil"/>
          <w:insideV w:val="nil"/>
        </w:tcBorders>
        <w:shd w:val="clear" w:color="auto" w:fill="FFFFFF" w:themeFill="background1"/>
      </w:tcPr>
    </w:tblStylePr>
    <w:tblStylePr w:type="lastCol">
      <w:tblPr/>
      <w:tcPr>
        <w:tcBorders>
          <w:top w:val="nil"/>
          <w:left w:val="single" w:sz="8" w:space="0" w:color="005EA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AFF" w:themeFill="accent1" w:themeFillTint="3F"/>
      </w:tcPr>
    </w:tblStylePr>
    <w:tblStylePr w:type="band1Horz">
      <w:tblPr/>
      <w:tcPr>
        <w:tcBorders>
          <w:top w:val="nil"/>
          <w:bottom w:val="nil"/>
          <w:insideH w:val="nil"/>
          <w:insideV w:val="nil"/>
        </w:tcBorders>
        <w:shd w:val="clear" w:color="auto" w:fill="A8DA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1">
    <w:name w:val="Medium List 21"/>
    <w:basedOn w:val="TableNormal"/>
    <w:uiPriority w:val="66"/>
    <w:rsid w:val="00587F30"/>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Heading">
    <w:name w:val="TOC Heading"/>
    <w:basedOn w:val="Heading1"/>
    <w:next w:val="Normal"/>
    <w:uiPriority w:val="39"/>
    <w:semiHidden/>
    <w:unhideWhenUsed/>
    <w:qFormat/>
    <w:rsid w:val="00756D2C"/>
    <w:pPr>
      <w:keepLines/>
      <w:pageBreakBefore w:val="0"/>
      <w:numPr>
        <w:numId w:val="0"/>
      </w:numPr>
      <w:suppressAutoHyphens/>
      <w:spacing w:before="480" w:after="0"/>
      <w:outlineLvl w:val="9"/>
    </w:pPr>
    <w:rPr>
      <w:rFonts w:eastAsiaTheme="majorEastAsia" w:cstheme="majorBidi"/>
      <w:bCs/>
      <w:caps w:val="0"/>
      <w:color w:val="004578" w:themeColor="accent1" w:themeShade="BF"/>
      <w:sz w:val="28"/>
      <w:szCs w:val="28"/>
    </w:rPr>
  </w:style>
  <w:style w:type="character" w:customStyle="1" w:styleId="Heading9Char">
    <w:name w:val="Heading 9 Char"/>
    <w:basedOn w:val="DefaultParagraphFont"/>
    <w:link w:val="Heading9"/>
    <w:semiHidden/>
    <w:rsid w:val="00756D2C"/>
    <w:rPr>
      <w:rFonts w:eastAsiaTheme="majorEastAsia" w:cstheme="majorBidi"/>
      <w:i/>
      <w:iCs/>
      <w:color w:val="404040" w:themeColor="text1" w:themeTint="BF"/>
      <w:lang w:eastAsia="en-US"/>
    </w:rPr>
  </w:style>
  <w:style w:type="character" w:customStyle="1" w:styleId="BodyTextIndentChar">
    <w:name w:val="Body Text Indent Char"/>
    <w:aliases w:val="Quote1 Char"/>
    <w:basedOn w:val="DefaultParagraphFont"/>
    <w:link w:val="BodyTextIndent"/>
    <w:semiHidden/>
    <w:rsid w:val="00587F30"/>
    <w:rPr>
      <w:i/>
      <w:sz w:val="18"/>
      <w:szCs w:val="18"/>
      <w:lang w:eastAsia="en-US"/>
    </w:rPr>
  </w:style>
  <w:style w:type="character" w:customStyle="1" w:styleId="BodyTextChar">
    <w:name w:val="Body Text Char"/>
    <w:basedOn w:val="DefaultParagraphFont"/>
    <w:link w:val="BodyText"/>
    <w:semiHidden/>
    <w:rsid w:val="00587F30"/>
    <w:rPr>
      <w:color w:val="000000"/>
      <w:szCs w:val="22"/>
      <w:lang w:eastAsia="en-US"/>
    </w:rPr>
  </w:style>
  <w:style w:type="paragraph" w:styleId="TOC1">
    <w:name w:val="toc 1"/>
    <w:basedOn w:val="Normal"/>
    <w:next w:val="Normal"/>
    <w:autoRedefine/>
    <w:uiPriority w:val="39"/>
    <w:unhideWhenUsed/>
    <w:rsid w:val="00A81C71"/>
    <w:pPr>
      <w:spacing w:after="100"/>
    </w:pPr>
  </w:style>
  <w:style w:type="paragraph" w:styleId="TOC2">
    <w:name w:val="toc 2"/>
    <w:basedOn w:val="Normal"/>
    <w:next w:val="Normal"/>
    <w:autoRedefine/>
    <w:uiPriority w:val="39"/>
    <w:unhideWhenUsed/>
    <w:rsid w:val="00A81C71"/>
    <w:pPr>
      <w:spacing w:after="100"/>
      <w:ind w:left="220"/>
    </w:pPr>
  </w:style>
  <w:style w:type="character" w:styleId="Hyperlink">
    <w:name w:val="Hyperlink"/>
    <w:basedOn w:val="DefaultParagraphFont"/>
    <w:uiPriority w:val="99"/>
    <w:unhideWhenUsed/>
    <w:rsid w:val="00A81C71"/>
    <w:rPr>
      <w:color w:val="00B0F0" w:themeColor="hyperlink"/>
      <w:u w:val="single"/>
    </w:rPr>
  </w:style>
  <w:style w:type="paragraph" w:customStyle="1" w:styleId="HeadingContents">
    <w:name w:val="Heading / Contents"/>
    <w:basedOn w:val="Normal"/>
    <w:next w:val="Normal"/>
    <w:qFormat/>
    <w:rsid w:val="001A465C"/>
    <w:pPr>
      <w:pBdr>
        <w:bottom w:val="single" w:sz="4" w:space="1" w:color="005EA1" w:themeColor="accent1"/>
      </w:pBdr>
      <w:spacing w:before="240" w:after="120"/>
    </w:pPr>
    <w:rPr>
      <w:rFonts w:ascii="VIC" w:hAnsi="VIC" w:cs="Arial"/>
      <w:caps/>
      <w:sz w:val="32"/>
      <w:lang w:eastAsia="en-US"/>
    </w:rPr>
  </w:style>
  <w:style w:type="paragraph" w:customStyle="1" w:styleId="Heading2nonumbers">
    <w:name w:val="Heading 2 no numbers"/>
    <w:basedOn w:val="Heading2"/>
    <w:next w:val="Normal"/>
    <w:qFormat/>
    <w:rsid w:val="0045269F"/>
    <w:pPr>
      <w:numPr>
        <w:ilvl w:val="0"/>
        <w:numId w:val="0"/>
      </w:numPr>
    </w:pPr>
  </w:style>
  <w:style w:type="paragraph" w:customStyle="1" w:styleId="Referencesource">
    <w:name w:val="Reference / source"/>
    <w:basedOn w:val="Normal"/>
    <w:next w:val="Normal"/>
    <w:qFormat/>
    <w:rsid w:val="00D968DC"/>
    <w:pPr>
      <w:spacing w:before="80"/>
    </w:pPr>
    <w:rPr>
      <w:i/>
      <w:sz w:val="16"/>
      <w:lang w:eastAsia="en-US"/>
    </w:rPr>
  </w:style>
  <w:style w:type="paragraph" w:customStyle="1" w:styleId="List2quote">
    <w:name w:val="List 2 / quote"/>
    <w:basedOn w:val="List2indent"/>
    <w:qFormat/>
    <w:rsid w:val="00B7210B"/>
    <w:rPr>
      <w:i/>
    </w:rPr>
  </w:style>
  <w:style w:type="paragraph" w:customStyle="1" w:styleId="Heading3nonumbers">
    <w:name w:val="Heading 3 no numbers"/>
    <w:basedOn w:val="Heading3"/>
    <w:next w:val="Normal"/>
    <w:qFormat/>
    <w:rsid w:val="006C38E1"/>
    <w:pPr>
      <w:numPr>
        <w:ilvl w:val="0"/>
        <w:numId w:val="0"/>
      </w:numPr>
    </w:pPr>
  </w:style>
  <w:style w:type="paragraph" w:styleId="Caption">
    <w:name w:val="caption"/>
    <w:basedOn w:val="Normal"/>
    <w:next w:val="Normal"/>
    <w:qFormat/>
    <w:rsid w:val="00F95F5C"/>
    <w:pPr>
      <w:keepNext/>
      <w:spacing w:after="80"/>
    </w:pPr>
    <w:rPr>
      <w:rFonts w:ascii="VIC" w:hAnsi="VIC"/>
      <w:iCs/>
      <w:color w:val="005EA1" w:themeColor="accent1"/>
    </w:rPr>
  </w:style>
  <w:style w:type="paragraph" w:styleId="TableofFigures">
    <w:name w:val="table of figures"/>
    <w:basedOn w:val="Normal"/>
    <w:next w:val="Normal"/>
    <w:uiPriority w:val="99"/>
    <w:unhideWhenUsed/>
    <w:rsid w:val="006A715A"/>
    <w:pPr>
      <w:spacing w:before="120"/>
    </w:pPr>
    <w:rPr>
      <w:szCs w:val="22"/>
    </w:rPr>
  </w:style>
  <w:style w:type="paragraph" w:styleId="TOC3">
    <w:name w:val="toc 3"/>
    <w:basedOn w:val="Normal"/>
    <w:next w:val="Normal"/>
    <w:autoRedefine/>
    <w:uiPriority w:val="39"/>
    <w:unhideWhenUsed/>
    <w:rsid w:val="00C92B9B"/>
    <w:pPr>
      <w:spacing w:after="100"/>
      <w:ind w:left="360"/>
    </w:pPr>
  </w:style>
  <w:style w:type="paragraph" w:styleId="TOC4">
    <w:name w:val="toc 4"/>
    <w:basedOn w:val="Normal"/>
    <w:next w:val="Normal"/>
    <w:autoRedefine/>
    <w:uiPriority w:val="39"/>
    <w:unhideWhenUsed/>
    <w:rsid w:val="00C92B9B"/>
    <w:pPr>
      <w:spacing w:after="100"/>
      <w:ind w:left="540"/>
    </w:pPr>
  </w:style>
  <w:style w:type="table" w:styleId="GridTable5Dark-Accent1">
    <w:name w:val="Grid Table 5 Dark Accent 1"/>
    <w:basedOn w:val="TableNormal"/>
    <w:uiPriority w:val="50"/>
    <w:rsid w:val="00A772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E1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EA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EA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EA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EA1" w:themeFill="accent1"/>
      </w:tcPr>
    </w:tblStylePr>
    <w:tblStylePr w:type="band1Vert">
      <w:tblPr/>
      <w:tcPr>
        <w:shd w:val="clear" w:color="auto" w:fill="73C4FF" w:themeFill="accent1" w:themeFillTint="66"/>
      </w:tcPr>
    </w:tblStylePr>
    <w:tblStylePr w:type="band1Horz">
      <w:tblPr/>
      <w:tcPr>
        <w:shd w:val="clear" w:color="auto" w:fill="73C4FF" w:themeFill="accent1" w:themeFillTint="66"/>
      </w:tcPr>
    </w:tblStylePr>
  </w:style>
  <w:style w:type="paragraph" w:customStyle="1" w:styleId="List1number">
    <w:name w:val="List 1 / number"/>
    <w:basedOn w:val="List1bullet"/>
    <w:qFormat/>
    <w:rsid w:val="00F16B89"/>
    <w:pPr>
      <w:numPr>
        <w:numId w:val="40"/>
      </w:numPr>
      <w:ind w:left="284" w:hanging="284"/>
    </w:pPr>
    <w:rPr>
      <w:lang w:eastAsia="en-US"/>
    </w:rPr>
  </w:style>
  <w:style w:type="paragraph" w:styleId="Header">
    <w:name w:val="header"/>
    <w:basedOn w:val="Normal"/>
    <w:link w:val="HeaderChar"/>
    <w:unhideWhenUsed/>
    <w:rsid w:val="00084BEC"/>
    <w:pPr>
      <w:tabs>
        <w:tab w:val="center" w:pos="4513"/>
        <w:tab w:val="right" w:pos="9026"/>
      </w:tabs>
      <w:spacing w:before="0" w:line="240" w:lineRule="auto"/>
    </w:pPr>
  </w:style>
  <w:style w:type="character" w:customStyle="1" w:styleId="HeaderChar">
    <w:name w:val="Header Char"/>
    <w:basedOn w:val="DefaultParagraphFont"/>
    <w:link w:val="Header"/>
    <w:rsid w:val="00084BEC"/>
  </w:style>
  <w:style w:type="paragraph" w:customStyle="1" w:styleId="NoParagraphStyle">
    <w:name w:val="[No Paragraph Style]"/>
    <w:rsid w:val="003404B2"/>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HeaderTableofContents">
    <w:name w:val="Header (Table of Contents)"/>
    <w:basedOn w:val="NoParagraphStyle"/>
    <w:uiPriority w:val="99"/>
    <w:rsid w:val="003404B2"/>
    <w:pPr>
      <w:pBdr>
        <w:bottom w:val="single" w:sz="8" w:space="1" w:color="003530"/>
      </w:pBdr>
      <w:tabs>
        <w:tab w:val="right" w:pos="9020"/>
      </w:tabs>
      <w:suppressAutoHyphens/>
      <w:spacing w:before="170" w:after="113" w:line="360" w:lineRule="atLeast"/>
      <w:ind w:left="1134" w:hanging="567"/>
    </w:pPr>
    <w:rPr>
      <w:rFonts w:ascii="Myriad Pro Light" w:hAnsi="Myriad Pro Light" w:cs="Myriad Pro Light"/>
      <w:caps/>
      <w:spacing w:val="-8"/>
      <w:w w:val="95"/>
      <w:sz w:val="28"/>
      <w:szCs w:val="28"/>
      <w:lang w:val="en-US"/>
    </w:rPr>
  </w:style>
  <w:style w:type="paragraph" w:customStyle="1" w:styleId="TableNumberingTitles">
    <w:name w:val="Table Numbering (Titles)"/>
    <w:basedOn w:val="HeaderTableofContents"/>
    <w:uiPriority w:val="99"/>
    <w:rsid w:val="003404B2"/>
    <w:pPr>
      <w:pBdr>
        <w:bottom w:val="none" w:sz="0" w:space="0" w:color="auto"/>
      </w:pBdr>
      <w:spacing w:after="57" w:line="220" w:lineRule="atLeast"/>
      <w:ind w:left="567" w:firstLine="0"/>
    </w:pPr>
    <w:rPr>
      <w:rFonts w:ascii="Arial" w:hAnsi="Arial" w:cs="Arial"/>
      <w:caps w:val="0"/>
      <w:spacing w:val="0"/>
      <w:sz w:val="17"/>
      <w:szCs w:val="17"/>
    </w:rPr>
  </w:style>
  <w:style w:type="paragraph" w:customStyle="1" w:styleId="BodyContent">
    <w:name w:val="Body (Content)"/>
    <w:basedOn w:val="NoParagraphStyle"/>
    <w:uiPriority w:val="99"/>
    <w:rsid w:val="003404B2"/>
    <w:pPr>
      <w:suppressAutoHyphens/>
      <w:spacing w:before="113" w:after="57" w:line="220" w:lineRule="atLeast"/>
      <w:ind w:left="560"/>
    </w:pPr>
    <w:rPr>
      <w:rFonts w:ascii="Arial" w:hAnsi="Arial" w:cs="Arial"/>
      <w:sz w:val="17"/>
      <w:szCs w:val="17"/>
      <w:lang w:val="en-US"/>
    </w:rPr>
  </w:style>
  <w:style w:type="paragraph" w:customStyle="1" w:styleId="LevelOne10Titles">
    <w:name w:val="Level One 1.0 (Titles)"/>
    <w:basedOn w:val="HeaderTableofContents"/>
    <w:uiPriority w:val="99"/>
    <w:rsid w:val="003404B2"/>
    <w:pPr>
      <w:pBdr>
        <w:bottom w:val="single" w:sz="8" w:space="2" w:color="0059D8"/>
      </w:pBdr>
      <w:tabs>
        <w:tab w:val="clear" w:pos="9020"/>
        <w:tab w:val="right" w:pos="9000"/>
      </w:tabs>
      <w:ind w:left="567"/>
    </w:pPr>
    <w:rPr>
      <w:rFonts w:ascii="VIC" w:hAnsi="VIC" w:cs="VIC"/>
      <w:b/>
      <w:bCs/>
      <w:spacing w:val="0"/>
      <w:sz w:val="32"/>
      <w:szCs w:val="32"/>
      <w:u w:color="003530"/>
    </w:rPr>
  </w:style>
  <w:style w:type="paragraph" w:customStyle="1" w:styleId="BULLETSContent">
    <w:name w:val="BULLETS (Content)"/>
    <w:basedOn w:val="BodyContent"/>
    <w:uiPriority w:val="99"/>
    <w:rsid w:val="003404B2"/>
    <w:pPr>
      <w:tabs>
        <w:tab w:val="left" w:leader="dot" w:pos="283"/>
      </w:tabs>
      <w:spacing w:before="57"/>
      <w:ind w:left="850" w:hanging="283"/>
    </w:pPr>
  </w:style>
  <w:style w:type="paragraph" w:customStyle="1" w:styleId="LevelTwo11Titles">
    <w:name w:val="Level Two 1.1 (Titles)"/>
    <w:basedOn w:val="LevelOne10Titles"/>
    <w:uiPriority w:val="99"/>
    <w:rsid w:val="003404B2"/>
    <w:pPr>
      <w:pBdr>
        <w:bottom w:val="none" w:sz="0" w:space="0" w:color="auto"/>
      </w:pBdr>
      <w:spacing w:after="57" w:line="300" w:lineRule="atLeast"/>
    </w:pPr>
    <w:rPr>
      <w:rFonts w:ascii="VIC SemiBold" w:hAnsi="VIC SemiBold" w:cs="VIC SemiBold"/>
      <w:caps w:val="0"/>
      <w:sz w:val="26"/>
      <w:szCs w:val="26"/>
    </w:rPr>
  </w:style>
  <w:style w:type="paragraph" w:customStyle="1" w:styleId="LevelThree111Titles">
    <w:name w:val="Level Three 1.1.1 (Titles)"/>
    <w:basedOn w:val="LevelOne10Titles"/>
    <w:uiPriority w:val="99"/>
    <w:rsid w:val="003404B2"/>
    <w:pPr>
      <w:pBdr>
        <w:bottom w:val="none" w:sz="0" w:space="0" w:color="auto"/>
      </w:pBdr>
      <w:spacing w:line="300" w:lineRule="atLeast"/>
    </w:pPr>
    <w:rPr>
      <w:caps w:val="0"/>
      <w:sz w:val="22"/>
      <w:szCs w:val="22"/>
    </w:rPr>
  </w:style>
  <w:style w:type="paragraph" w:customStyle="1" w:styleId="BULLETSContent0">
    <w:name w:val="&gt; BULLETS (Content)"/>
    <w:basedOn w:val="NoParagraphStyle"/>
    <w:uiPriority w:val="99"/>
    <w:rsid w:val="003404B2"/>
    <w:pPr>
      <w:tabs>
        <w:tab w:val="left" w:pos="567"/>
        <w:tab w:val="left" w:pos="850"/>
      </w:tabs>
      <w:suppressAutoHyphens/>
      <w:spacing w:before="57" w:after="57" w:line="220" w:lineRule="atLeast"/>
      <w:ind w:left="1134" w:hanging="283"/>
    </w:pPr>
    <w:rPr>
      <w:rFonts w:ascii="Arial" w:hAnsi="Arial" w:cs="Arial"/>
      <w:sz w:val="17"/>
      <w:szCs w:val="17"/>
    </w:rPr>
  </w:style>
  <w:style w:type="paragraph" w:customStyle="1" w:styleId="LevelOne10AppTitles">
    <w:name w:val="Level One 1.0 App (Titles)"/>
    <w:basedOn w:val="HeaderTableofContents"/>
    <w:uiPriority w:val="99"/>
    <w:rsid w:val="003404B2"/>
    <w:pPr>
      <w:pBdr>
        <w:bottom w:val="single" w:sz="8" w:space="2" w:color="0059D8"/>
      </w:pBdr>
      <w:tabs>
        <w:tab w:val="clear" w:pos="9020"/>
        <w:tab w:val="right" w:pos="9000"/>
      </w:tabs>
      <w:ind w:left="27" w:hanging="27"/>
    </w:pPr>
    <w:rPr>
      <w:rFonts w:ascii="VIC" w:hAnsi="VIC" w:cs="VIC"/>
      <w:b/>
      <w:bCs/>
      <w:spacing w:val="0"/>
      <w:sz w:val="32"/>
      <w:szCs w:val="32"/>
      <w:u w:color="003530"/>
    </w:rPr>
  </w:style>
  <w:style w:type="paragraph" w:customStyle="1" w:styleId="LevelTwo11AppTitles">
    <w:name w:val="Level Two 1.1 App (Titles)"/>
    <w:basedOn w:val="LevelOne10Titles"/>
    <w:uiPriority w:val="99"/>
    <w:rsid w:val="003404B2"/>
    <w:pPr>
      <w:pBdr>
        <w:bottom w:val="none" w:sz="0" w:space="0" w:color="auto"/>
      </w:pBdr>
      <w:spacing w:after="57" w:line="300" w:lineRule="atLeast"/>
      <w:ind w:left="1640" w:hanging="1640"/>
    </w:pPr>
    <w:rPr>
      <w:rFonts w:ascii="VIC SemiBold" w:hAnsi="VIC SemiBold" w:cs="VIC SemiBold"/>
      <w:caps w:val="0"/>
      <w:sz w:val="26"/>
      <w:szCs w:val="26"/>
    </w:rPr>
  </w:style>
  <w:style w:type="paragraph" w:customStyle="1" w:styleId="BodyCopynoindent">
    <w:name w:val="Body Copy (no indent)"/>
    <w:basedOn w:val="NoParagraphStyle"/>
    <w:uiPriority w:val="99"/>
    <w:rsid w:val="003404B2"/>
    <w:pPr>
      <w:suppressAutoHyphens/>
    </w:pPr>
    <w:rPr>
      <w:rFonts w:ascii="Arial" w:hAnsi="Arial" w:cs="Arial"/>
      <w:sz w:val="18"/>
      <w:szCs w:val="18"/>
    </w:rPr>
  </w:style>
  <w:style w:type="paragraph" w:customStyle="1" w:styleId="TableCopy-RsGsTables">
    <w:name w:val="Table Copy - Rs &amp; Gs (Tables)"/>
    <w:basedOn w:val="BodyCopynoindent"/>
    <w:uiPriority w:val="99"/>
    <w:rsid w:val="003404B2"/>
    <w:pPr>
      <w:spacing w:before="43" w:after="43" w:line="210" w:lineRule="atLeast"/>
    </w:pPr>
    <w:rPr>
      <w:sz w:val="16"/>
      <w:szCs w:val="16"/>
    </w:rPr>
  </w:style>
  <w:style w:type="paragraph" w:customStyle="1" w:styleId="LevelOne10HEADERS">
    <w:name w:val="Level One 1.0 (HEADERS)"/>
    <w:basedOn w:val="TableCopy-RsGsTables"/>
    <w:uiPriority w:val="99"/>
    <w:rsid w:val="003404B2"/>
    <w:pPr>
      <w:pBdr>
        <w:bottom w:val="single" w:sz="8" w:space="2" w:color="0059D8"/>
      </w:pBdr>
      <w:spacing w:before="170" w:after="113" w:line="360" w:lineRule="atLeast"/>
      <w:ind w:left="567" w:hanging="567"/>
    </w:pPr>
    <w:rPr>
      <w:rFonts w:ascii="VIC" w:hAnsi="VIC" w:cs="VIC"/>
      <w:b/>
      <w:bCs/>
      <w:caps/>
      <w:sz w:val="32"/>
      <w:szCs w:val="32"/>
    </w:rPr>
  </w:style>
  <w:style w:type="paragraph" w:customStyle="1" w:styleId="AppendixHeaderTEMPLATESTYLESMASTERTitles">
    <w:name w:val="Appendix Header (TEMPLATE STYLES MASTER:Titles)"/>
    <w:basedOn w:val="LevelOne10HEADERS"/>
    <w:uiPriority w:val="99"/>
    <w:rsid w:val="003404B2"/>
    <w:pPr>
      <w:pBdr>
        <w:bottom w:val="none" w:sz="0" w:space="0" w:color="auto"/>
      </w:pBdr>
      <w:tabs>
        <w:tab w:val="left" w:pos="8960"/>
      </w:tabs>
      <w:spacing w:after="283" w:line="300" w:lineRule="atLeast"/>
      <w:ind w:left="1134"/>
    </w:pPr>
    <w:rPr>
      <w:rFonts w:ascii="VIC SemiBold" w:hAnsi="VIC SemiBold" w:cs="VIC SemiBold"/>
      <w:caps w:val="0"/>
      <w:sz w:val="26"/>
      <w:szCs w:val="26"/>
    </w:rPr>
  </w:style>
  <w:style w:type="paragraph" w:customStyle="1" w:styleId="TableHEADTables">
    <w:name w:val="Table HEAD (Tables)"/>
    <w:basedOn w:val="NoParagraphStyle"/>
    <w:uiPriority w:val="99"/>
    <w:rsid w:val="003404B2"/>
    <w:pPr>
      <w:suppressAutoHyphens/>
      <w:spacing w:before="28" w:after="28" w:line="200" w:lineRule="atLeast"/>
      <w:jc w:val="center"/>
    </w:pPr>
    <w:rPr>
      <w:rFonts w:ascii="VIC SemiBold" w:hAnsi="VIC SemiBold" w:cs="VIC SemiBold"/>
      <w:b/>
      <w:bCs/>
      <w:caps/>
      <w:color w:val="FFFFFF"/>
      <w:sz w:val="16"/>
      <w:szCs w:val="16"/>
      <w:lang w:val="en-US"/>
    </w:rPr>
  </w:style>
  <w:style w:type="paragraph" w:customStyle="1" w:styleId="TableBodyTables">
    <w:name w:val="Table Body (Tables)"/>
    <w:basedOn w:val="NoParagraphStyle"/>
    <w:uiPriority w:val="99"/>
    <w:rsid w:val="003404B2"/>
    <w:pPr>
      <w:suppressAutoHyphens/>
      <w:spacing w:before="28" w:after="28" w:line="200" w:lineRule="atLeast"/>
    </w:pPr>
    <w:rPr>
      <w:rFonts w:ascii="Arial" w:hAnsi="Arial" w:cs="Arial"/>
      <w:sz w:val="16"/>
      <w:szCs w:val="16"/>
      <w:lang w:val="en-US"/>
    </w:rPr>
  </w:style>
  <w:style w:type="paragraph" w:customStyle="1" w:styleId="DCPTable-Heading-whiteTables">
    <w:name w:val="DCP Table - Heading - white (Tables)"/>
    <w:basedOn w:val="BodyContent"/>
    <w:uiPriority w:val="99"/>
    <w:rsid w:val="003404B2"/>
    <w:pPr>
      <w:spacing w:line="190" w:lineRule="atLeast"/>
      <w:ind w:left="0"/>
      <w:jc w:val="center"/>
    </w:pPr>
    <w:rPr>
      <w:b/>
      <w:bCs/>
      <w:caps/>
      <w:color w:val="FFFFFF"/>
      <w:sz w:val="16"/>
      <w:szCs w:val="16"/>
    </w:rPr>
  </w:style>
  <w:style w:type="paragraph" w:customStyle="1" w:styleId="LandBudgetHeadRevCTablesSummarylandbudget">
    <w:name w:val="Land Budget Head Rev C (Tables:Summary land budget)"/>
    <w:basedOn w:val="TableBodyTables"/>
    <w:uiPriority w:val="99"/>
    <w:rsid w:val="003404B2"/>
    <w:pPr>
      <w:jc w:val="center"/>
    </w:pPr>
    <w:rPr>
      <w:rFonts w:ascii="VIC SemiBold" w:hAnsi="VIC SemiBold" w:cs="VIC SemiBold"/>
      <w:b/>
      <w:bCs/>
      <w:caps/>
      <w:color w:val="FFFFFF"/>
      <w:sz w:val="15"/>
      <w:szCs w:val="15"/>
    </w:rPr>
  </w:style>
  <w:style w:type="paragraph" w:customStyle="1" w:styleId="LandBudgetHeadLBlackTOTALSTablesSummarylandbudget">
    <w:name w:val="Land Budget Head L Black TOTALS (Tables:Summary land budget)"/>
    <w:basedOn w:val="TableBodyTables"/>
    <w:uiPriority w:val="99"/>
    <w:rsid w:val="003404B2"/>
    <w:rPr>
      <w:b/>
      <w:bCs/>
      <w:sz w:val="15"/>
      <w:szCs w:val="15"/>
    </w:rPr>
  </w:style>
  <w:style w:type="paragraph" w:customStyle="1" w:styleId="LandBudgetHeadRBlackNosTablesSummarylandbudget">
    <w:name w:val="Land Budget Head R Black Nos (Tables:Summary land budget)"/>
    <w:basedOn w:val="TableBodyTables"/>
    <w:uiPriority w:val="99"/>
    <w:rsid w:val="003404B2"/>
    <w:pPr>
      <w:jc w:val="right"/>
    </w:pPr>
    <w:rPr>
      <w:b/>
      <w:bCs/>
      <w:caps/>
      <w:sz w:val="15"/>
      <w:szCs w:val="15"/>
    </w:rPr>
  </w:style>
  <w:style w:type="paragraph" w:customStyle="1" w:styleId="LandBudgetHeadRevLTablesSummarylandbudget">
    <w:name w:val="Land Budget Head Rev L (Tables:Summary land budget)"/>
    <w:basedOn w:val="TableBodyTables"/>
    <w:uiPriority w:val="99"/>
    <w:rsid w:val="003404B2"/>
    <w:rPr>
      <w:rFonts w:ascii="VIC SemiBold" w:hAnsi="VIC SemiBold" w:cs="VIC SemiBold"/>
      <w:b/>
      <w:bCs/>
      <w:caps/>
      <w:color w:val="FFFFFF"/>
      <w:sz w:val="15"/>
      <w:szCs w:val="15"/>
    </w:rPr>
  </w:style>
  <w:style w:type="paragraph" w:customStyle="1" w:styleId="tablebasic">
    <w:name w:val="table basic"/>
    <w:basedOn w:val="NoParagraphStyle"/>
    <w:uiPriority w:val="99"/>
    <w:rsid w:val="003404B2"/>
    <w:pPr>
      <w:suppressAutoHyphens/>
      <w:spacing w:after="57"/>
      <w:ind w:left="3" w:hanging="3"/>
    </w:pPr>
    <w:rPr>
      <w:rFonts w:ascii="Humnst777 BT" w:hAnsi="Humnst777 BT" w:cs="Humnst777 BT"/>
      <w:spacing w:val="-4"/>
      <w:sz w:val="18"/>
      <w:szCs w:val="18"/>
      <w:lang w:val="en-US"/>
    </w:rPr>
  </w:style>
  <w:style w:type="paragraph" w:customStyle="1" w:styleId="PIPtabletext">
    <w:name w:val="PIP table text"/>
    <w:basedOn w:val="tablebasic"/>
    <w:uiPriority w:val="99"/>
    <w:rsid w:val="003404B2"/>
    <w:pPr>
      <w:jc w:val="right"/>
    </w:pPr>
    <w:rPr>
      <w:spacing w:val="0"/>
      <w:sz w:val="15"/>
      <w:szCs w:val="15"/>
    </w:rPr>
  </w:style>
  <w:style w:type="paragraph" w:customStyle="1" w:styleId="PIPHeadercentre">
    <w:name w:val="PIP Header centre"/>
    <w:basedOn w:val="PIPtabletext"/>
    <w:uiPriority w:val="99"/>
    <w:rsid w:val="003404B2"/>
    <w:pPr>
      <w:jc w:val="center"/>
    </w:pPr>
    <w:rPr>
      <w:b/>
      <w:bCs/>
      <w:caps/>
      <w:color w:val="FFFFFF"/>
    </w:rPr>
  </w:style>
  <w:style w:type="paragraph" w:customStyle="1" w:styleId="LandBudgetHeadLREVTOTALSTablesSummarylandbudget">
    <w:name w:val="Land Budget Head L REV TOTALS (Tables:Summary land budget)"/>
    <w:basedOn w:val="TableBodyTables"/>
    <w:uiPriority w:val="99"/>
    <w:rsid w:val="003404B2"/>
    <w:rPr>
      <w:b/>
      <w:bCs/>
      <w:color w:val="FFFFFF"/>
      <w:sz w:val="15"/>
      <w:szCs w:val="15"/>
    </w:rPr>
  </w:style>
  <w:style w:type="paragraph" w:customStyle="1" w:styleId="tablebasicwhiteBOLDCAPSTEMPLATESTYLESMASTERTableswithnumbering">
    <w:name w:val="table basic white BOLD CAPS (TEMPLATE STYLES MASTER:Tables with numbering)"/>
    <w:basedOn w:val="NoParagraphStyle"/>
    <w:uiPriority w:val="99"/>
    <w:rsid w:val="003404B2"/>
    <w:pPr>
      <w:suppressAutoHyphens/>
      <w:spacing w:after="57"/>
      <w:ind w:left="3" w:hanging="3"/>
      <w:jc w:val="center"/>
    </w:pPr>
    <w:rPr>
      <w:rFonts w:ascii="Humnst777 BT (TT) Bold" w:hAnsi="Humnst777 BT (TT) Bold" w:cs="Humnst777 BT (TT) Bold"/>
      <w:b/>
      <w:bCs/>
      <w:caps/>
      <w:color w:val="FFFFFF"/>
      <w:sz w:val="18"/>
      <w:szCs w:val="18"/>
      <w:lang w:val="en-US"/>
    </w:rPr>
  </w:style>
  <w:style w:type="paragraph" w:customStyle="1" w:styleId="CalcofCostsTables">
    <w:name w:val="Calc of Costs (Tables)"/>
    <w:basedOn w:val="tablebasicwhiteBOLDCAPSTEMPLATESTYLESMASTERTableswithnumbering"/>
    <w:uiPriority w:val="99"/>
    <w:rsid w:val="003404B2"/>
    <w:pPr>
      <w:spacing w:line="170" w:lineRule="atLeast"/>
    </w:pPr>
    <w:rPr>
      <w:rFonts w:ascii="Arial" w:hAnsi="Arial" w:cs="Arial"/>
      <w:sz w:val="14"/>
      <w:szCs w:val="14"/>
    </w:rPr>
  </w:style>
  <w:style w:type="paragraph" w:customStyle="1" w:styleId="tablebasicTEMPLATESTYLESMASTERTableswithnumbering">
    <w:name w:val="table basic (TEMPLATE STYLES MASTER:Tables with numbering)"/>
    <w:basedOn w:val="NoParagraphStyle"/>
    <w:uiPriority w:val="99"/>
    <w:rsid w:val="003404B2"/>
    <w:pPr>
      <w:suppressAutoHyphens/>
      <w:spacing w:after="57" w:line="210" w:lineRule="atLeast"/>
      <w:ind w:left="3" w:hanging="3"/>
    </w:pPr>
    <w:rPr>
      <w:rFonts w:ascii="Arial" w:hAnsi="Arial" w:cs="Arial"/>
      <w:sz w:val="17"/>
      <w:szCs w:val="17"/>
      <w:lang w:val="en-US"/>
    </w:rPr>
  </w:style>
  <w:style w:type="paragraph" w:customStyle="1" w:styleId="NumbersR675Tables">
    <w:name w:val="Numbers R 6.75 (Tables)"/>
    <w:basedOn w:val="tablebasicTEMPLATESTYLESMASTERTableswithnumbering"/>
    <w:uiPriority w:val="99"/>
    <w:rsid w:val="003404B2"/>
    <w:pPr>
      <w:spacing w:line="170" w:lineRule="atLeast"/>
      <w:jc w:val="right"/>
    </w:pPr>
    <w:rPr>
      <w:sz w:val="14"/>
      <w:szCs w:val="14"/>
    </w:rPr>
  </w:style>
  <w:style w:type="paragraph" w:customStyle="1" w:styleId="Publicationdate">
    <w:name w:val="Publication date"/>
    <w:basedOn w:val="NoParagraphStyle"/>
    <w:uiPriority w:val="99"/>
    <w:rsid w:val="003404B2"/>
    <w:rPr>
      <w:rFonts w:ascii="Trebuchet MS" w:hAnsi="Trebuchet MS" w:cs="Trebuchet MS"/>
      <w:sz w:val="28"/>
      <w:szCs w:val="28"/>
      <w:lang w:val="en-US"/>
    </w:rPr>
  </w:style>
  <w:style w:type="paragraph" w:customStyle="1" w:styleId="TablestextL675Tables">
    <w:name w:val="Tables text L 6.75 (Tables)"/>
    <w:basedOn w:val="tablebasicTEMPLATESTYLESMASTERTableswithnumbering"/>
    <w:uiPriority w:val="99"/>
    <w:rsid w:val="003404B2"/>
    <w:pPr>
      <w:spacing w:line="170" w:lineRule="atLeast"/>
    </w:pPr>
    <w:rPr>
      <w:sz w:val="14"/>
      <w:szCs w:val="14"/>
    </w:rPr>
  </w:style>
  <w:style w:type="paragraph" w:customStyle="1" w:styleId="NumbersR8Tables">
    <w:name w:val="Numbers R 8 (Tables)"/>
    <w:basedOn w:val="tablebasicTEMPLATESTYLESMASTERTableswithnumbering"/>
    <w:uiPriority w:val="99"/>
    <w:rsid w:val="003404B2"/>
    <w:pPr>
      <w:spacing w:line="170" w:lineRule="atLeast"/>
      <w:jc w:val="right"/>
    </w:pPr>
    <w:rPr>
      <w:sz w:val="16"/>
      <w:szCs w:val="16"/>
    </w:rPr>
  </w:style>
  <w:style w:type="paragraph" w:customStyle="1" w:styleId="LUBPropSpecHEADC">
    <w:name w:val="LUB Prop Spec HEAD C"/>
    <w:basedOn w:val="PIPHeadercentre"/>
    <w:uiPriority w:val="99"/>
    <w:rsid w:val="003404B2"/>
    <w:rPr>
      <w:sz w:val="14"/>
      <w:szCs w:val="14"/>
    </w:rPr>
  </w:style>
  <w:style w:type="paragraph" w:customStyle="1" w:styleId="LUBPropSpecHEADL">
    <w:name w:val="LUB Prop Spec HEAD L"/>
    <w:basedOn w:val="PIPHeadercentre"/>
    <w:uiPriority w:val="99"/>
    <w:rsid w:val="003404B2"/>
    <w:pPr>
      <w:jc w:val="left"/>
    </w:pPr>
    <w:rPr>
      <w:sz w:val="14"/>
      <w:szCs w:val="14"/>
    </w:rPr>
  </w:style>
  <w:style w:type="character" w:customStyle="1" w:styleId="BodybulletITALICS">
    <w:name w:val="Body/bullet ITALICS"/>
    <w:uiPriority w:val="99"/>
    <w:rsid w:val="003404B2"/>
    <w:rPr>
      <w:rFonts w:ascii="Arial" w:hAnsi="Arial" w:cs="Arial"/>
      <w:i/>
      <w:iCs/>
      <w:color w:val="000000"/>
      <w:spacing w:val="0"/>
      <w:sz w:val="17"/>
      <w:szCs w:val="17"/>
    </w:rPr>
  </w:style>
  <w:style w:type="character" w:customStyle="1" w:styleId="bodyBOLD">
    <w:name w:val="body BOLD"/>
    <w:basedOn w:val="BodybulletITALICS"/>
    <w:uiPriority w:val="99"/>
    <w:rsid w:val="003404B2"/>
    <w:rPr>
      <w:rFonts w:ascii="Arial" w:hAnsi="Arial" w:cs="Arial"/>
      <w:b/>
      <w:bCs/>
      <w:i/>
      <w:iCs/>
      <w:color w:val="000000"/>
      <w:spacing w:val="0"/>
      <w:sz w:val="17"/>
      <w:szCs w:val="17"/>
    </w:rPr>
  </w:style>
  <w:style w:type="character" w:customStyle="1" w:styleId="BodyBOLDITALICS">
    <w:name w:val="Body BOLD / ITALICS"/>
    <w:basedOn w:val="bodyBOLD"/>
    <w:uiPriority w:val="99"/>
    <w:rsid w:val="003404B2"/>
    <w:rPr>
      <w:rFonts w:ascii="Arial" w:hAnsi="Arial" w:cs="Arial"/>
      <w:b/>
      <w:bCs/>
      <w:i/>
      <w:iCs/>
      <w:color w:val="000000"/>
      <w:spacing w:val="0"/>
      <w:sz w:val="17"/>
      <w:szCs w:val="17"/>
    </w:rPr>
  </w:style>
  <w:style w:type="character" w:customStyle="1" w:styleId="TableBodyBOLD">
    <w:name w:val="Table Body BOLD"/>
    <w:uiPriority w:val="99"/>
    <w:rsid w:val="003404B2"/>
    <w:rPr>
      <w:b/>
      <w:bCs/>
    </w:rPr>
  </w:style>
  <w:style w:type="character" w:customStyle="1" w:styleId="PlanNumbering">
    <w:name w:val="Plan Numbering"/>
    <w:uiPriority w:val="99"/>
    <w:rsid w:val="003404B2"/>
    <w:rPr>
      <w:rFonts w:ascii="VIC" w:hAnsi="VIC" w:cs="VIC"/>
      <w:color w:val="0059D8"/>
      <w:sz w:val="17"/>
      <w:szCs w:val="17"/>
    </w:rPr>
  </w:style>
  <w:style w:type="character" w:customStyle="1" w:styleId="TableNumbering">
    <w:name w:val="Table Numbering"/>
    <w:uiPriority w:val="99"/>
    <w:rsid w:val="003404B2"/>
    <w:rPr>
      <w:rFonts w:ascii="VIC" w:hAnsi="VIC" w:cs="VIC"/>
      <w:color w:val="0059D8"/>
      <w:sz w:val="17"/>
      <w:szCs w:val="17"/>
    </w:rPr>
  </w:style>
  <w:style w:type="character" w:customStyle="1" w:styleId="LevelOne10">
    <w:name w:val="Level One 1.0"/>
    <w:uiPriority w:val="99"/>
    <w:rsid w:val="003404B2"/>
    <w:rPr>
      <w:rFonts w:ascii="VIC" w:hAnsi="VIC" w:cs="VIC"/>
      <w:b/>
      <w:bCs/>
      <w:color w:val="0059D8"/>
      <w:sz w:val="32"/>
      <w:szCs w:val="32"/>
    </w:rPr>
  </w:style>
  <w:style w:type="character" w:customStyle="1" w:styleId="BULLET">
    <w:name w:val="&gt;BULLET"/>
    <w:uiPriority w:val="99"/>
    <w:rsid w:val="003404B2"/>
    <w:rPr>
      <w:rFonts w:ascii="Myriad Pro" w:hAnsi="Myriad Pro" w:cs="Myriad Pro"/>
      <w:b/>
      <w:bCs/>
      <w:color w:val="65E5FF"/>
      <w:sz w:val="28"/>
      <w:szCs w:val="28"/>
    </w:rPr>
  </w:style>
  <w:style w:type="character" w:customStyle="1" w:styleId="LevelTwo11">
    <w:name w:val="Level Two 1.1"/>
    <w:uiPriority w:val="99"/>
    <w:rsid w:val="003404B2"/>
    <w:rPr>
      <w:rFonts w:ascii="VIC SemiBold" w:hAnsi="VIC SemiBold" w:cs="VIC SemiBold"/>
      <w:b/>
      <w:bCs/>
      <w:color w:val="0059D8"/>
      <w:spacing w:val="20"/>
      <w:sz w:val="26"/>
      <w:szCs w:val="26"/>
    </w:rPr>
  </w:style>
  <w:style w:type="character" w:customStyle="1" w:styleId="LevelThree111">
    <w:name w:val="Level Three 1.1.1"/>
    <w:uiPriority w:val="99"/>
    <w:rsid w:val="003404B2"/>
    <w:rPr>
      <w:rFonts w:ascii="VIC" w:hAnsi="VIC" w:cs="VIC"/>
      <w:color w:val="0059D8"/>
      <w:spacing w:val="6"/>
      <w:sz w:val="22"/>
      <w:szCs w:val="22"/>
    </w:rPr>
  </w:style>
  <w:style w:type="character" w:customStyle="1" w:styleId="TOC1-number">
    <w:name w:val="TOC 1 - number"/>
    <w:uiPriority w:val="99"/>
    <w:rsid w:val="003404B2"/>
    <w:rPr>
      <w:rFonts w:ascii="Myriad Pro" w:hAnsi="Myriad Pro" w:cs="Myriad Pro"/>
      <w:b/>
      <w:bCs/>
      <w:color w:val="0059D8"/>
      <w:sz w:val="26"/>
      <w:szCs w:val="26"/>
      <w:u w:val="none"/>
    </w:rPr>
  </w:style>
  <w:style w:type="character" w:customStyle="1" w:styleId="levelone100">
    <w:name w:val="&gt;level one 1.0"/>
    <w:uiPriority w:val="99"/>
    <w:rsid w:val="003404B2"/>
    <w:rPr>
      <w:rFonts w:ascii="VIC" w:hAnsi="VIC" w:cs="VIC"/>
      <w:b/>
      <w:bCs/>
      <w:color w:val="0059D8"/>
      <w:w w:val="9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40168">
      <w:bodyDiv w:val="1"/>
      <w:marLeft w:val="0"/>
      <w:marRight w:val="0"/>
      <w:marTop w:val="0"/>
      <w:marBottom w:val="0"/>
      <w:divBdr>
        <w:top w:val="none" w:sz="0" w:space="0" w:color="auto"/>
        <w:left w:val="none" w:sz="0" w:space="0" w:color="auto"/>
        <w:bottom w:val="none" w:sz="0" w:space="0" w:color="auto"/>
        <w:right w:val="none" w:sz="0" w:space="0" w:color="auto"/>
      </w:divBdr>
    </w:div>
    <w:div w:id="194657035">
      <w:bodyDiv w:val="1"/>
      <w:marLeft w:val="0"/>
      <w:marRight w:val="0"/>
      <w:marTop w:val="0"/>
      <w:marBottom w:val="0"/>
      <w:divBdr>
        <w:top w:val="none" w:sz="0" w:space="0" w:color="auto"/>
        <w:left w:val="none" w:sz="0" w:space="0" w:color="auto"/>
        <w:bottom w:val="none" w:sz="0" w:space="0" w:color="auto"/>
        <w:right w:val="none" w:sz="0" w:space="0" w:color="auto"/>
      </w:divBdr>
    </w:div>
    <w:div w:id="275718700">
      <w:bodyDiv w:val="1"/>
      <w:marLeft w:val="0"/>
      <w:marRight w:val="0"/>
      <w:marTop w:val="0"/>
      <w:marBottom w:val="0"/>
      <w:divBdr>
        <w:top w:val="none" w:sz="0" w:space="0" w:color="auto"/>
        <w:left w:val="none" w:sz="0" w:space="0" w:color="auto"/>
        <w:bottom w:val="none" w:sz="0" w:space="0" w:color="auto"/>
        <w:right w:val="none" w:sz="0" w:space="0" w:color="auto"/>
      </w:divBdr>
    </w:div>
    <w:div w:id="288627740">
      <w:bodyDiv w:val="1"/>
      <w:marLeft w:val="0"/>
      <w:marRight w:val="0"/>
      <w:marTop w:val="0"/>
      <w:marBottom w:val="0"/>
      <w:divBdr>
        <w:top w:val="none" w:sz="0" w:space="0" w:color="auto"/>
        <w:left w:val="none" w:sz="0" w:space="0" w:color="auto"/>
        <w:bottom w:val="none" w:sz="0" w:space="0" w:color="auto"/>
        <w:right w:val="none" w:sz="0" w:space="0" w:color="auto"/>
      </w:divBdr>
    </w:div>
    <w:div w:id="513499236">
      <w:bodyDiv w:val="1"/>
      <w:marLeft w:val="0"/>
      <w:marRight w:val="0"/>
      <w:marTop w:val="0"/>
      <w:marBottom w:val="0"/>
      <w:divBdr>
        <w:top w:val="none" w:sz="0" w:space="0" w:color="auto"/>
        <w:left w:val="none" w:sz="0" w:space="0" w:color="auto"/>
        <w:bottom w:val="none" w:sz="0" w:space="0" w:color="auto"/>
        <w:right w:val="none" w:sz="0" w:space="0" w:color="auto"/>
      </w:divBdr>
    </w:div>
    <w:div w:id="515772241">
      <w:bodyDiv w:val="1"/>
      <w:marLeft w:val="0"/>
      <w:marRight w:val="0"/>
      <w:marTop w:val="0"/>
      <w:marBottom w:val="0"/>
      <w:divBdr>
        <w:top w:val="none" w:sz="0" w:space="0" w:color="auto"/>
        <w:left w:val="none" w:sz="0" w:space="0" w:color="auto"/>
        <w:bottom w:val="none" w:sz="0" w:space="0" w:color="auto"/>
        <w:right w:val="none" w:sz="0" w:space="0" w:color="auto"/>
      </w:divBdr>
      <w:divsChild>
        <w:div w:id="845289568">
          <w:marLeft w:val="850"/>
          <w:marRight w:val="0"/>
          <w:marTop w:val="0"/>
          <w:marBottom w:val="0"/>
          <w:divBdr>
            <w:top w:val="none" w:sz="0" w:space="0" w:color="auto"/>
            <w:left w:val="none" w:sz="0" w:space="0" w:color="auto"/>
            <w:bottom w:val="none" w:sz="0" w:space="0" w:color="auto"/>
            <w:right w:val="none" w:sz="0" w:space="0" w:color="auto"/>
          </w:divBdr>
        </w:div>
        <w:div w:id="930965612">
          <w:marLeft w:val="850"/>
          <w:marRight w:val="0"/>
          <w:marTop w:val="0"/>
          <w:marBottom w:val="0"/>
          <w:divBdr>
            <w:top w:val="none" w:sz="0" w:space="0" w:color="auto"/>
            <w:left w:val="none" w:sz="0" w:space="0" w:color="auto"/>
            <w:bottom w:val="none" w:sz="0" w:space="0" w:color="auto"/>
            <w:right w:val="none" w:sz="0" w:space="0" w:color="auto"/>
          </w:divBdr>
        </w:div>
        <w:div w:id="1720007632">
          <w:marLeft w:val="850"/>
          <w:marRight w:val="0"/>
          <w:marTop w:val="0"/>
          <w:marBottom w:val="0"/>
          <w:divBdr>
            <w:top w:val="none" w:sz="0" w:space="0" w:color="auto"/>
            <w:left w:val="none" w:sz="0" w:space="0" w:color="auto"/>
            <w:bottom w:val="none" w:sz="0" w:space="0" w:color="auto"/>
            <w:right w:val="none" w:sz="0" w:space="0" w:color="auto"/>
          </w:divBdr>
        </w:div>
      </w:divsChild>
    </w:div>
    <w:div w:id="552620378">
      <w:bodyDiv w:val="1"/>
      <w:marLeft w:val="0"/>
      <w:marRight w:val="0"/>
      <w:marTop w:val="0"/>
      <w:marBottom w:val="0"/>
      <w:divBdr>
        <w:top w:val="none" w:sz="0" w:space="0" w:color="auto"/>
        <w:left w:val="none" w:sz="0" w:space="0" w:color="auto"/>
        <w:bottom w:val="none" w:sz="0" w:space="0" w:color="auto"/>
        <w:right w:val="none" w:sz="0" w:space="0" w:color="auto"/>
      </w:divBdr>
    </w:div>
    <w:div w:id="606809069">
      <w:bodyDiv w:val="1"/>
      <w:marLeft w:val="0"/>
      <w:marRight w:val="0"/>
      <w:marTop w:val="0"/>
      <w:marBottom w:val="0"/>
      <w:divBdr>
        <w:top w:val="none" w:sz="0" w:space="0" w:color="auto"/>
        <w:left w:val="none" w:sz="0" w:space="0" w:color="auto"/>
        <w:bottom w:val="none" w:sz="0" w:space="0" w:color="auto"/>
        <w:right w:val="none" w:sz="0" w:space="0" w:color="auto"/>
      </w:divBdr>
    </w:div>
    <w:div w:id="929045713">
      <w:bodyDiv w:val="1"/>
      <w:marLeft w:val="0"/>
      <w:marRight w:val="0"/>
      <w:marTop w:val="0"/>
      <w:marBottom w:val="0"/>
      <w:divBdr>
        <w:top w:val="none" w:sz="0" w:space="0" w:color="auto"/>
        <w:left w:val="none" w:sz="0" w:space="0" w:color="auto"/>
        <w:bottom w:val="none" w:sz="0" w:space="0" w:color="auto"/>
        <w:right w:val="none" w:sz="0" w:space="0" w:color="auto"/>
      </w:divBdr>
    </w:div>
    <w:div w:id="1092163054">
      <w:bodyDiv w:val="1"/>
      <w:marLeft w:val="0"/>
      <w:marRight w:val="0"/>
      <w:marTop w:val="0"/>
      <w:marBottom w:val="0"/>
      <w:divBdr>
        <w:top w:val="none" w:sz="0" w:space="0" w:color="auto"/>
        <w:left w:val="none" w:sz="0" w:space="0" w:color="auto"/>
        <w:bottom w:val="none" w:sz="0" w:space="0" w:color="auto"/>
        <w:right w:val="none" w:sz="0" w:space="0" w:color="auto"/>
      </w:divBdr>
    </w:div>
    <w:div w:id="1122528911">
      <w:bodyDiv w:val="1"/>
      <w:marLeft w:val="0"/>
      <w:marRight w:val="0"/>
      <w:marTop w:val="0"/>
      <w:marBottom w:val="0"/>
      <w:divBdr>
        <w:top w:val="none" w:sz="0" w:space="0" w:color="auto"/>
        <w:left w:val="none" w:sz="0" w:space="0" w:color="auto"/>
        <w:bottom w:val="none" w:sz="0" w:space="0" w:color="auto"/>
        <w:right w:val="none" w:sz="0" w:space="0" w:color="auto"/>
      </w:divBdr>
      <w:divsChild>
        <w:div w:id="432550669">
          <w:marLeft w:val="1426"/>
          <w:marRight w:val="0"/>
          <w:marTop w:val="0"/>
          <w:marBottom w:val="0"/>
          <w:divBdr>
            <w:top w:val="none" w:sz="0" w:space="0" w:color="auto"/>
            <w:left w:val="none" w:sz="0" w:space="0" w:color="auto"/>
            <w:bottom w:val="none" w:sz="0" w:space="0" w:color="auto"/>
            <w:right w:val="none" w:sz="0" w:space="0" w:color="auto"/>
          </w:divBdr>
        </w:div>
        <w:div w:id="802889351">
          <w:marLeft w:val="547"/>
          <w:marRight w:val="0"/>
          <w:marTop w:val="0"/>
          <w:marBottom w:val="0"/>
          <w:divBdr>
            <w:top w:val="none" w:sz="0" w:space="0" w:color="auto"/>
            <w:left w:val="none" w:sz="0" w:space="0" w:color="auto"/>
            <w:bottom w:val="none" w:sz="0" w:space="0" w:color="auto"/>
            <w:right w:val="none" w:sz="0" w:space="0" w:color="auto"/>
          </w:divBdr>
        </w:div>
        <w:div w:id="878274818">
          <w:marLeft w:val="1138"/>
          <w:marRight w:val="0"/>
          <w:marTop w:val="0"/>
          <w:marBottom w:val="0"/>
          <w:divBdr>
            <w:top w:val="none" w:sz="0" w:space="0" w:color="auto"/>
            <w:left w:val="none" w:sz="0" w:space="0" w:color="auto"/>
            <w:bottom w:val="none" w:sz="0" w:space="0" w:color="auto"/>
            <w:right w:val="none" w:sz="0" w:space="0" w:color="auto"/>
          </w:divBdr>
        </w:div>
        <w:div w:id="1073505193">
          <w:marLeft w:val="547"/>
          <w:marRight w:val="0"/>
          <w:marTop w:val="0"/>
          <w:marBottom w:val="0"/>
          <w:divBdr>
            <w:top w:val="none" w:sz="0" w:space="0" w:color="auto"/>
            <w:left w:val="none" w:sz="0" w:space="0" w:color="auto"/>
            <w:bottom w:val="none" w:sz="0" w:space="0" w:color="auto"/>
            <w:right w:val="none" w:sz="0" w:space="0" w:color="auto"/>
          </w:divBdr>
        </w:div>
        <w:div w:id="1085806489">
          <w:marLeft w:val="547"/>
          <w:marRight w:val="0"/>
          <w:marTop w:val="0"/>
          <w:marBottom w:val="0"/>
          <w:divBdr>
            <w:top w:val="none" w:sz="0" w:space="0" w:color="auto"/>
            <w:left w:val="none" w:sz="0" w:space="0" w:color="auto"/>
            <w:bottom w:val="none" w:sz="0" w:space="0" w:color="auto"/>
            <w:right w:val="none" w:sz="0" w:space="0" w:color="auto"/>
          </w:divBdr>
        </w:div>
        <w:div w:id="1176727221">
          <w:marLeft w:val="1138"/>
          <w:marRight w:val="0"/>
          <w:marTop w:val="0"/>
          <w:marBottom w:val="0"/>
          <w:divBdr>
            <w:top w:val="none" w:sz="0" w:space="0" w:color="auto"/>
            <w:left w:val="none" w:sz="0" w:space="0" w:color="auto"/>
            <w:bottom w:val="none" w:sz="0" w:space="0" w:color="auto"/>
            <w:right w:val="none" w:sz="0" w:space="0" w:color="auto"/>
          </w:divBdr>
        </w:div>
        <w:div w:id="1217623772">
          <w:marLeft w:val="547"/>
          <w:marRight w:val="0"/>
          <w:marTop w:val="0"/>
          <w:marBottom w:val="0"/>
          <w:divBdr>
            <w:top w:val="none" w:sz="0" w:space="0" w:color="auto"/>
            <w:left w:val="none" w:sz="0" w:space="0" w:color="auto"/>
            <w:bottom w:val="none" w:sz="0" w:space="0" w:color="auto"/>
            <w:right w:val="none" w:sz="0" w:space="0" w:color="auto"/>
          </w:divBdr>
        </w:div>
        <w:div w:id="1381780309">
          <w:marLeft w:val="547"/>
          <w:marRight w:val="0"/>
          <w:marTop w:val="0"/>
          <w:marBottom w:val="0"/>
          <w:divBdr>
            <w:top w:val="none" w:sz="0" w:space="0" w:color="auto"/>
            <w:left w:val="none" w:sz="0" w:space="0" w:color="auto"/>
            <w:bottom w:val="none" w:sz="0" w:space="0" w:color="auto"/>
            <w:right w:val="none" w:sz="0" w:space="0" w:color="auto"/>
          </w:divBdr>
        </w:div>
        <w:div w:id="1452088634">
          <w:marLeft w:val="1426"/>
          <w:marRight w:val="0"/>
          <w:marTop w:val="0"/>
          <w:marBottom w:val="0"/>
          <w:divBdr>
            <w:top w:val="none" w:sz="0" w:space="0" w:color="auto"/>
            <w:left w:val="none" w:sz="0" w:space="0" w:color="auto"/>
            <w:bottom w:val="none" w:sz="0" w:space="0" w:color="auto"/>
            <w:right w:val="none" w:sz="0" w:space="0" w:color="auto"/>
          </w:divBdr>
        </w:div>
        <w:div w:id="1761096633">
          <w:marLeft w:val="547"/>
          <w:marRight w:val="0"/>
          <w:marTop w:val="0"/>
          <w:marBottom w:val="0"/>
          <w:divBdr>
            <w:top w:val="none" w:sz="0" w:space="0" w:color="auto"/>
            <w:left w:val="none" w:sz="0" w:space="0" w:color="auto"/>
            <w:bottom w:val="none" w:sz="0" w:space="0" w:color="auto"/>
            <w:right w:val="none" w:sz="0" w:space="0" w:color="auto"/>
          </w:divBdr>
        </w:div>
        <w:div w:id="2010524266">
          <w:marLeft w:val="547"/>
          <w:marRight w:val="0"/>
          <w:marTop w:val="0"/>
          <w:marBottom w:val="0"/>
          <w:divBdr>
            <w:top w:val="none" w:sz="0" w:space="0" w:color="auto"/>
            <w:left w:val="none" w:sz="0" w:space="0" w:color="auto"/>
            <w:bottom w:val="none" w:sz="0" w:space="0" w:color="auto"/>
            <w:right w:val="none" w:sz="0" w:space="0" w:color="auto"/>
          </w:divBdr>
        </w:div>
        <w:div w:id="2029674634">
          <w:marLeft w:val="547"/>
          <w:marRight w:val="0"/>
          <w:marTop w:val="0"/>
          <w:marBottom w:val="0"/>
          <w:divBdr>
            <w:top w:val="none" w:sz="0" w:space="0" w:color="auto"/>
            <w:left w:val="none" w:sz="0" w:space="0" w:color="auto"/>
            <w:bottom w:val="none" w:sz="0" w:space="0" w:color="auto"/>
            <w:right w:val="none" w:sz="0" w:space="0" w:color="auto"/>
          </w:divBdr>
        </w:div>
        <w:div w:id="2109815779">
          <w:marLeft w:val="547"/>
          <w:marRight w:val="0"/>
          <w:marTop w:val="0"/>
          <w:marBottom w:val="0"/>
          <w:divBdr>
            <w:top w:val="none" w:sz="0" w:space="0" w:color="auto"/>
            <w:left w:val="none" w:sz="0" w:space="0" w:color="auto"/>
            <w:bottom w:val="none" w:sz="0" w:space="0" w:color="auto"/>
            <w:right w:val="none" w:sz="0" w:space="0" w:color="auto"/>
          </w:divBdr>
        </w:div>
        <w:div w:id="2121096714">
          <w:marLeft w:val="547"/>
          <w:marRight w:val="0"/>
          <w:marTop w:val="0"/>
          <w:marBottom w:val="0"/>
          <w:divBdr>
            <w:top w:val="none" w:sz="0" w:space="0" w:color="auto"/>
            <w:left w:val="none" w:sz="0" w:space="0" w:color="auto"/>
            <w:bottom w:val="none" w:sz="0" w:space="0" w:color="auto"/>
            <w:right w:val="none" w:sz="0" w:space="0" w:color="auto"/>
          </w:divBdr>
        </w:div>
      </w:divsChild>
    </w:div>
    <w:div w:id="1159033655">
      <w:bodyDiv w:val="1"/>
      <w:marLeft w:val="0"/>
      <w:marRight w:val="0"/>
      <w:marTop w:val="0"/>
      <w:marBottom w:val="0"/>
      <w:divBdr>
        <w:top w:val="none" w:sz="0" w:space="0" w:color="auto"/>
        <w:left w:val="none" w:sz="0" w:space="0" w:color="auto"/>
        <w:bottom w:val="none" w:sz="0" w:space="0" w:color="auto"/>
        <w:right w:val="none" w:sz="0" w:space="0" w:color="auto"/>
      </w:divBdr>
    </w:div>
    <w:div w:id="1214580668">
      <w:bodyDiv w:val="1"/>
      <w:marLeft w:val="0"/>
      <w:marRight w:val="0"/>
      <w:marTop w:val="0"/>
      <w:marBottom w:val="0"/>
      <w:divBdr>
        <w:top w:val="none" w:sz="0" w:space="0" w:color="auto"/>
        <w:left w:val="none" w:sz="0" w:space="0" w:color="auto"/>
        <w:bottom w:val="none" w:sz="0" w:space="0" w:color="auto"/>
        <w:right w:val="none" w:sz="0" w:space="0" w:color="auto"/>
      </w:divBdr>
    </w:div>
    <w:div w:id="1235700577">
      <w:bodyDiv w:val="1"/>
      <w:marLeft w:val="0"/>
      <w:marRight w:val="0"/>
      <w:marTop w:val="0"/>
      <w:marBottom w:val="0"/>
      <w:divBdr>
        <w:top w:val="none" w:sz="0" w:space="0" w:color="auto"/>
        <w:left w:val="none" w:sz="0" w:space="0" w:color="auto"/>
        <w:bottom w:val="none" w:sz="0" w:space="0" w:color="auto"/>
        <w:right w:val="none" w:sz="0" w:space="0" w:color="auto"/>
      </w:divBdr>
    </w:div>
    <w:div w:id="1317609265">
      <w:bodyDiv w:val="1"/>
      <w:marLeft w:val="0"/>
      <w:marRight w:val="0"/>
      <w:marTop w:val="0"/>
      <w:marBottom w:val="0"/>
      <w:divBdr>
        <w:top w:val="none" w:sz="0" w:space="0" w:color="auto"/>
        <w:left w:val="none" w:sz="0" w:space="0" w:color="auto"/>
        <w:bottom w:val="none" w:sz="0" w:space="0" w:color="auto"/>
        <w:right w:val="none" w:sz="0" w:space="0" w:color="auto"/>
      </w:divBdr>
    </w:div>
    <w:div w:id="1501582596">
      <w:bodyDiv w:val="1"/>
      <w:marLeft w:val="0"/>
      <w:marRight w:val="0"/>
      <w:marTop w:val="0"/>
      <w:marBottom w:val="0"/>
      <w:divBdr>
        <w:top w:val="none" w:sz="0" w:space="0" w:color="auto"/>
        <w:left w:val="none" w:sz="0" w:space="0" w:color="auto"/>
        <w:bottom w:val="none" w:sz="0" w:space="0" w:color="auto"/>
        <w:right w:val="none" w:sz="0" w:space="0" w:color="auto"/>
      </w:divBdr>
    </w:div>
    <w:div w:id="1884554368">
      <w:bodyDiv w:val="1"/>
      <w:marLeft w:val="0"/>
      <w:marRight w:val="0"/>
      <w:marTop w:val="0"/>
      <w:marBottom w:val="0"/>
      <w:divBdr>
        <w:top w:val="none" w:sz="0" w:space="0" w:color="auto"/>
        <w:left w:val="none" w:sz="0" w:space="0" w:color="auto"/>
        <w:bottom w:val="none" w:sz="0" w:space="0" w:color="auto"/>
        <w:right w:val="none" w:sz="0" w:space="0" w:color="auto"/>
      </w:divBdr>
    </w:div>
    <w:div w:id="1892573148">
      <w:bodyDiv w:val="1"/>
      <w:marLeft w:val="0"/>
      <w:marRight w:val="0"/>
      <w:marTop w:val="0"/>
      <w:marBottom w:val="0"/>
      <w:divBdr>
        <w:top w:val="none" w:sz="0" w:space="0" w:color="auto"/>
        <w:left w:val="none" w:sz="0" w:space="0" w:color="auto"/>
        <w:bottom w:val="none" w:sz="0" w:space="0" w:color="auto"/>
        <w:right w:val="none" w:sz="0" w:space="0" w:color="auto"/>
      </w:divBdr>
    </w:div>
    <w:div w:id="2021352261">
      <w:bodyDiv w:val="1"/>
      <w:marLeft w:val="0"/>
      <w:marRight w:val="0"/>
      <w:marTop w:val="0"/>
      <w:marBottom w:val="0"/>
      <w:divBdr>
        <w:top w:val="none" w:sz="0" w:space="0" w:color="auto"/>
        <w:left w:val="none" w:sz="0" w:space="0" w:color="auto"/>
        <w:bottom w:val="none" w:sz="0" w:space="0" w:color="auto"/>
        <w:right w:val="none" w:sz="0" w:space="0" w:color="auto"/>
      </w:divBdr>
    </w:div>
    <w:div w:id="2057585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melfp\software$\Microsoft\Templates\15%20PSP%20Portrait%20Single%20Page.dotm" TargetMode="External"/></Relationships>
</file>

<file path=word/theme/theme1.xml><?xml version="1.0" encoding="utf-8"?>
<a:theme xmlns:a="http://schemas.openxmlformats.org/drawingml/2006/main" name="MPA">
  <a:themeElements>
    <a:clrScheme name="VPA">
      <a:dk1>
        <a:sysClr val="windowText" lastClr="000000"/>
      </a:dk1>
      <a:lt1>
        <a:sysClr val="window" lastClr="FFFFFF"/>
      </a:lt1>
      <a:dk2>
        <a:srgbClr val="003C74"/>
      </a:dk2>
      <a:lt2>
        <a:srgbClr val="E7E6E6"/>
      </a:lt2>
      <a:accent1>
        <a:srgbClr val="005EA1"/>
      </a:accent1>
      <a:accent2>
        <a:srgbClr val="008BD2"/>
      </a:accent2>
      <a:accent3>
        <a:srgbClr val="95C11F"/>
      </a:accent3>
      <a:accent4>
        <a:srgbClr val="9CA0A3"/>
      </a:accent4>
      <a:accent5>
        <a:srgbClr val="4CA22F"/>
      </a:accent5>
      <a:accent6>
        <a:srgbClr val="63B9E9"/>
      </a:accent6>
      <a:hlink>
        <a:srgbClr val="00B0F0"/>
      </a:hlink>
      <a:folHlink>
        <a:srgbClr val="7030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553F4-9A8A-4E63-960E-564F53AA3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 PSP Portrait Single Page</Template>
  <TotalTime>71</TotalTime>
  <Pages>41</Pages>
  <Words>14100</Words>
  <Characters>80371</Characters>
  <Application>Microsoft Office Word</Application>
  <DocSecurity>8</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94283</CharactersWithSpaces>
  <SharedDoc>false</SharedDoc>
  <HLinks>
    <vt:vector size="6" baseType="variant">
      <vt:variant>
        <vt:i4>1900595</vt:i4>
      </vt:variant>
      <vt:variant>
        <vt:i4>2</vt:i4>
      </vt:variant>
      <vt:variant>
        <vt:i4>0</vt:i4>
      </vt:variant>
      <vt:variant>
        <vt:i4>5</vt:i4>
      </vt:variant>
      <vt:variant>
        <vt:lpwstr/>
      </vt:variant>
      <vt:variant>
        <vt:lpwstr>_Toc286321508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Branson</dc:creator>
  <cp:keywords/>
  <dc:description/>
  <cp:lastModifiedBy>Tim Lolicato</cp:lastModifiedBy>
  <cp:revision>16</cp:revision>
  <cp:lastPrinted>2015-12-22T05:31:00Z</cp:lastPrinted>
  <dcterms:created xsi:type="dcterms:W3CDTF">2016-11-22T23:59:00Z</dcterms:created>
  <dcterms:modified xsi:type="dcterms:W3CDTF">2016-11-23T04:19:00Z</dcterms:modified>
</cp:coreProperties>
</file>